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F15" w:rsidRPr="00E81F15" w:rsidRDefault="00E81F15" w:rsidP="00E81F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1"/>
        <w:gridCol w:w="1705"/>
        <w:gridCol w:w="5592"/>
        <w:gridCol w:w="974"/>
      </w:tblGrid>
      <w:tr w:rsidR="00E81F15" w:rsidRPr="00E81F15" w:rsidTr="00E81F15">
        <w:trPr>
          <w:trHeight w:val="291"/>
        </w:trPr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b/>
                <w:color w:val="222222"/>
                <w:sz w:val="25"/>
                <w:szCs w:val="25"/>
                <w:shd w:val="clear" w:color="auto" w:fill="FFFFFF"/>
                <w:lang w:eastAsia="es-CL"/>
              </w:rPr>
              <w:t>Id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b/>
                <w:color w:val="222222"/>
                <w:sz w:val="25"/>
                <w:szCs w:val="25"/>
                <w:shd w:val="clear" w:color="auto" w:fill="FFFFFF"/>
                <w:lang w:eastAsia="es-CL"/>
              </w:rPr>
              <w:t>Nombre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b/>
                <w:color w:val="222222"/>
                <w:sz w:val="25"/>
                <w:szCs w:val="25"/>
                <w:shd w:val="clear" w:color="auto" w:fill="FFFFFF"/>
                <w:lang w:eastAsia="es-CL"/>
              </w:rPr>
              <w:t>Descripción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b/>
                <w:color w:val="222222"/>
                <w:sz w:val="25"/>
                <w:szCs w:val="25"/>
                <w:shd w:val="clear" w:color="auto" w:fill="FFFFFF"/>
                <w:lang w:eastAsia="es-CL"/>
              </w:rPr>
              <w:t>Sprint</w:t>
            </w:r>
          </w:p>
        </w:tc>
      </w:tr>
      <w:tr w:rsidR="00E81F15" w:rsidRPr="00E81F15" w:rsidTr="00E81F15"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RF02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Gestionar gastos comunes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El sistema permitirá ingresar, editar, eliminar y/o listar gastos comunes. Solo puede hacerlo el administrador.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Sprint 2</w:t>
            </w:r>
          </w:p>
        </w:tc>
      </w:tr>
      <w:tr w:rsidR="00E81F15" w:rsidRPr="00E81F15" w:rsidTr="00E81F15"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RF05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Gestionar pago gastos comunes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El sistema permitirá ingresar, editar, eliminar y/o listar el pago de los gastos comunes. El administrador puede ingresar, editar, eliminar y listar. Cada residente puede listar sus gastos comunes asociados.</w:t>
            </w:r>
          </w:p>
        </w:tc>
        <w:tc>
          <w:tcPr>
            <w:tcW w:w="0" w:type="auto"/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E81F15" w:rsidRPr="00E81F15" w:rsidRDefault="00E81F15" w:rsidP="00E81F1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E81F15"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 xml:space="preserve">Sprint </w:t>
            </w:r>
            <w:r>
              <w:rPr>
                <w:rFonts w:ascii="Cambria" w:eastAsia="Times New Roman" w:hAnsi="Cambria" w:cs="Times New Roman"/>
                <w:color w:val="222222"/>
                <w:sz w:val="25"/>
                <w:szCs w:val="25"/>
                <w:shd w:val="clear" w:color="auto" w:fill="FFFFFF"/>
                <w:lang w:eastAsia="es-CL"/>
              </w:rPr>
              <w:t>2</w:t>
            </w:r>
          </w:p>
        </w:tc>
      </w:tr>
    </w:tbl>
    <w:p w:rsidR="00E81F15" w:rsidRDefault="00E81F15"/>
    <w:p w:rsidR="00E81F15" w:rsidRPr="00D70352" w:rsidRDefault="00E81F15" w:rsidP="00F07FB3">
      <w:pPr>
        <w:suppressAutoHyphens/>
        <w:jc w:val="center"/>
        <w:outlineLvl w:val="0"/>
        <w:rPr>
          <w:rFonts w:ascii="Cambria" w:eastAsia="Times New Roman" w:hAnsi="Cambria" w:cs="Times New Roman"/>
          <w:b/>
          <w:color w:val="222222"/>
          <w:sz w:val="25"/>
          <w:szCs w:val="25"/>
          <w:shd w:val="clear" w:color="auto" w:fill="FFFFFF"/>
          <w:lang w:eastAsia="es-CL"/>
        </w:rPr>
      </w:pPr>
      <w:r>
        <w:rPr>
          <w:b/>
          <w:sz w:val="28"/>
        </w:rPr>
        <w:t>Responsables por Sprint</w:t>
      </w:r>
    </w:p>
    <w:tbl>
      <w:tblPr>
        <w:tblStyle w:val="Tablaconcuadrcula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1290"/>
        <w:gridCol w:w="3984"/>
        <w:gridCol w:w="3780"/>
      </w:tblGrid>
      <w:tr w:rsidR="00E81F15" w:rsidRPr="00D70352" w:rsidTr="00F07FB3">
        <w:trPr>
          <w:trHeight w:val="567"/>
          <w:jc w:val="center"/>
        </w:trPr>
        <w:tc>
          <w:tcPr>
            <w:tcW w:w="1290" w:type="dxa"/>
            <w:vAlign w:val="center"/>
          </w:tcPr>
          <w:p w:rsidR="00E81F15" w:rsidRPr="00D70352" w:rsidRDefault="00E81F15" w:rsidP="00D70352">
            <w:pPr>
              <w:suppressAutoHyphens/>
              <w:jc w:val="center"/>
              <w:rPr>
                <w:rFonts w:ascii="Cambria" w:hAnsi="Cambria"/>
                <w:b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b/>
                <w:color w:val="222222"/>
                <w:sz w:val="25"/>
                <w:szCs w:val="25"/>
                <w:shd w:val="clear" w:color="auto" w:fill="FFFFFF"/>
              </w:rPr>
              <w:t>Sprint</w:t>
            </w:r>
          </w:p>
        </w:tc>
        <w:tc>
          <w:tcPr>
            <w:tcW w:w="3984" w:type="dxa"/>
            <w:vAlign w:val="center"/>
          </w:tcPr>
          <w:p w:rsidR="00E81F15" w:rsidRPr="00D70352" w:rsidRDefault="00E81F15" w:rsidP="00D70352">
            <w:pPr>
              <w:suppressAutoHyphens/>
              <w:jc w:val="center"/>
              <w:rPr>
                <w:rFonts w:ascii="Cambria" w:hAnsi="Cambria"/>
                <w:b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b/>
                <w:color w:val="222222"/>
                <w:sz w:val="25"/>
                <w:szCs w:val="25"/>
                <w:shd w:val="clear" w:color="auto" w:fill="FFFFFF"/>
              </w:rPr>
              <w:t>Responsable</w:t>
            </w:r>
          </w:p>
        </w:tc>
        <w:tc>
          <w:tcPr>
            <w:tcW w:w="3780" w:type="dxa"/>
            <w:vAlign w:val="center"/>
          </w:tcPr>
          <w:p w:rsidR="00E81F15" w:rsidRPr="00D70352" w:rsidRDefault="00E81F15" w:rsidP="00D70352">
            <w:pPr>
              <w:suppressAutoHyphens/>
              <w:jc w:val="center"/>
              <w:rPr>
                <w:rFonts w:ascii="Cambria" w:hAnsi="Cambria"/>
                <w:b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b/>
                <w:color w:val="222222"/>
                <w:sz w:val="25"/>
                <w:szCs w:val="25"/>
                <w:shd w:val="clear" w:color="auto" w:fill="FFFFFF"/>
              </w:rPr>
              <w:t>Fecha de entrega</w:t>
            </w:r>
          </w:p>
        </w:tc>
      </w:tr>
      <w:tr w:rsidR="00E81F15" w:rsidRPr="00D70352" w:rsidTr="00F07FB3">
        <w:trPr>
          <w:trHeight w:val="567"/>
          <w:jc w:val="center"/>
        </w:trPr>
        <w:tc>
          <w:tcPr>
            <w:tcW w:w="1290" w:type="dxa"/>
            <w:vAlign w:val="center"/>
          </w:tcPr>
          <w:p w:rsidR="00E81F15" w:rsidRPr="00D70352" w:rsidRDefault="00E81F15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2</w:t>
            </w:r>
          </w:p>
        </w:tc>
        <w:tc>
          <w:tcPr>
            <w:tcW w:w="3984" w:type="dxa"/>
            <w:vAlign w:val="center"/>
          </w:tcPr>
          <w:p w:rsidR="00E81F15" w:rsidRPr="00D70352" w:rsidRDefault="00E81F15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Samuel Carril Monsalvez</w:t>
            </w:r>
          </w:p>
        </w:tc>
        <w:tc>
          <w:tcPr>
            <w:tcW w:w="3780" w:type="dxa"/>
            <w:vAlign w:val="center"/>
          </w:tcPr>
          <w:p w:rsidR="00E81F15" w:rsidRPr="00D70352" w:rsidRDefault="00D70352" w:rsidP="00D70352">
            <w:pPr>
              <w:suppressAutoHyphens/>
              <w:jc w:val="center"/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</w:pPr>
            <w:r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28</w:t>
            </w:r>
            <w:r w:rsidR="00E81F15" w:rsidRPr="00D70352">
              <w:rPr>
                <w:rFonts w:ascii="Cambria" w:hAnsi="Cambria"/>
                <w:color w:val="222222"/>
                <w:sz w:val="25"/>
                <w:szCs w:val="25"/>
                <w:shd w:val="clear" w:color="auto" w:fill="FFFFFF"/>
              </w:rPr>
              <w:t>-04-2014</w:t>
            </w:r>
          </w:p>
        </w:tc>
      </w:tr>
    </w:tbl>
    <w:p w:rsidR="00B97CC2" w:rsidRDefault="00B97CC2"/>
    <w:sectPr w:rsidR="00B97CC2" w:rsidSect="00B97C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81F15"/>
    <w:rsid w:val="000070C6"/>
    <w:rsid w:val="00225E66"/>
    <w:rsid w:val="0024637D"/>
    <w:rsid w:val="005E3254"/>
    <w:rsid w:val="007217F3"/>
    <w:rsid w:val="008D18F4"/>
    <w:rsid w:val="00B03517"/>
    <w:rsid w:val="00B97CC2"/>
    <w:rsid w:val="00D70352"/>
    <w:rsid w:val="00DB3341"/>
    <w:rsid w:val="00E81F15"/>
    <w:rsid w:val="00F0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1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59"/>
    <w:rsid w:val="00E81F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07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07F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KIARA</dc:creator>
  <cp:lastModifiedBy>Lenovo</cp:lastModifiedBy>
  <cp:revision>8</cp:revision>
  <dcterms:created xsi:type="dcterms:W3CDTF">2014-04-25T19:36:00Z</dcterms:created>
  <dcterms:modified xsi:type="dcterms:W3CDTF">2014-04-28T15:20:00Z</dcterms:modified>
</cp:coreProperties>
</file>