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jc w:val="center"/>
        <w:rPr>
          <w:rFonts w:ascii="Plus Jakarta Sans" w:cs="Plus Jakarta Sans" w:eastAsia="Plus Jakarta Sans" w:hAnsi="Plus Jakarta Sans"/>
          <w:color w:val="1b2a4a"/>
          <w:sz w:val="16"/>
          <w:szCs w:val="16"/>
        </w:rPr>
      </w:pPr>
      <w:r w:rsidDel="00000000" w:rsidR="00000000" w:rsidRPr="00000000">
        <w:rPr>
          <w:rFonts w:ascii="Plus Jakarta Sans" w:cs="Plus Jakarta Sans" w:eastAsia="Plus Jakarta Sans" w:hAnsi="Plus Jakarta Sans"/>
          <w:b w:val="1"/>
          <w:bCs w:val="1"/>
          <w:color w:val="1b2a4a"/>
          <w:sz w:val="44"/>
          <w:szCs w:val="44"/>
          <w:rtl w:val="0"/>
        </w:rPr>
        <w:t xml:space="preserve">MUNICIPALIDAD DE</w:t>
      </w:r>
      <w:r w:rsidDel="00000000" w:rsidR="00000000" w:rsidRPr="00000000">
        <w:rPr>
          <w:rFonts w:ascii="Plus Jakarta Sans" w:cs="Plus Jakarta Sans" w:eastAsia="Plus Jakarta Sans" w:hAnsi="Plus Jakarta Sans"/>
          <w:color w:val="1b2a4a"/>
          <w:sz w:val="16"/>
          <w:szCs w:val="16"/>
          <w:rtl w:val="0"/>
        </w:rPr>
        <w:t xml:space="preserve">    </w:t>
      </w:r>
      <w:r w:rsidDel="00000000" w:rsidR="00000000" w:rsidRPr="00000000">
        <w:rPr>
          <w:rFonts w:ascii="Plus Jakarta Sans" w:cs="Plus Jakarta Sans" w:eastAsia="Plus Jakarta Sans" w:hAnsi="Plus Jakarta Sans"/>
          <w:b w:val="1"/>
          <w:bCs w:val="1"/>
          <w:color w:val="1b2a4a"/>
          <w:sz w:val="44"/>
          <w:szCs w:val="44"/>
          <w:rtl w:val="0"/>
        </w:rPr>
        <w:t xml:space="preserve">TRES DE FEBRERO</w:t>
      </w:r>
      <w:r w:rsidDel="00000000" w:rsidR="00000000" w:rsidRPr="00000000">
        <w:rPr>
          <w:rtl w:val="0"/>
        </w:rPr>
      </w:r>
    </w:p>
    <w:p w:rsidR="00000000" w:rsidDel="00000000" w:rsidP="00000000" w:rsidRDefault="00000000" w:rsidRPr="00000000" w14:paraId="00000002">
      <w:pPr>
        <w:pBdr>
          <w:bottom w:color="e8722a" w:space="1" w:sz="8" w:val="single"/>
        </w:pBdr>
        <w:spacing w:after="160" w:before="400" w:line="276" w:lineRule="auto"/>
        <w:jc w:val="both"/>
        <w:rPr>
          <w:rFonts w:ascii="Plus Jakarta Sans" w:cs="Plus Jakarta Sans" w:eastAsia="Plus Jakarta Sans" w:hAnsi="Plus Jakarta Sans"/>
          <w:b w:val="1"/>
          <w:bCs w:val="1"/>
          <w:color w:val="1b2a4a"/>
          <w:sz w:val="28"/>
          <w:szCs w:val="28"/>
        </w:rPr>
      </w:pPr>
      <w:r w:rsidDel="00000000" w:rsidR="00000000" w:rsidRPr="00000000">
        <w:rPr>
          <w:rFonts w:ascii="Plus Jakarta Sans" w:cs="Plus Jakarta Sans" w:eastAsia="Plus Jakarta Sans" w:hAnsi="Plus Jakarta Sans"/>
          <w:b w:val="1"/>
          <w:bCs w:val="1"/>
          <w:color w:val="1b2a4a"/>
          <w:sz w:val="28"/>
          <w:szCs w:val="28"/>
          <w:rtl w:val="0"/>
        </w:rPr>
        <w:t xml:space="preserve">DESCRIPCIÓN GENERAL:</w:t>
      </w:r>
      <w:r w:rsidDel="00000000" w:rsidR="00000000" w:rsidRPr="00000000">
        <w:drawing>
          <wp:anchor allowOverlap="1" behindDoc="0" distB="114300" distT="114300" distL="114300" distR="114300" hidden="0" layoutInCell="1" locked="0" relativeHeight="0" simplePos="0">
            <wp:simplePos x="0" y="0"/>
            <wp:positionH relativeFrom="column">
              <wp:posOffset>3607125</wp:posOffset>
            </wp:positionH>
            <wp:positionV relativeFrom="paragraph">
              <wp:posOffset>657225</wp:posOffset>
            </wp:positionV>
            <wp:extent cx="2124192" cy="25851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4192" cy="2585187"/>
                    </a:xfrm>
                    <a:prstGeom prst="rect"/>
                    <a:ln/>
                  </pic:spPr>
                </pic:pic>
              </a:graphicData>
            </a:graphic>
          </wp:anchor>
        </w:drawing>
      </w:r>
    </w:p>
    <w:p w:rsidR="00000000" w:rsidDel="00000000" w:rsidP="00000000" w:rsidRDefault="00000000" w:rsidRPr="00000000" w14:paraId="00000003">
      <w:pPr>
        <w:pBdr>
          <w:bottom w:color="e8722a" w:space="1" w:sz="8" w:val="single"/>
        </w:pBdr>
        <w:spacing w:after="240" w:before="24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Tres de Febrero es un municipio del primer cordón del Gran Buenos Aires, lindante con la Ciudad Autónoma de Buenos Aires. Ubicado al oeste de la capital del país, forma parte de una de las zonas más dinámicas del área metropolitana, con una fuerte conectividad y cercanía a los principales centros urbanos y productivos.</w:t>
      </w:r>
    </w:p>
    <w:p w:rsidR="00000000" w:rsidDel="00000000" w:rsidP="00000000" w:rsidRDefault="00000000" w:rsidRPr="00000000" w14:paraId="00000004">
      <w:pPr>
        <w:pBdr>
          <w:bottom w:color="e8722a" w:space="1" w:sz="8" w:val="single"/>
        </w:pBdr>
        <w:spacing w:after="240" w:before="24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Nuestra ciudad cabecera es Caseros, donde se concentra el centro administrativo, político y urbano del distrito, así como una amplia red de servicios, instituciones y espacios públicos.</w:t>
      </w:r>
    </w:p>
    <w:p w:rsidR="00000000" w:rsidDel="00000000" w:rsidP="00000000" w:rsidRDefault="00000000" w:rsidRPr="00000000" w14:paraId="00000005">
      <w:pPr>
        <w:pBdr>
          <w:bottom w:color="e8722a" w:space="1" w:sz="8" w:val="single"/>
        </w:pBdr>
        <w:spacing w:after="240" w:before="240" w:line="276" w:lineRule="auto"/>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6">
      <w:pPr>
        <w:pBdr>
          <w:bottom w:color="e8722a" w:space="1" w:sz="8" w:val="single"/>
        </w:pBdr>
        <w:spacing w:after="160" w:before="400" w:line="276" w:lineRule="auto"/>
        <w:jc w:val="both"/>
        <w:rPr>
          <w:rFonts w:ascii="Plus Jakarta Sans" w:cs="Plus Jakarta Sans" w:eastAsia="Plus Jakarta Sans" w:hAnsi="Plus Jakarta Sans"/>
          <w:b w:val="1"/>
          <w:bCs w:val="1"/>
          <w:color w:val="1b2a4a"/>
          <w:sz w:val="28"/>
          <w:szCs w:val="28"/>
        </w:rPr>
      </w:pPr>
      <w:r w:rsidDel="00000000" w:rsidR="00000000" w:rsidRPr="00000000">
        <w:rPr>
          <w:rFonts w:ascii="Plus Jakarta Sans" w:cs="Plus Jakarta Sans" w:eastAsia="Plus Jakarta Sans" w:hAnsi="Plus Jakarta Sans"/>
          <w:b w:val="1"/>
          <w:bCs w:val="1"/>
          <w:color w:val="1b2a4a"/>
          <w:sz w:val="28"/>
          <w:szCs w:val="28"/>
          <w:rtl w:val="0"/>
        </w:rPr>
        <w:t xml:space="preserve">INDICADORES</w:t>
      </w:r>
    </w:p>
    <w:tbl>
      <w:tblPr>
        <w:tblStyle w:val="Table1"/>
        <w:tblW w:w="948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4965"/>
        <w:tblGridChange w:id="0">
          <w:tblGrid>
            <w:gridCol w:w="4515"/>
            <w:gridCol w:w="49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120.0" w:type="dxa"/>
              <w:left w:w="160.0" w:type="dxa"/>
              <w:bottom w:w="120.0" w:type="dxa"/>
              <w:right w:w="160.0" w:type="dxa"/>
            </w:tcMar>
          </w:tcPr>
          <w:p w:rsidR="00000000" w:rsidDel="00000000" w:rsidP="00000000" w:rsidRDefault="00000000" w:rsidRPr="00000000" w14:paraId="00000007">
            <w:pPr>
              <w:spacing w:line="276" w:lineRule="auto"/>
              <w:jc w:val="both"/>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rtl w:val="0"/>
              </w:rPr>
              <w:t xml:space="preserve">Población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20.0" w:type="dxa"/>
              <w:left w:w="160.0" w:type="dxa"/>
              <w:bottom w:w="120.0" w:type="dxa"/>
              <w:right w:w="160.0" w:type="dxa"/>
            </w:tcMar>
          </w:tcPr>
          <w:p w:rsidR="00000000" w:rsidDel="00000000" w:rsidP="00000000" w:rsidRDefault="00000000" w:rsidRPr="00000000" w14:paraId="00000008">
            <w:pPr>
              <w:spacing w:line="276" w:lineRule="auto"/>
              <w:jc w:val="both"/>
              <w:rPr>
                <w:rFonts w:ascii="Plus Jakarta Sans" w:cs="Plus Jakarta Sans" w:eastAsia="Plus Jakarta Sans" w:hAnsi="Plus Jakarta Sans"/>
                <w:color w:val="ffffff"/>
                <w:sz w:val="18"/>
                <w:szCs w:val="18"/>
              </w:rPr>
            </w:pPr>
            <w:r w:rsidDel="00000000" w:rsidR="00000000" w:rsidRPr="00000000">
              <w:rPr>
                <w:rFonts w:ascii="Plus Jakarta Sans" w:cs="Plus Jakarta Sans" w:eastAsia="Plus Jakarta Sans" w:hAnsi="Plus Jakarta Sans"/>
                <w:b w:val="1"/>
                <w:bCs w:val="1"/>
                <w:color w:val="ffffff"/>
                <w:rtl w:val="0"/>
              </w:rPr>
              <w:t xml:space="preserve">364.176  habitantes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120.0" w:type="dxa"/>
              <w:left w:w="160.0" w:type="dxa"/>
              <w:bottom w:w="120.0" w:type="dxa"/>
              <w:right w:w="160.0" w:type="dxa"/>
            </w:tcMar>
          </w:tcPr>
          <w:p w:rsidR="00000000" w:rsidDel="00000000" w:rsidP="00000000" w:rsidRDefault="00000000" w:rsidRPr="00000000" w14:paraId="00000009">
            <w:pPr>
              <w:spacing w:line="276" w:lineRule="auto"/>
              <w:jc w:val="both"/>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rtl w:val="0"/>
              </w:rPr>
              <w:t xml:space="preserve">Superficie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20.0" w:type="dxa"/>
              <w:left w:w="160.0" w:type="dxa"/>
              <w:bottom w:w="120.0" w:type="dxa"/>
              <w:right w:w="160.0" w:type="dxa"/>
            </w:tcMar>
          </w:tcPr>
          <w:p w:rsidR="00000000" w:rsidDel="00000000" w:rsidP="00000000" w:rsidRDefault="00000000" w:rsidRPr="00000000" w14:paraId="0000000A">
            <w:pPr>
              <w:spacing w:line="276" w:lineRule="auto"/>
              <w:jc w:val="both"/>
              <w:rPr>
                <w:rFonts w:ascii="Plus Jakarta Sans" w:cs="Plus Jakarta Sans" w:eastAsia="Plus Jakarta Sans" w:hAnsi="Plus Jakarta Sans"/>
                <w:color w:val="ffffff"/>
                <w:sz w:val="18"/>
                <w:szCs w:val="18"/>
              </w:rPr>
            </w:pPr>
            <w:r w:rsidDel="00000000" w:rsidR="00000000" w:rsidRPr="00000000">
              <w:rPr>
                <w:rFonts w:ascii="Plus Jakarta Sans" w:cs="Plus Jakarta Sans" w:eastAsia="Plus Jakarta Sans" w:hAnsi="Plus Jakarta Sans"/>
                <w:b w:val="1"/>
                <w:bCs w:val="1"/>
                <w:color w:val="ffffff"/>
                <w:rtl w:val="0"/>
              </w:rPr>
              <w:t xml:space="preserve">45 km²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120.0" w:type="dxa"/>
              <w:left w:w="160.0" w:type="dxa"/>
              <w:bottom w:w="120.0" w:type="dxa"/>
              <w:right w:w="160.0" w:type="dxa"/>
            </w:tcMar>
          </w:tcPr>
          <w:p w:rsidR="00000000" w:rsidDel="00000000" w:rsidP="00000000" w:rsidRDefault="00000000" w:rsidRPr="00000000" w14:paraId="0000000B">
            <w:pPr>
              <w:spacing w:line="276" w:lineRule="auto"/>
              <w:jc w:val="both"/>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rtl w:val="0"/>
              </w:rPr>
              <w:t xml:space="preserve">Densidad poblacional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20.0" w:type="dxa"/>
              <w:left w:w="160.0" w:type="dxa"/>
              <w:bottom w:w="120.0" w:type="dxa"/>
              <w:right w:w="160.0" w:type="dxa"/>
            </w:tcMar>
          </w:tcPr>
          <w:p w:rsidR="00000000" w:rsidDel="00000000" w:rsidP="00000000" w:rsidRDefault="00000000" w:rsidRPr="00000000" w14:paraId="0000000C">
            <w:pPr>
              <w:spacing w:line="276" w:lineRule="auto"/>
              <w:jc w:val="both"/>
              <w:rPr>
                <w:rFonts w:ascii="Plus Jakarta Sans" w:cs="Plus Jakarta Sans" w:eastAsia="Plus Jakarta Sans" w:hAnsi="Plus Jakarta Sans"/>
                <w:color w:val="ffffff"/>
                <w:sz w:val="18"/>
                <w:szCs w:val="18"/>
              </w:rPr>
            </w:pPr>
            <w:r w:rsidDel="00000000" w:rsidR="00000000" w:rsidRPr="00000000">
              <w:rPr>
                <w:rFonts w:ascii="Plus Jakarta Sans" w:cs="Plus Jakarta Sans" w:eastAsia="Plus Jakarta Sans" w:hAnsi="Plus Jakarta Sans"/>
                <w:b w:val="1"/>
                <w:bCs w:val="1"/>
                <w:color w:val="ffffff"/>
                <w:rtl w:val="0"/>
              </w:rPr>
              <w:t xml:space="preserve">8.021,5 hab/km² — 4° más densa del país</w:t>
            </w:r>
            <w:r w:rsidDel="00000000" w:rsidR="00000000" w:rsidRPr="00000000">
              <w:rPr>
                <w:rtl w:val="0"/>
              </w:rPr>
            </w:r>
          </w:p>
        </w:tc>
      </w:tr>
    </w:tbl>
    <w:p w:rsidR="00000000" w:rsidDel="00000000" w:rsidP="00000000" w:rsidRDefault="00000000" w:rsidRPr="00000000" w14:paraId="0000000D">
      <w:pPr>
        <w:pBdr>
          <w:bottom w:color="e8722a" w:space="1" w:sz="8" w:val="single"/>
        </w:pBdr>
        <w:spacing w:after="160" w:before="400" w:line="276" w:lineRule="auto"/>
        <w:jc w:val="both"/>
        <w:rPr>
          <w:rFonts w:ascii="Plus Jakarta Sans" w:cs="Plus Jakarta Sans" w:eastAsia="Plus Jakarta Sans" w:hAnsi="Plus Jakarta Sans"/>
          <w:b w:val="1"/>
          <w:bCs w:val="1"/>
          <w:color w:val="1b2a4a"/>
          <w:sz w:val="28"/>
          <w:szCs w:val="28"/>
        </w:rPr>
      </w:pPr>
      <w:r w:rsidDel="00000000" w:rsidR="00000000" w:rsidRPr="00000000">
        <w:rPr>
          <w:rFonts w:ascii="Plus Jakarta Sans" w:cs="Plus Jakarta Sans" w:eastAsia="Plus Jakarta Sans" w:hAnsi="Plus Jakarta Sans"/>
          <w:b w:val="1"/>
          <w:bCs w:val="1"/>
          <w:color w:val="1b2a4a"/>
          <w:sz w:val="28"/>
          <w:szCs w:val="28"/>
          <w:rtl w:val="0"/>
        </w:rPr>
        <w:t xml:space="preserve">SALUD</w:t>
      </w:r>
    </w:p>
    <w:p w:rsidR="00000000" w:rsidDel="00000000" w:rsidP="00000000" w:rsidRDefault="00000000" w:rsidRPr="00000000" w14:paraId="0000000E">
      <w:pPr>
        <w:spacing w:after="120" w:before="6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El municipio de Tres de Febrero cuenta con una red de servicios de salud que combina 13 Centros de Atención Primaria (CAPS); el Centro de Especialidades Médicas Ambulatorias de Referencia (CEMAR), que articula la atención primaria con especialidades de mayor complejidad; 2 hospitales municipales monovalentes (oftalmológico y odontológico);  2 hospitales provinciales; 1 Unidad de Pronta Atención y el servicio de telemedicina las 24 hs.</w:t>
      </w:r>
    </w:p>
    <w:p w:rsidR="00000000" w:rsidDel="00000000" w:rsidP="00000000" w:rsidRDefault="00000000" w:rsidRPr="00000000" w14:paraId="0000000F">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Centros de Atención Primaria de la Salud (CAPS) y Centro de Especialidades Médicas Ambulatorias de Referencia (CEMAR)</w:t>
      </w:r>
    </w:p>
    <w:p w:rsidR="00000000" w:rsidDel="00000000" w:rsidP="00000000" w:rsidRDefault="00000000" w:rsidRPr="00000000" w14:paraId="00000010">
      <w:pPr>
        <w:spacing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municipio cuenta con 13 centros de salud distribuidos en todo el territorio y el Centro de Especialidades Médicas Ambulatorias de Referencia (CEMAR). El horario de atención es de lunes a viernes de 8 a 19 hs (exceptuando temporada de invierno donde el horario alcanza de 8 a 18 hs). </w:t>
      </w:r>
    </w:p>
    <w:p w:rsidR="00000000" w:rsidDel="00000000" w:rsidP="00000000" w:rsidRDefault="00000000" w:rsidRPr="00000000" w14:paraId="00000011">
      <w:pPr>
        <w:spacing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CAPS y CEMAR se brinda atención en las siguientes especialidades: medicina general, clínica y pediátrica, obstetricia, ginecología, psicología, psicopedagogía, trabajo social, enfermería, odontología y nutrición. A su vez se realiza dispensa de medicación, talleres y diversas actividades para el cuidado de la salud. </w:t>
      </w:r>
    </w:p>
    <w:p w:rsidR="00000000" w:rsidDel="00000000" w:rsidP="00000000" w:rsidRDefault="00000000" w:rsidRPr="00000000" w14:paraId="00000012">
      <w:pPr>
        <w:spacing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CEMAR, funcionan especialidades médicas de mayor complejidad y se accede a ellas exclusivamente mediante la derivación de CAPS.</w:t>
      </w:r>
    </w:p>
    <w:p w:rsidR="00000000" w:rsidDel="00000000" w:rsidP="00000000" w:rsidRDefault="00000000" w:rsidRPr="00000000" w14:paraId="0000001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Mapa de CAPS interactivo</w:t>
        </w:r>
      </w:hyperlink>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acuerdo a las necesidades de cada territorio y la evaluación que realizan los equipos de salud, se brindan espacios (con admisión previa) como:</w:t>
      </w:r>
    </w:p>
    <w:p w:rsidR="00000000" w:rsidDel="00000000" w:rsidP="00000000" w:rsidRDefault="00000000" w:rsidRPr="00000000" w14:paraId="0000001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8">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Ludotecas</w:t>
      </w:r>
    </w:p>
    <w:p w:rsidR="00000000" w:rsidDel="00000000" w:rsidP="00000000" w:rsidRDefault="00000000" w:rsidRPr="00000000" w14:paraId="00000019">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Estimulación cognitiva</w:t>
      </w:r>
    </w:p>
    <w:p w:rsidR="00000000" w:rsidDel="00000000" w:rsidP="00000000" w:rsidRDefault="00000000" w:rsidRPr="00000000" w14:paraId="0000001A">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Grupos de habilidades socio-emocionales</w:t>
      </w:r>
    </w:p>
    <w:p w:rsidR="00000000" w:rsidDel="00000000" w:rsidP="00000000" w:rsidRDefault="00000000" w:rsidRPr="00000000" w14:paraId="0000001B">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Talleres para mujeres y diversidades</w:t>
      </w:r>
    </w:p>
    <w:p w:rsidR="00000000" w:rsidDel="00000000" w:rsidP="00000000" w:rsidRDefault="00000000" w:rsidRPr="00000000" w14:paraId="0000001C">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Huertas comunitarias</w:t>
      </w:r>
    </w:p>
    <w:p w:rsidR="00000000" w:rsidDel="00000000" w:rsidP="00000000" w:rsidRDefault="00000000" w:rsidRPr="00000000" w14:paraId="0000001D">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Grupos de crianza</w:t>
      </w:r>
    </w:p>
    <w:p w:rsidR="00000000" w:rsidDel="00000000" w:rsidP="00000000" w:rsidRDefault="00000000" w:rsidRPr="00000000" w14:paraId="0000001E">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Alfabetización</w:t>
      </w:r>
    </w:p>
    <w:p w:rsidR="00000000" w:rsidDel="00000000" w:rsidP="00000000" w:rsidRDefault="00000000" w:rsidRPr="00000000" w14:paraId="0000001F">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Grupos de orientación a familias</w:t>
      </w:r>
    </w:p>
    <w:p w:rsidR="00000000" w:rsidDel="00000000" w:rsidP="00000000" w:rsidRDefault="00000000" w:rsidRPr="00000000" w14:paraId="00000020">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Caminatas saludables</w:t>
      </w:r>
    </w:p>
    <w:p w:rsidR="00000000" w:rsidDel="00000000" w:rsidP="00000000" w:rsidRDefault="00000000" w:rsidRPr="00000000" w14:paraId="00000021">
      <w:pPr>
        <w:pBdr>
          <w:bottom w:color="1b3a6b" w:space="3" w:sz="8" w:val="single"/>
        </w:pBdr>
        <w:spacing w:after="14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6"/>
          <w:szCs w:val="26"/>
          <w:rtl w:val="0"/>
        </w:rPr>
        <w:t xml:space="preserve">Datos censales de salud</w:t>
      </w:r>
      <w:r w:rsidDel="00000000" w:rsidR="00000000" w:rsidRPr="00000000">
        <w:rPr>
          <w:rtl w:val="0"/>
        </w:rPr>
      </w:r>
    </w:p>
    <w:p w:rsidR="00000000" w:rsidDel="00000000" w:rsidP="00000000" w:rsidRDefault="00000000" w:rsidRPr="00000000" w14:paraId="00000022">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datos que se presentan a continuación corresponden al Censo Nacional de Población, Hogares y Viviendas 2022 (INDEC), para el partido de Tres de Febrero.</w:t>
      </w:r>
    </w:p>
    <w:p w:rsidR="00000000" w:rsidDel="00000000" w:rsidP="00000000" w:rsidRDefault="00000000" w:rsidRPr="00000000" w14:paraId="00000023">
      <w:pPr>
        <w:spacing w:after="100" w:before="20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2"/>
          <w:szCs w:val="22"/>
          <w:rtl w:val="0"/>
        </w:rPr>
        <w:t xml:space="preserve">Cobertura de salud</w:t>
      </w:r>
      <w:r w:rsidDel="00000000" w:rsidR="00000000" w:rsidRPr="00000000">
        <w:rPr>
          <w:rtl w:val="0"/>
        </w:rPr>
      </w:r>
    </w:p>
    <w:tbl>
      <w:tblPr>
        <w:tblStyle w:val="Table2"/>
        <w:tblW w:w="9360.0" w:type="dxa"/>
        <w:jc w:val="left"/>
        <w:tblBorders>
          <w:top w:color="d9dde4" w:space="0" w:sz="4" w:val="single"/>
          <w:left w:color="d9dde4" w:space="0" w:sz="4" w:val="single"/>
          <w:bottom w:color="d9dde4" w:space="0" w:sz="4" w:val="single"/>
          <w:right w:color="d9dde4" w:space="0" w:sz="4" w:val="single"/>
          <w:insideH w:color="d9dde4" w:space="0" w:sz="4" w:val="single"/>
          <w:insideV w:color="d9dde4" w:space="0" w:sz="4" w:val="single"/>
        </w:tblBorders>
        <w:tblLayout w:type="fixed"/>
        <w:tblLook w:val="0000"/>
      </w:tblPr>
      <w:tblGrid>
        <w:gridCol w:w="5200"/>
        <w:gridCol w:w="2280"/>
        <w:gridCol w:w="1880"/>
        <w:tblGridChange w:id="0">
          <w:tblGrid>
            <w:gridCol w:w="5200"/>
            <w:gridCol w:w="2280"/>
            <w:gridCol w:w="1880"/>
          </w:tblGrid>
        </w:tblGridChange>
      </w:tblGrid>
      <w:tr>
        <w:trPr>
          <w:cantSplit w:val="0"/>
          <w:tblHeader w:val="1"/>
        </w:trPr>
        <w:tc>
          <w:tcPr>
            <w:shd w:fill="1b3a6b" w:val="clear"/>
            <w:tcMar>
              <w:top w:w="40.0" w:type="dxa"/>
              <w:left w:w="100.0" w:type="dxa"/>
              <w:bottom w:w="40.0" w:type="dxa"/>
              <w:right w:w="100.0" w:type="dxa"/>
            </w:tcMar>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Tipo de cobertura de salud</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25">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Personas</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26">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rtl w:val="0"/>
              </w:rPr>
              <w:t xml:space="preserve">Obra social o prepaga (incluye PAMI)</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8">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256.381</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9">
            <w:pPr>
              <w:jc w:val="right"/>
              <w:rPr>
                <w:rFonts w:ascii="Calibri" w:cs="Calibri" w:eastAsia="Calibri" w:hAnsi="Calibri"/>
                <w:sz w:val="22"/>
                <w:szCs w:val="22"/>
              </w:rPr>
            </w:pPr>
            <w:r w:rsidDel="00000000" w:rsidR="00000000" w:rsidRPr="00000000">
              <w:rPr>
                <w:rFonts w:ascii="Calibri" w:cs="Calibri" w:eastAsia="Calibri" w:hAnsi="Calibri"/>
                <w:rtl w:val="0"/>
              </w:rPr>
              <w:t xml:space="preserve">70,8%</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rtl w:val="0"/>
              </w:rPr>
              <w:t xml:space="preserve">Programas o planes estatales de salud</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B">
            <w:pPr>
              <w:jc w:val="right"/>
              <w:rPr>
                <w:rFonts w:ascii="Calibri" w:cs="Calibri" w:eastAsia="Calibri" w:hAnsi="Calibri"/>
                <w:sz w:val="22"/>
                <w:szCs w:val="22"/>
              </w:rPr>
            </w:pPr>
            <w:r w:rsidDel="00000000" w:rsidR="00000000" w:rsidRPr="00000000">
              <w:rPr>
                <w:rFonts w:ascii="Calibri" w:cs="Calibri" w:eastAsia="Calibri" w:hAnsi="Calibri"/>
                <w:rtl w:val="0"/>
              </w:rPr>
              <w:t xml:space="preserve">7.398</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C">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blHeader w:val="0"/>
        </w:trPr>
        <w:tc>
          <w:tcPr>
            <w:shd w:fill="f2f4f8" w:val="clear"/>
            <w:tcMar>
              <w:top w:w="40.0" w:type="dxa"/>
              <w:left w:w="100.0" w:type="dxa"/>
              <w:bottom w:w="40.0" w:type="dxa"/>
              <w:right w:w="100.0" w:type="dxa"/>
            </w:tcMar>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Con alguna cobertura</w:t>
            </w:r>
            <w:r w:rsidDel="00000000" w:rsidR="00000000" w:rsidRPr="00000000">
              <w:rPr>
                <w:rtl w:val="0"/>
              </w:rPr>
            </w:r>
          </w:p>
        </w:tc>
        <w:tc>
          <w:tcPr>
            <w:shd w:fill="f2f4f8" w:val="clear"/>
            <w:tcMar>
              <w:top w:w="40.0" w:type="dxa"/>
              <w:left w:w="100.0" w:type="dxa"/>
              <w:bottom w:w="40.0" w:type="dxa"/>
              <w:right w:w="100.0" w:type="dxa"/>
            </w:tcMar>
          </w:tcPr>
          <w:p w:rsidR="00000000" w:rsidDel="00000000" w:rsidP="00000000" w:rsidRDefault="00000000" w:rsidRPr="00000000" w14:paraId="0000002E">
            <w:pPr>
              <w:jc w:val="right"/>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263.779</w:t>
            </w:r>
            <w:r w:rsidDel="00000000" w:rsidR="00000000" w:rsidRPr="00000000">
              <w:rPr>
                <w:rtl w:val="0"/>
              </w:rPr>
            </w:r>
          </w:p>
        </w:tc>
        <w:tc>
          <w:tcPr>
            <w:shd w:fill="f2f4f8" w:val="clear"/>
            <w:tcMar>
              <w:top w:w="40.0" w:type="dxa"/>
              <w:left w:w="100.0" w:type="dxa"/>
              <w:bottom w:w="40.0" w:type="dxa"/>
              <w:right w:w="100.0" w:type="dxa"/>
            </w:tcMar>
          </w:tcPr>
          <w:p w:rsidR="00000000" w:rsidDel="00000000" w:rsidP="00000000" w:rsidRDefault="00000000" w:rsidRPr="00000000" w14:paraId="0000002F">
            <w:pPr>
              <w:jc w:val="right"/>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72,8%</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rtl w:val="0"/>
              </w:rPr>
              <w:t xml:space="preserve">Sin obra social, prepaga ni plan estatal</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1">
            <w:pPr>
              <w:jc w:val="right"/>
              <w:rPr>
                <w:rFonts w:ascii="Calibri" w:cs="Calibri" w:eastAsia="Calibri" w:hAnsi="Calibri"/>
                <w:sz w:val="22"/>
                <w:szCs w:val="22"/>
              </w:rPr>
            </w:pPr>
            <w:r w:rsidDel="00000000" w:rsidR="00000000" w:rsidRPr="00000000">
              <w:rPr>
                <w:rFonts w:ascii="Calibri" w:cs="Calibri" w:eastAsia="Calibri" w:hAnsi="Calibri"/>
                <w:rtl w:val="0"/>
              </w:rPr>
              <w:t xml:space="preserve">98.540</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2">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27,2%</w:t>
            </w:r>
            <w:r w:rsidDel="00000000" w:rsidR="00000000" w:rsidRPr="00000000">
              <w:rPr>
                <w:rtl w:val="0"/>
              </w:rPr>
            </w:r>
          </w:p>
        </w:tc>
      </w:tr>
    </w:tbl>
    <w:p w:rsidR="00000000" w:rsidDel="00000000" w:rsidP="00000000" w:rsidRDefault="00000000" w:rsidRPr="00000000" w14:paraId="00000033">
      <w:pPr>
        <w:spacing w:after="160" w:before="60" w:lineRule="auto"/>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Universo: población total en viviendas particulares (362.319 personas). No incluye la población residente en viviendas colectivas, motivo por el cual el total difiere de la población del partido (364.176 hab.).</w:t>
      </w:r>
      <w:r w:rsidDel="00000000" w:rsidR="00000000" w:rsidRPr="00000000">
        <w:rPr>
          <w:rtl w:val="0"/>
        </w:rPr>
      </w:r>
    </w:p>
    <w:p w:rsidR="00000000" w:rsidDel="00000000" w:rsidP="00000000" w:rsidRDefault="00000000" w:rsidRPr="00000000" w14:paraId="00000034">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72,8% de la población cuenta con alguna cobertura de salud (obra social, prepaga o plan estatal). La proporción de población sin cobertura en Tres de Febrero (27,2%) es </w:t>
      </w:r>
      <w:r w:rsidDel="00000000" w:rsidR="00000000" w:rsidRPr="00000000">
        <w:rPr>
          <w:rFonts w:ascii="Calibri" w:cs="Calibri" w:eastAsia="Calibri" w:hAnsi="Calibri"/>
          <w:b w:val="1"/>
          <w:bCs w:val="1"/>
          <w:sz w:val="22"/>
          <w:szCs w:val="22"/>
          <w:rtl w:val="0"/>
        </w:rPr>
        <w:t xml:space="preserve">inferior al promedio de los 24 Partidos del Gran Buenos Aires (37,6%) y al total provincial (35,1%)</w:t>
      </w:r>
      <w:r w:rsidDel="00000000" w:rsidR="00000000" w:rsidRPr="00000000">
        <w:rPr>
          <w:rFonts w:ascii="Calibri" w:cs="Calibri" w:eastAsia="Calibri" w:hAnsi="Calibri"/>
          <w:sz w:val="22"/>
          <w:szCs w:val="22"/>
          <w:rtl w:val="0"/>
        </w:rPr>
        <w:t xml:space="preserve">, lo que ubica al distrito en una posición relativamente favorable en materia de aseguramiento en salud.</w:t>
      </w:r>
    </w:p>
    <w:tbl>
      <w:tblPr>
        <w:tblStyle w:val="Table3"/>
        <w:tblW w:w="9360.0" w:type="dxa"/>
        <w:jc w:val="left"/>
        <w:tblBorders>
          <w:top w:color="d9dde4" w:space="0" w:sz="4" w:val="single"/>
          <w:left w:color="d9dde4" w:space="0" w:sz="4" w:val="single"/>
          <w:bottom w:color="d9dde4" w:space="0" w:sz="4" w:val="single"/>
          <w:right w:color="d9dde4" w:space="0" w:sz="4" w:val="single"/>
          <w:insideH w:color="d9dde4" w:space="0" w:sz="4" w:val="single"/>
          <w:insideV w:color="d9dde4" w:space="0" w:sz="4" w:val="single"/>
        </w:tblBorders>
        <w:tblLayout w:type="fixed"/>
        <w:tblLook w:val="0000"/>
      </w:tblPr>
      <w:tblGrid>
        <w:gridCol w:w="5200"/>
        <w:gridCol w:w="2280"/>
        <w:gridCol w:w="1880"/>
        <w:tblGridChange w:id="0">
          <w:tblGrid>
            <w:gridCol w:w="5200"/>
            <w:gridCol w:w="2280"/>
            <w:gridCol w:w="1880"/>
          </w:tblGrid>
        </w:tblGridChange>
      </w:tblGrid>
      <w:tr>
        <w:trPr>
          <w:cantSplit w:val="0"/>
          <w:tblHeader w:val="1"/>
        </w:trPr>
        <w:tc>
          <w:tcPr>
            <w:shd w:fill="1b3a6b" w:val="clear"/>
            <w:tcMar>
              <w:top w:w="40.0" w:type="dxa"/>
              <w:left w:w="100.0" w:type="dxa"/>
              <w:bottom w:w="40.0" w:type="dxa"/>
              <w:right w:w="100.0" w:type="dxa"/>
            </w:tcMar>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Población sin cobertura de salud</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36">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Personas</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37">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rtl w:val="0"/>
              </w:rPr>
              <w:t xml:space="preserve">Tres de Febrero</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9">
            <w:pPr>
              <w:jc w:val="right"/>
              <w:rPr>
                <w:rFonts w:ascii="Calibri" w:cs="Calibri" w:eastAsia="Calibri" w:hAnsi="Calibri"/>
                <w:sz w:val="22"/>
                <w:szCs w:val="22"/>
              </w:rPr>
            </w:pPr>
            <w:r w:rsidDel="00000000" w:rsidR="00000000" w:rsidRPr="00000000">
              <w:rPr>
                <w:rFonts w:ascii="Calibri" w:cs="Calibri" w:eastAsia="Calibri" w:hAnsi="Calibri"/>
                <w:rtl w:val="0"/>
              </w:rPr>
              <w:t xml:space="preserve">98.540</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A">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27,2%</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rtl w:val="0"/>
              </w:rPr>
              <w:t xml:space="preserve">24 Partidos del Gran Buenos Aires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C">
            <w:pPr>
              <w:jc w:val="right"/>
              <w:rPr>
                <w:rFonts w:ascii="Calibri" w:cs="Calibri" w:eastAsia="Calibri" w:hAnsi="Calibri"/>
                <w:sz w:val="22"/>
                <w:szCs w:val="22"/>
              </w:rPr>
            </w:pPr>
            <w:r w:rsidDel="00000000" w:rsidR="00000000" w:rsidRPr="00000000">
              <w:rPr>
                <w:rFonts w:ascii="Calibri" w:cs="Calibri" w:eastAsia="Calibri" w:hAnsi="Calibri"/>
                <w:rtl w:val="0"/>
              </w:rPr>
              <w:t xml:space="preserve">4.056.187</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D">
            <w:pPr>
              <w:jc w:val="right"/>
              <w:rPr>
                <w:rFonts w:ascii="Calibri" w:cs="Calibri" w:eastAsia="Calibri" w:hAnsi="Calibri"/>
                <w:sz w:val="22"/>
                <w:szCs w:val="22"/>
              </w:rPr>
            </w:pPr>
            <w:r w:rsidDel="00000000" w:rsidR="00000000" w:rsidRPr="00000000">
              <w:rPr>
                <w:rFonts w:ascii="Calibri" w:cs="Calibri" w:eastAsia="Calibri" w:hAnsi="Calibri"/>
                <w:rtl w:val="0"/>
              </w:rPr>
              <w:t xml:space="preserve">37,6%</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rtl w:val="0"/>
              </w:rPr>
              <w:t xml:space="preserve">Total Provincia de Buenos Aires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F">
            <w:pPr>
              <w:jc w:val="right"/>
              <w:rPr>
                <w:rFonts w:ascii="Calibri" w:cs="Calibri" w:eastAsia="Calibri" w:hAnsi="Calibri"/>
                <w:sz w:val="22"/>
                <w:szCs w:val="22"/>
              </w:rPr>
            </w:pPr>
            <w:r w:rsidDel="00000000" w:rsidR="00000000" w:rsidRPr="00000000">
              <w:rPr>
                <w:rFonts w:ascii="Calibri" w:cs="Calibri" w:eastAsia="Calibri" w:hAnsi="Calibri"/>
                <w:rtl w:val="0"/>
              </w:rPr>
              <w:t xml:space="preserve">6.111.393</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0">
            <w:pPr>
              <w:jc w:val="right"/>
              <w:rPr>
                <w:rFonts w:ascii="Calibri" w:cs="Calibri" w:eastAsia="Calibri" w:hAnsi="Calibri"/>
                <w:sz w:val="22"/>
                <w:szCs w:val="22"/>
              </w:rPr>
            </w:pPr>
            <w:r w:rsidDel="00000000" w:rsidR="00000000" w:rsidRPr="00000000">
              <w:rPr>
                <w:rFonts w:ascii="Calibri" w:cs="Calibri" w:eastAsia="Calibri" w:hAnsi="Calibri"/>
                <w:rtl w:val="0"/>
              </w:rPr>
              <w:t xml:space="preserve">35,1%</w:t>
            </w:r>
            <w:r w:rsidDel="00000000" w:rsidR="00000000" w:rsidRPr="00000000">
              <w:rPr>
                <w:rtl w:val="0"/>
              </w:rPr>
            </w:r>
          </w:p>
        </w:tc>
      </w:tr>
    </w:tbl>
    <w:p w:rsidR="00000000" w:rsidDel="00000000" w:rsidP="00000000" w:rsidRDefault="00000000" w:rsidRPr="00000000" w14:paraId="00000041">
      <w:pPr>
        <w:spacing w:after="100" w:before="20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2"/>
          <w:szCs w:val="22"/>
          <w:rtl w:val="0"/>
        </w:rPr>
        <w:t xml:space="preserve">Previsión social – jubilación y pensión</w:t>
      </w:r>
      <w:r w:rsidDel="00000000" w:rsidR="00000000" w:rsidRPr="00000000">
        <w:rPr>
          <w:rtl w:val="0"/>
        </w:rPr>
      </w:r>
    </w:p>
    <w:tbl>
      <w:tblPr>
        <w:tblStyle w:val="Table4"/>
        <w:tblW w:w="9360.0" w:type="dxa"/>
        <w:jc w:val="left"/>
        <w:tblBorders>
          <w:top w:color="d9dde4" w:space="0" w:sz="4" w:val="single"/>
          <w:left w:color="d9dde4" w:space="0" w:sz="4" w:val="single"/>
          <w:bottom w:color="d9dde4" w:space="0" w:sz="4" w:val="single"/>
          <w:right w:color="d9dde4" w:space="0" w:sz="4" w:val="single"/>
          <w:insideH w:color="d9dde4" w:space="0" w:sz="4" w:val="single"/>
          <w:insideV w:color="d9dde4" w:space="0" w:sz="4" w:val="single"/>
        </w:tblBorders>
        <w:tblLayout w:type="fixed"/>
        <w:tblLook w:val="0000"/>
      </w:tblPr>
      <w:tblGrid>
        <w:gridCol w:w="5200"/>
        <w:gridCol w:w="2280"/>
        <w:gridCol w:w="1880"/>
        <w:tblGridChange w:id="0">
          <w:tblGrid>
            <w:gridCol w:w="5200"/>
            <w:gridCol w:w="2280"/>
            <w:gridCol w:w="1880"/>
          </w:tblGrid>
        </w:tblGridChange>
      </w:tblGrid>
      <w:tr>
        <w:trPr>
          <w:cantSplit w:val="0"/>
          <w:tblHeader w:val="1"/>
        </w:trPr>
        <w:tc>
          <w:tcPr>
            <w:shd w:fill="1b3a6b" w:val="clear"/>
            <w:tcMar>
              <w:top w:w="40.0" w:type="dxa"/>
              <w:left w:w="100.0" w:type="dxa"/>
              <w:bottom w:w="40.0" w:type="dxa"/>
              <w:right w:w="100.0" w:type="dxa"/>
            </w:tcMar>
          </w:tcPr>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Percepción de jubilación o pensión</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43">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Personas</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44">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r>
      <w:tr>
        <w:trPr>
          <w:cantSplit w:val="0"/>
          <w:tblHeader w:val="0"/>
        </w:trPr>
        <w:tc>
          <w:tcPr>
            <w:shd w:fill="f2f4f8" w:val="clear"/>
            <w:tcMar>
              <w:top w:w="40.0" w:type="dxa"/>
              <w:left w:w="100.0" w:type="dxa"/>
              <w:bottom w:w="40.0" w:type="dxa"/>
              <w:right w:w="100.0" w:type="dxa"/>
            </w:tcMar>
          </w:tcPr>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Percibe jubilación o pensión</w:t>
            </w:r>
            <w:r w:rsidDel="00000000" w:rsidR="00000000" w:rsidRPr="00000000">
              <w:rPr>
                <w:rtl w:val="0"/>
              </w:rPr>
            </w:r>
          </w:p>
        </w:tc>
        <w:tc>
          <w:tcPr>
            <w:shd w:fill="f2f4f8" w:val="clear"/>
            <w:tcMar>
              <w:top w:w="40.0" w:type="dxa"/>
              <w:left w:w="100.0" w:type="dxa"/>
              <w:bottom w:w="40.0" w:type="dxa"/>
              <w:right w:w="100.0" w:type="dxa"/>
            </w:tcMar>
          </w:tcPr>
          <w:p w:rsidR="00000000" w:rsidDel="00000000" w:rsidP="00000000" w:rsidRDefault="00000000" w:rsidRPr="00000000" w14:paraId="00000046">
            <w:pPr>
              <w:jc w:val="right"/>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75.242</w:t>
            </w:r>
            <w:r w:rsidDel="00000000" w:rsidR="00000000" w:rsidRPr="00000000">
              <w:rPr>
                <w:rtl w:val="0"/>
              </w:rPr>
            </w:r>
          </w:p>
        </w:tc>
        <w:tc>
          <w:tcPr>
            <w:shd w:fill="f2f4f8" w:val="clear"/>
            <w:tcMar>
              <w:top w:w="40.0" w:type="dxa"/>
              <w:left w:w="100.0" w:type="dxa"/>
              <w:bottom w:w="40.0" w:type="dxa"/>
              <w:right w:w="100.0" w:type="dxa"/>
            </w:tcMar>
          </w:tcPr>
          <w:p w:rsidR="00000000" w:rsidDel="00000000" w:rsidP="00000000" w:rsidRDefault="00000000" w:rsidRPr="00000000" w14:paraId="00000047">
            <w:pPr>
              <w:jc w:val="right"/>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20,8%</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rtl w:val="0"/>
              </w:rPr>
              <w:t xml:space="preserve">     Solo jubilación</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9">
            <w:pPr>
              <w:jc w:val="right"/>
              <w:rPr>
                <w:rFonts w:ascii="Calibri" w:cs="Calibri" w:eastAsia="Calibri" w:hAnsi="Calibri"/>
                <w:sz w:val="22"/>
                <w:szCs w:val="22"/>
              </w:rPr>
            </w:pPr>
            <w:r w:rsidDel="00000000" w:rsidR="00000000" w:rsidRPr="00000000">
              <w:rPr>
                <w:rFonts w:ascii="Calibri" w:cs="Calibri" w:eastAsia="Calibri" w:hAnsi="Calibri"/>
                <w:rtl w:val="0"/>
              </w:rPr>
              <w:t xml:space="preserve">47.171</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A">
            <w:pPr>
              <w:jc w:val="right"/>
              <w:rPr>
                <w:rFonts w:ascii="Calibri" w:cs="Calibri" w:eastAsia="Calibri" w:hAnsi="Calibri"/>
                <w:sz w:val="22"/>
                <w:szCs w:val="22"/>
              </w:rPr>
            </w:pP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rtl w:val="0"/>
              </w:rPr>
              <w:t xml:space="preserve">     Solo pensión por fallecimiento</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C">
            <w:pPr>
              <w:jc w:val="right"/>
              <w:rPr>
                <w:rFonts w:ascii="Calibri" w:cs="Calibri" w:eastAsia="Calibri" w:hAnsi="Calibri"/>
                <w:sz w:val="22"/>
                <w:szCs w:val="22"/>
              </w:rPr>
            </w:pPr>
            <w:r w:rsidDel="00000000" w:rsidR="00000000" w:rsidRPr="00000000">
              <w:rPr>
                <w:rFonts w:ascii="Calibri" w:cs="Calibri" w:eastAsia="Calibri" w:hAnsi="Calibri"/>
                <w:rtl w:val="0"/>
              </w:rPr>
              <w:t xml:space="preserve">4.546</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D">
            <w:pPr>
              <w:jc w:val="right"/>
              <w:rPr>
                <w:rFonts w:ascii="Calibri" w:cs="Calibri" w:eastAsia="Calibri" w:hAnsi="Calibri"/>
                <w:sz w:val="22"/>
                <w:szCs w:val="22"/>
              </w:rPr>
            </w:pP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rtl w:val="0"/>
              </w:rPr>
              <w:t xml:space="preserve">     Jubilación y pensión por fallecimiento</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4F">
            <w:pPr>
              <w:jc w:val="right"/>
              <w:rPr>
                <w:rFonts w:ascii="Calibri" w:cs="Calibri" w:eastAsia="Calibri" w:hAnsi="Calibri"/>
                <w:sz w:val="22"/>
                <w:szCs w:val="22"/>
              </w:rPr>
            </w:pPr>
            <w:r w:rsidDel="00000000" w:rsidR="00000000" w:rsidRPr="00000000">
              <w:rPr>
                <w:rFonts w:ascii="Calibri" w:cs="Calibri" w:eastAsia="Calibri" w:hAnsi="Calibri"/>
                <w:rtl w:val="0"/>
              </w:rPr>
              <w:t xml:space="preserve">13.369</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50">
            <w:pPr>
              <w:jc w:val="right"/>
              <w:rPr>
                <w:rFonts w:ascii="Calibri" w:cs="Calibri" w:eastAsia="Calibri" w:hAnsi="Calibri"/>
                <w:sz w:val="22"/>
                <w:szCs w:val="22"/>
              </w:rPr>
            </w:pP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rtl w:val="0"/>
              </w:rPr>
              <w:t xml:space="preserve">     Solo pensión de otro tipo</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52">
            <w:pPr>
              <w:jc w:val="right"/>
              <w:rPr>
                <w:rFonts w:ascii="Calibri" w:cs="Calibri" w:eastAsia="Calibri" w:hAnsi="Calibri"/>
                <w:sz w:val="22"/>
                <w:szCs w:val="22"/>
              </w:rPr>
            </w:pPr>
            <w:r w:rsidDel="00000000" w:rsidR="00000000" w:rsidRPr="00000000">
              <w:rPr>
                <w:rFonts w:ascii="Calibri" w:cs="Calibri" w:eastAsia="Calibri" w:hAnsi="Calibri"/>
                <w:rtl w:val="0"/>
              </w:rPr>
              <w:t xml:space="preserve">10.156</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53">
            <w:pPr>
              <w:jc w:val="right"/>
              <w:rPr>
                <w:rFonts w:ascii="Calibri" w:cs="Calibri" w:eastAsia="Calibri" w:hAnsi="Calibri"/>
                <w:sz w:val="22"/>
                <w:szCs w:val="22"/>
              </w:rPr>
            </w:pP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rtl w:val="0"/>
              </w:rPr>
              <w:t xml:space="preserve">No percibe</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55">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287.077</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56">
            <w:pPr>
              <w:jc w:val="right"/>
              <w:rPr>
                <w:rFonts w:ascii="Calibri" w:cs="Calibri" w:eastAsia="Calibri" w:hAnsi="Calibri"/>
                <w:sz w:val="22"/>
                <w:szCs w:val="22"/>
              </w:rPr>
            </w:pPr>
            <w:r w:rsidDel="00000000" w:rsidR="00000000" w:rsidRPr="00000000">
              <w:rPr>
                <w:rFonts w:ascii="Calibri" w:cs="Calibri" w:eastAsia="Calibri" w:hAnsi="Calibri"/>
                <w:rtl w:val="0"/>
              </w:rPr>
              <w:t xml:space="preserve">79,2%</w:t>
            </w:r>
            <w:r w:rsidDel="00000000" w:rsidR="00000000" w:rsidRPr="00000000">
              <w:rPr>
                <w:rtl w:val="0"/>
              </w:rPr>
            </w:r>
          </w:p>
        </w:tc>
      </w:tr>
    </w:tbl>
    <w:p w:rsidR="00000000" w:rsidDel="00000000" w:rsidP="00000000" w:rsidRDefault="00000000" w:rsidRPr="00000000" w14:paraId="00000057">
      <w:pPr>
        <w:spacing w:after="160" w:before="60" w:lineRule="auto"/>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Universo: población total en viviendas particulares (362.319 personas). Fuente: Censo 2022 (INDEC).</w:t>
      </w:r>
      <w:r w:rsidDel="00000000" w:rsidR="00000000" w:rsidRPr="00000000">
        <w:rPr>
          <w:rtl w:val="0"/>
        </w:rPr>
      </w:r>
    </w:p>
    <w:p w:rsidR="00000000" w:rsidDel="00000000" w:rsidP="00000000" w:rsidRDefault="00000000" w:rsidRPr="00000000" w14:paraId="00000058">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20,8% de la población percibe una jubilación o pensión, proporción levemente superior al promedio provincial (18,3%).</w:t>
      </w:r>
    </w:p>
    <w:p w:rsidR="00000000" w:rsidDel="00000000" w:rsidP="00000000" w:rsidRDefault="00000000" w:rsidRPr="00000000" w14:paraId="00000059">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A">
      <w:pPr>
        <w:pBdr>
          <w:bottom w:color="1b3a6b" w:space="3" w:sz="8" w:val="single"/>
        </w:pBdr>
        <w:spacing w:after="14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6"/>
          <w:szCs w:val="26"/>
          <w:rtl w:val="0"/>
        </w:rPr>
        <w:t xml:space="preserve">Establecimientos hospitalarios</w:t>
      </w:r>
      <w:r w:rsidDel="00000000" w:rsidR="00000000" w:rsidRPr="00000000">
        <w:rPr>
          <w:rtl w:val="0"/>
        </w:rPr>
      </w:r>
    </w:p>
    <w:p w:rsidR="00000000" w:rsidDel="00000000" w:rsidP="00000000" w:rsidRDefault="00000000" w:rsidRPr="00000000" w14:paraId="0000005B">
      <w:pPr>
        <w:spacing w:after="100" w:before="20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2"/>
          <w:szCs w:val="22"/>
          <w:rtl w:val="0"/>
        </w:rPr>
        <w:t xml:space="preserve">Hospitales municipales monovalentes</w:t>
      </w:r>
      <w:r w:rsidDel="00000000" w:rsidR="00000000" w:rsidRPr="00000000">
        <w:rPr>
          <w:rtl w:val="0"/>
        </w:rPr>
      </w:r>
    </w:p>
    <w:p w:rsidR="00000000" w:rsidDel="00000000" w:rsidP="00000000" w:rsidRDefault="00000000" w:rsidRPr="00000000" w14:paraId="0000005C">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municipio cuenta con 2 hospitales monovalentes de gestión municipal, orientados a la atención oftalmológica y odontológica (Hospital Norberto Di Próspero), que complementan la red de atención primaria en especialidades de alta demanda.</w:t>
      </w:r>
    </w:p>
    <w:p w:rsidR="00000000" w:rsidDel="00000000" w:rsidP="00000000" w:rsidRDefault="00000000" w:rsidRPr="00000000" w14:paraId="0000005D">
      <w:pPr>
        <w:spacing w:after="100" w:before="20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2"/>
          <w:szCs w:val="22"/>
          <w:rtl w:val="0"/>
        </w:rPr>
        <w:t xml:space="preserve">Hospitales provinciales</w:t>
      </w:r>
      <w:r w:rsidDel="00000000" w:rsidR="00000000" w:rsidRPr="00000000">
        <w:rPr>
          <w:rtl w:val="0"/>
        </w:rPr>
      </w:r>
    </w:p>
    <w:p w:rsidR="00000000" w:rsidDel="00000000" w:rsidP="00000000" w:rsidRDefault="00000000" w:rsidRPr="00000000" w14:paraId="0000005E">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Dentro del partido funcionan 2 hospitales de gestión provincial, ambos pertenecientes a la Región Sanitaria VII del Ministerio de Salud de la Provincia de Buenos Aires:</w:t>
      </w:r>
    </w:p>
    <w:p w:rsidR="00000000" w:rsidDel="00000000" w:rsidP="00000000" w:rsidRDefault="00000000" w:rsidRPr="00000000" w14:paraId="0000005F">
      <w:pPr>
        <w:numPr>
          <w:ilvl w:val="0"/>
          <w:numId w:val="2"/>
        </w:numPr>
        <w:spacing w:after="6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Hospital Zonal General de Agudos “Dr. Carlos A. Bocalandro”. </w:t>
      </w:r>
      <w:r w:rsidDel="00000000" w:rsidR="00000000" w:rsidRPr="00000000">
        <w:rPr>
          <w:rFonts w:ascii="Calibri" w:cs="Calibri" w:eastAsia="Calibri" w:hAnsi="Calibri"/>
          <w:sz w:val="22"/>
          <w:szCs w:val="22"/>
          <w:rtl w:val="0"/>
        </w:rPr>
        <w:t xml:space="preserve">Av. Eva Perón (ex Ruta 8) Km 20,5 N° 9100, Loma Hermosa. Inaugurado en 1996; cuenta con aproximadamente 175 camas. Establecimiento de alta complejidad, con servicios de cirugía videolaparoscópica, endoscopía, diagnóstico por imágenes, neonatología y oncoginecología. Registra del orden de 220.000 consultas externas y unos 2.000 nacimientos anuales.</w:t>
      </w:r>
    </w:p>
    <w:p w:rsidR="00000000" w:rsidDel="00000000" w:rsidP="00000000" w:rsidRDefault="00000000" w:rsidRPr="00000000" w14:paraId="00000060">
      <w:pPr>
        <w:numPr>
          <w:ilvl w:val="0"/>
          <w:numId w:val="2"/>
        </w:numPr>
        <w:spacing w:after="6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Hospital Zonal General de Agudos “Prof. Dr. Ramón Carrillo”. </w:t>
      </w:r>
      <w:r w:rsidDel="00000000" w:rsidR="00000000" w:rsidRPr="00000000">
        <w:rPr>
          <w:rFonts w:ascii="Calibri" w:cs="Calibri" w:eastAsia="Calibri" w:hAnsi="Calibri"/>
          <w:sz w:val="22"/>
          <w:szCs w:val="22"/>
          <w:rtl w:val="0"/>
        </w:rPr>
        <w:t xml:space="preserve">Hipólito Yrigoyen 1051 (y Besares), Ciudadela. Cuenta con entre 164 y 200 camas según las ampliaciones realizadas. Dispone de servicios de maternidad y neonatología (del orden de 900 a 1.200 partos anuales) y es sede de la base del Sistema Integrado de Emergencia Sanitaria (SIES) de la Región Sanitaria VII.</w:t>
      </w:r>
    </w:p>
    <w:p w:rsidR="00000000" w:rsidDel="00000000" w:rsidP="00000000" w:rsidRDefault="00000000" w:rsidRPr="00000000" w14:paraId="00000061">
      <w:pPr>
        <w:spacing w:after="100" w:before="20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2"/>
          <w:szCs w:val="22"/>
          <w:rtl w:val="0"/>
        </w:rPr>
        <w:t xml:space="preserve">Hospital nacional de referencia</w:t>
      </w:r>
      <w:r w:rsidDel="00000000" w:rsidR="00000000" w:rsidRPr="00000000">
        <w:rPr>
          <w:rtl w:val="0"/>
        </w:rPr>
      </w:r>
    </w:p>
    <w:p w:rsidR="00000000" w:rsidDel="00000000" w:rsidP="00000000" w:rsidRDefault="00000000" w:rsidRPr="00000000" w14:paraId="00000062">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b w:val="1"/>
          <w:bCs w:val="1"/>
          <w:sz w:val="22"/>
          <w:szCs w:val="22"/>
          <w:rtl w:val="0"/>
        </w:rPr>
        <w:t xml:space="preserve">Hospital Nacional “Prof. Alejandro Posadas”</w:t>
      </w:r>
      <w:r w:rsidDel="00000000" w:rsidR="00000000" w:rsidRPr="00000000">
        <w:rPr>
          <w:rFonts w:ascii="Calibri" w:cs="Calibri" w:eastAsia="Calibri" w:hAnsi="Calibri"/>
          <w:sz w:val="22"/>
          <w:szCs w:val="22"/>
          <w:rtl w:val="0"/>
        </w:rPr>
        <w:t xml:space="preserve"> constituye el establecimiento nacional de alta complejidad de referencia para la región. Se ubica en Av. Pte. Illia s/n y Av. Marconi, localidad de El Palomar (partido de Morón, limítrofe con Tres de Febrero), y depende del Ministerio de Salud de la Nación bajo el régimen de Hospitales Públicos de Gestión Descentralizada. Cuenta con aproximadamente 488 camas y su </w:t>
      </w:r>
      <w:r w:rsidDel="00000000" w:rsidR="00000000" w:rsidRPr="00000000">
        <w:rPr>
          <w:rFonts w:ascii="Calibri" w:cs="Calibri" w:eastAsia="Calibri" w:hAnsi="Calibri"/>
          <w:b w:val="1"/>
          <w:bCs w:val="1"/>
          <w:sz w:val="22"/>
          <w:szCs w:val="22"/>
          <w:rtl w:val="0"/>
        </w:rPr>
        <w:t xml:space="preserve">área de influencia directa abarca 15 partidos de las Regiones Sanitarias V, VII y XII, incluido Tres de Febrero</w:t>
      </w:r>
      <w:r w:rsidDel="00000000" w:rsidR="00000000" w:rsidRPr="00000000">
        <w:rPr>
          <w:rFonts w:ascii="Calibri" w:cs="Calibri" w:eastAsia="Calibri" w:hAnsi="Calibri"/>
          <w:sz w:val="22"/>
          <w:szCs w:val="22"/>
          <w:rtl w:val="0"/>
        </w:rPr>
        <w:t xml:space="preserve">, por lo que constituye un efector clave para la atención de alta complejidad de la población del distrito.</w:t>
      </w:r>
    </w:p>
    <w:p w:rsidR="00000000" w:rsidDel="00000000" w:rsidP="00000000" w:rsidRDefault="00000000" w:rsidRPr="00000000" w14:paraId="00000063">
      <w:pPr>
        <w:pBdr>
          <w:bottom w:color="1b3a6b" w:space="3" w:sz="8" w:val="single"/>
        </w:pBdr>
        <w:spacing w:after="14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6"/>
          <w:szCs w:val="26"/>
          <w:rtl w:val="0"/>
        </w:rPr>
        <w:t xml:space="preserve">Establecimientos y camas del sector público de salud</w:t>
      </w:r>
      <w:r w:rsidDel="00000000" w:rsidR="00000000" w:rsidRPr="00000000">
        <w:rPr>
          <w:rtl w:val="0"/>
        </w:rPr>
      </w:r>
    </w:p>
    <w:p w:rsidR="00000000" w:rsidDel="00000000" w:rsidP="00000000" w:rsidRDefault="00000000" w:rsidRPr="00000000" w14:paraId="00000064">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siguiente detalle complementa la descripción de la red de servicios con datos de establecimientos y camas del subsector público.</w:t>
      </w:r>
    </w:p>
    <w:sdt>
      <w:sdtPr>
        <w:lock w:val="contentLocked"/>
        <w:id w:val="-989511338"/>
        <w:tag w:val="goog_rdk_0"/>
      </w:sdtPr>
      <w:sdtContent>
        <w:tbl>
          <w:tblPr>
            <w:tblStyle w:val="Table5"/>
            <w:tblW w:w="9360.0" w:type="dxa"/>
            <w:jc w:val="left"/>
            <w:tblBorders>
              <w:top w:color="d9dde4" w:space="0" w:sz="4" w:val="single"/>
              <w:left w:color="d9dde4" w:space="0" w:sz="4" w:val="single"/>
              <w:bottom w:color="d9dde4" w:space="0" w:sz="4" w:val="single"/>
              <w:right w:color="d9dde4" w:space="0" w:sz="4" w:val="single"/>
              <w:insideH w:color="d9dde4" w:space="0" w:sz="4" w:val="single"/>
              <w:insideV w:color="d9dde4" w:space="0" w:sz="4" w:val="single"/>
            </w:tblBorders>
            <w:tblLayout w:type="fixed"/>
            <w:tblLook w:val="0000"/>
          </w:tblPr>
          <w:tblGrid>
            <w:gridCol w:w="6480"/>
            <w:gridCol w:w="2880"/>
            <w:tblGridChange w:id="0">
              <w:tblGrid>
                <w:gridCol w:w="6480"/>
                <w:gridCol w:w="2880"/>
              </w:tblGrid>
            </w:tblGridChange>
          </w:tblGrid>
          <w:tr>
            <w:trPr>
              <w:cantSplit w:val="0"/>
              <w:tblHeader w:val="1"/>
            </w:trPr>
            <w:tc>
              <w:tcPr>
                <w:shd w:fill="1b3a6b" w:val="clear"/>
                <w:tcMar>
                  <w:top w:w="40.0" w:type="dxa"/>
                  <w:left w:w="100.0" w:type="dxa"/>
                  <w:bottom w:w="40.0" w:type="dxa"/>
                  <w:right w:w="100.0" w:type="dxa"/>
                </w:tcMar>
              </w:tcPr>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Indicador</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66">
                <w:pPr>
                  <w:jc w:val="right"/>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Valor</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rtl w:val="0"/>
                  </w:rPr>
                  <w:t xml:space="preserve">Establecimientos de salud con internación</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68">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rtl w:val="0"/>
                  </w:rPr>
                  <w:t xml:space="preserve">Establecimientos de salud sin internación</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6A">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21</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rtl w:val="0"/>
                  </w:rPr>
                  <w:t xml:space="preserve">Camas del subsector público (dependencias provinciales)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6C">
                <w:pPr>
                  <w:jc w:val="right"/>
                  <w:rPr>
                    <w:rFonts w:ascii="Calibri" w:cs="Calibri" w:eastAsia="Calibri" w:hAnsi="Calibri"/>
                    <w:sz w:val="22"/>
                    <w:szCs w:val="22"/>
                  </w:rPr>
                </w:pPr>
                <w:r w:rsidDel="00000000" w:rsidR="00000000" w:rsidRPr="00000000">
                  <w:rPr>
                    <w:rFonts w:ascii="Calibri" w:cs="Calibri" w:eastAsia="Calibri" w:hAnsi="Calibri"/>
                    <w:rtl w:val="0"/>
                  </w:rPr>
                  <w:t xml:space="preserve">269</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rtl w:val="0"/>
                  </w:rPr>
                  <w:t xml:space="preserve">Camas cada 10.000 habitantes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6E">
                <w:pPr>
                  <w:jc w:val="right"/>
                  <w:rPr>
                    <w:rFonts w:ascii="Calibri" w:cs="Calibri" w:eastAsia="Calibri" w:hAnsi="Calibri"/>
                    <w:sz w:val="22"/>
                    <w:szCs w:val="22"/>
                  </w:rPr>
                </w:pPr>
                <w:r w:rsidDel="00000000" w:rsidR="00000000" w:rsidRPr="00000000">
                  <w:rPr>
                    <w:rFonts w:ascii="Calibri" w:cs="Calibri" w:eastAsia="Calibri" w:hAnsi="Calibri"/>
                    <w:rtl w:val="0"/>
                  </w:rPr>
                  <w:t xml:space="preserve">8</w:t>
                </w:r>
                <w:r w:rsidDel="00000000" w:rsidR="00000000" w:rsidRPr="00000000">
                  <w:rPr>
                    <w:rtl w:val="0"/>
                  </w:rPr>
                </w:r>
              </w:p>
            </w:tc>
          </w:tr>
        </w:tbl>
      </w:sdtContent>
    </w:sdt>
    <w:p w:rsidR="00000000" w:rsidDel="00000000" w:rsidP="00000000" w:rsidRDefault="00000000" w:rsidRPr="00000000" w14:paraId="0000006F">
      <w:pPr>
        <w:spacing w:after="160" w:before="4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color w:val="666666"/>
          <w:sz w:val="18"/>
          <w:szCs w:val="18"/>
          <w:rtl w:val="0"/>
        </w:rPr>
        <w:t xml:space="preserve">Fuente: Ministerio de Salud de la Provincia de Buenos Aires (2019). Elaboración: UNGS – Instituto del Conurbano, «Perfiles conurbanos».</w:t>
      </w:r>
      <w:r w:rsidDel="00000000" w:rsidR="00000000" w:rsidRPr="00000000">
        <w:rPr>
          <w:rtl w:val="0"/>
        </w:rPr>
      </w:r>
    </w:p>
    <w:p w:rsidR="00000000" w:rsidDel="00000000" w:rsidP="00000000" w:rsidRDefault="00000000" w:rsidRPr="00000000" w14:paraId="00000070">
      <w:pPr>
        <w:pBdr>
          <w:bottom w:color="1b3a6b" w:space="3" w:sz="8" w:val="single"/>
        </w:pBdr>
        <w:spacing w:after="14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1b3a6b"/>
          <w:sz w:val="26"/>
          <w:szCs w:val="26"/>
          <w:rtl w:val="0"/>
        </w:rPr>
        <w:t xml:space="preserve">Indicadores sanitarios</w:t>
      </w:r>
      <w:r w:rsidDel="00000000" w:rsidR="00000000" w:rsidRPr="00000000">
        <w:rPr>
          <w:rtl w:val="0"/>
        </w:rPr>
      </w:r>
    </w:p>
    <w:p w:rsidR="00000000" w:rsidDel="00000000" w:rsidP="00000000" w:rsidRDefault="00000000" w:rsidRPr="00000000" w14:paraId="00000071">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última década, Tres de Febrero muestra una mejora sostenida de sus indicadores sanitarios: la tasa de mortalidad infantil descendió de 9,2 a 7,1 por mil nacidos vivos y la maternidad adolescente pasó de 10,1% a 7,2%, con una tasa de mortalidad materna prácticamente nula.</w:t>
      </w:r>
    </w:p>
    <w:sdt>
      <w:sdtPr>
        <w:lock w:val="contentLocked"/>
        <w:id w:val="-1754902923"/>
        <w:tag w:val="goog_rdk_1"/>
      </w:sdtPr>
      <w:sdtContent>
        <w:tbl>
          <w:tblPr>
            <w:tblStyle w:val="Table6"/>
            <w:tblW w:w="9360.0" w:type="dxa"/>
            <w:jc w:val="left"/>
            <w:tblBorders>
              <w:top w:color="d9dde4" w:space="0" w:sz="4" w:val="single"/>
              <w:left w:color="d9dde4" w:space="0" w:sz="4" w:val="single"/>
              <w:bottom w:color="d9dde4" w:space="0" w:sz="4" w:val="single"/>
              <w:right w:color="d9dde4" w:space="0" w:sz="4" w:val="single"/>
              <w:insideH w:color="d9dde4" w:space="0" w:sz="4" w:val="single"/>
              <w:insideV w:color="d9dde4" w:space="0" w:sz="4" w:val="single"/>
            </w:tblBorders>
            <w:tblLayout w:type="fixed"/>
            <w:tblLook w:val="0000"/>
          </w:tblPr>
          <w:tblGrid>
            <w:gridCol w:w="4680"/>
            <w:gridCol w:w="1560"/>
            <w:gridCol w:w="3120"/>
            <w:tblGridChange w:id="0">
              <w:tblGrid>
                <w:gridCol w:w="4680"/>
                <w:gridCol w:w="1560"/>
                <w:gridCol w:w="3120"/>
              </w:tblGrid>
            </w:tblGridChange>
          </w:tblGrid>
          <w:tr>
            <w:trPr>
              <w:cantSplit w:val="0"/>
              <w:tblHeader w:val="1"/>
            </w:trPr>
            <w:tc>
              <w:tcPr>
                <w:shd w:fill="1b3a6b" w:val="clear"/>
                <w:tcMar>
                  <w:top w:w="40.0" w:type="dxa"/>
                  <w:left w:w="100.0" w:type="dxa"/>
                  <w:bottom w:w="40.0" w:type="dxa"/>
                  <w:right w:w="100.0" w:type="dxa"/>
                </w:tcMar>
              </w:tcPr>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Indicador</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73">
                <w:pPr>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Valor (2019)</w:t>
                </w:r>
                <w:r w:rsidDel="00000000" w:rsidR="00000000" w:rsidRPr="00000000">
                  <w:rPr>
                    <w:rtl w:val="0"/>
                  </w:rPr>
                </w:r>
              </w:p>
            </w:tc>
            <w:tc>
              <w:tcPr>
                <w:shd w:fill="1b3a6b" w:val="clear"/>
                <w:tcMar>
                  <w:top w:w="40.0" w:type="dxa"/>
                  <w:left w:w="100.0" w:type="dxa"/>
                  <w:bottom w:w="40.0" w:type="dxa"/>
                  <w:right w:w="100.0" w:type="dxa"/>
                </w:tcMar>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Evolución</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rtl w:val="0"/>
                  </w:rPr>
                  <w:t xml:space="preserve">Tasa de mortalidad infantil (por mil nacidos vivos)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6">
                <w:pPr>
                  <w:jc w:val="center"/>
                  <w:rPr>
                    <w:rFonts w:ascii="Calibri" w:cs="Calibri" w:eastAsia="Calibri" w:hAnsi="Calibri"/>
                    <w:sz w:val="22"/>
                    <w:szCs w:val="22"/>
                  </w:rPr>
                </w:pPr>
                <w:r w:rsidDel="00000000" w:rsidR="00000000" w:rsidRPr="00000000">
                  <w:rPr>
                    <w:rFonts w:ascii="Calibri" w:cs="Calibri" w:eastAsia="Calibri" w:hAnsi="Calibri"/>
                    <w:rtl w:val="0"/>
                  </w:rPr>
                  <w:t xml:space="preserve">7,1</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rtl w:val="0"/>
                  </w:rPr>
                  <w:t xml:space="preserve">en descenso desde 9,2 (2012)</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rtl w:val="0"/>
                  </w:rPr>
                  <w:t xml:space="preserve">Tasa de mortalidad materna</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9">
                <w:pPr>
                  <w:jc w:val="center"/>
                  <w:rPr>
                    <w:rFonts w:ascii="Calibri" w:cs="Calibri" w:eastAsia="Calibri" w:hAnsi="Calibri"/>
                    <w:sz w:val="22"/>
                    <w:szCs w:val="22"/>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rtl w:val="0"/>
                  </w:rPr>
                  <w:t xml:space="preserve">desde 0,2 (2012)</w:t>
                </w:r>
                <w:r w:rsidDel="00000000" w:rsidR="00000000" w:rsidRPr="00000000">
                  <w:rPr>
                    <w:rtl w:val="0"/>
                  </w:rPr>
                </w:r>
              </w:p>
            </w:tc>
          </w:tr>
          <w:tr>
            <w:trPr>
              <w:cantSplit w:val="0"/>
              <w:tblHeader w:val="0"/>
            </w:trPr>
            <w:tc>
              <w:tcPr>
                <w:shd w:fill="ffffff" w:val="clear"/>
                <w:tcMar>
                  <w:top w:w="40.0" w:type="dxa"/>
                  <w:left w:w="100.0" w:type="dxa"/>
                  <w:bottom w:w="40.0" w:type="dxa"/>
                  <w:right w:w="100.0" w:type="dxa"/>
                </w:tcMar>
              </w:tcPr>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rtl w:val="0"/>
                  </w:rPr>
                  <w:t xml:space="preserve">Maternidad adolescente (% de nacidos vivos de madres de 15 a 19 años)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C">
                <w:pPr>
                  <w:jc w:val="center"/>
                  <w:rPr>
                    <w:rFonts w:ascii="Calibri" w:cs="Calibri" w:eastAsia="Calibri" w:hAnsi="Calibri"/>
                    <w:sz w:val="22"/>
                    <w:szCs w:val="22"/>
                  </w:rPr>
                </w:pPr>
                <w:r w:rsidDel="00000000" w:rsidR="00000000" w:rsidRPr="00000000">
                  <w:rPr>
                    <w:rFonts w:ascii="Calibri" w:cs="Calibri" w:eastAsia="Calibri" w:hAnsi="Calibri"/>
                    <w:rtl w:val="0"/>
                  </w:rPr>
                  <w:t xml:space="preserve">7,2%</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rtl w:val="0"/>
                  </w:rPr>
                  <w:t xml:space="preserve">en descenso desde 10,1% (2012)</w:t>
                </w:r>
                <w:r w:rsidDel="00000000" w:rsidR="00000000" w:rsidRPr="00000000">
                  <w:rPr>
                    <w:rtl w:val="0"/>
                  </w:rPr>
                </w:r>
              </w:p>
            </w:tc>
          </w:tr>
        </w:tbl>
      </w:sdtContent>
    </w:sdt>
    <w:p w:rsidR="00000000" w:rsidDel="00000000" w:rsidP="00000000" w:rsidRDefault="00000000" w:rsidRPr="00000000" w14:paraId="0000007E">
      <w:pPr>
        <w:spacing w:after="160" w:before="40" w:lineRule="auto"/>
        <w:rPr>
          <w:rFonts w:ascii="Calibri" w:cs="Calibri" w:eastAsia="Calibri" w:hAnsi="Calibri"/>
          <w:sz w:val="22"/>
          <w:szCs w:val="22"/>
        </w:rPr>
      </w:pPr>
      <w:r w:rsidDel="00000000" w:rsidR="00000000" w:rsidRPr="00000000">
        <w:rPr>
          <w:rFonts w:ascii="Calibri" w:cs="Calibri" w:eastAsia="Calibri" w:hAnsi="Calibri"/>
          <w:i w:val="1"/>
          <w:iCs w:val="1"/>
          <w:color w:val="666666"/>
          <w:sz w:val="18"/>
          <w:szCs w:val="18"/>
          <w:rtl w:val="0"/>
        </w:rPr>
        <w:t xml:space="preserve">Fuente: Ministerio de Salud de la Provincia de Buenos Aires; UNGS – Instituto del Conurbano (serie 2012–2019).</w:t>
      </w: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22"/>
        <w:szCs w:val="22"/>
      </w:rPr>
    </w:pPr>
    <w:r w:rsidDel="00000000" w:rsidR="00000000" w:rsidRPr="00000000">
      <w:rPr>
        <w:rFonts w:ascii="Plus Jakarta Sans" w:cs="Plus Jakarta Sans" w:eastAsia="Plus Jakarta Sans" w:hAnsi="Plus Jakarta Sans"/>
        <w:color w:val="888888"/>
        <w:rtl w:val="0"/>
      </w:rPr>
      <w:t xml:space="preserve">Municipalidad de Tres de Febrero  |  xx</w:t>
    </w:r>
    <w:hyperlink r:id="rId1">
      <w:r w:rsidDel="00000000" w:rsidR="00000000" w:rsidRPr="00000000">
        <w:rPr>
          <w:rFonts w:ascii="Plus Jakarta Sans" w:cs="Plus Jakarta Sans" w:eastAsia="Plus Jakarta Sans" w:hAnsi="Plus Jakarta Sans"/>
          <w:color w:val="1155cc"/>
          <w:u w:val="single"/>
          <w:rtl w:val="0"/>
        </w:rPr>
        <w:t xml:space="preserve">@tresdefebrero.gob.ar</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maps/d/u/0/edit?mid=1MS3oqQMMFgRUfCZqhi0p8-KoYU0WDwKB&amp;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recepcionprivada@tresdefebrero.gob.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Vf2xI1liOZv3wfqluUUm+obCzA==">CgMxLjAaHwoBMBIaChgICVIUChJ0YWJsZS45dDU0eDN3dzY0cTgaHwoBMRIaChgICVIUChJ0YWJsZS42NWN4OTF4ZXo5MHg4AHIhMV9rMnNBWEZoV2pwRkJkT3Q1QmpFemNuSzBJcllTZjZE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