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4"/>
        </w:rPr>
        <w:t>MUNICIPALIDAD DE TRES DE FEBRERO</w:t>
        <w:br/>
        <w:t>SECRETARÍA DE SALUD Y GESTIÓN OPERATIVA</w:t>
        <w:br/>
      </w:r>
    </w:p>
    <w:p>
      <w:pPr>
        <w:spacing w:before="480" w:after="240"/>
        <w:jc w:val="center"/>
      </w:pPr>
      <w:r>
        <w:rPr>
          <w:b/>
          <w:color w:val="1E3A8A"/>
          <w:sz w:val="40"/>
        </w:rPr>
        <w:t>INFORME TÉCNICO Y ANÁLISIS DE SITUACIÓN DE SALUD (ASIS)</w:t>
        <w:br/>
        <w:t>DEL MUNICIPIO DE TRES DE FEBRERO</w:t>
      </w:r>
    </w:p>
    <w:p>
      <w:pPr>
        <w:spacing w:after="720"/>
        <w:jc w:val="center"/>
      </w:pPr>
      <w:r>
        <w:rPr>
          <w:color w:val="475569"/>
          <w:sz w:val="26"/>
        </w:rPr>
        <w:t>Diagnóstico Cartográfico Georreferenciado, Infraestructura Sanitaria,</w:t>
        <w:br/>
        <w:t>Evolución Epidemiológica y Red de Efectores para Elevación a Región Sanitaria VII</w:t>
      </w:r>
    </w:p>
    <w:tbl>
      <w:tblPr>
        <w:tblW w:type="auto" w:w="0"/>
        <w:jc w:val="center"/>
        <w:tblLook w:firstColumn="1" w:firstRow="1" w:lastColumn="0" w:lastRow="0" w:noHBand="0" w:noVBand="1" w:val="04A0"/>
      </w:tblPr>
      <w:tblGrid>
        <w:gridCol w:w="4536"/>
        <w:gridCol w:w="4536"/>
      </w:tblGrid>
      <w:tr>
        <w:tc>
          <w:tcPr>
            <w:tcW w:type="dxa" w:w="4536"/>
            <w:shd w:val="clear" w:color="auto" w:fill="F8FAFC"/>
            <w:tcMar>
              <w:top w:w="120" w:type="dxa"/>
              <w:bottom w:w="120" w:type="dxa"/>
              <w:left w:w="150" w:type="dxa"/>
              <w:right w:w="150" w:type="dxa"/>
            </w:tcMar>
          </w:tcPr>
          <w:p>
            <w:r>
              <w:rPr>
                <w:b/>
                <w:color w:val="1E3A8A"/>
              </w:rPr>
              <w:t>Entidad Emisora:</w:t>
            </w:r>
          </w:p>
        </w:tc>
        <w:tc>
          <w:tcPr>
            <w:tcW w:type="dxa" w:w="4536"/>
            <w:shd w:val="clear" w:color="auto" w:fill="F8FAFC"/>
            <w:tcMar>
              <w:top w:w="120" w:type="dxa"/>
              <w:bottom w:w="120" w:type="dxa"/>
              <w:left w:w="150" w:type="dxa"/>
              <w:right w:w="150" w:type="dxa"/>
            </w:tcMar>
          </w:tcPr>
          <w:p>
            <w:r>
              <w:t>Secretaría de Salud — Municipalidad de Tres de Febrero (Partido 06840)</w:t>
            </w:r>
          </w:p>
        </w:tc>
      </w:tr>
      <w:tr>
        <w:tc>
          <w:tcPr>
            <w:tcW w:type="dxa" w:w="4536"/>
            <w:shd w:val="clear" w:color="auto" w:fill="F8FAFC"/>
            <w:tcMar>
              <w:top w:w="120" w:type="dxa"/>
              <w:bottom w:w="120" w:type="dxa"/>
              <w:left w:w="150" w:type="dxa"/>
              <w:right w:w="150" w:type="dxa"/>
            </w:tcMar>
          </w:tcPr>
          <w:p>
            <w:r>
              <w:rPr>
                <w:b/>
                <w:color w:val="1E3A8A"/>
              </w:rPr>
              <w:t>Destinatario:</w:t>
            </w:r>
          </w:p>
        </w:tc>
        <w:tc>
          <w:tcPr>
            <w:tcW w:type="dxa" w:w="4536"/>
            <w:shd w:val="clear" w:color="auto" w:fill="F8FAFC"/>
            <w:tcMar>
              <w:top w:w="120" w:type="dxa"/>
              <w:bottom w:w="120" w:type="dxa"/>
              <w:left w:w="150" w:type="dxa"/>
              <w:right w:w="150" w:type="dxa"/>
            </w:tcMar>
          </w:tcPr>
          <w:p>
            <w:r>
              <w:t>Dirección y Consejo Técnico-Epidemiológico — Región Sanitaria VII (Ministerio de Salud PBA)</w:t>
            </w:r>
          </w:p>
        </w:tc>
      </w:tr>
      <w:tr>
        <w:tc>
          <w:tcPr>
            <w:tcW w:type="dxa" w:w="4536"/>
            <w:shd w:val="clear" w:color="auto" w:fill="F8FAFC"/>
            <w:tcMar>
              <w:top w:w="120" w:type="dxa"/>
              <w:bottom w:w="120" w:type="dxa"/>
              <w:left w:w="150" w:type="dxa"/>
              <w:right w:w="150" w:type="dxa"/>
            </w:tcMar>
          </w:tcPr>
          <w:p>
            <w:r>
              <w:rPr>
                <w:b/>
                <w:color w:val="1E3A8A"/>
              </w:rPr>
              <w:t>Fuentes de Datos:</w:t>
            </w:r>
          </w:p>
        </w:tc>
        <w:tc>
          <w:tcPr>
            <w:tcW w:type="dxa" w:w="4536"/>
            <w:shd w:val="clear" w:color="auto" w:fill="F8FAFC"/>
            <w:tcMar>
              <w:top w:w="120" w:type="dxa"/>
              <w:bottom w:w="120" w:type="dxa"/>
              <w:left w:w="150" w:type="dxa"/>
              <w:right w:w="150" w:type="dxa"/>
            </w:tcMar>
          </w:tcPr>
          <w:p>
            <w:r>
              <w:t>Censo 2022 INDEC (Definitivo), Cartografía Oficial INDEC/IGN/PBA, SISA, DEIS, UNGS (2012-2019)</w:t>
            </w:r>
          </w:p>
        </w:tc>
      </w:tr>
      <w:tr>
        <w:tc>
          <w:tcPr>
            <w:tcW w:type="dxa" w:w="4536"/>
            <w:shd w:val="clear" w:color="auto" w:fill="F8FAFC"/>
            <w:tcMar>
              <w:top w:w="120" w:type="dxa"/>
              <w:bottom w:w="120" w:type="dxa"/>
              <w:left w:w="150" w:type="dxa"/>
              <w:right w:w="150" w:type="dxa"/>
            </w:tcMar>
          </w:tcPr>
          <w:p>
            <w:r>
              <w:rPr>
                <w:b/>
                <w:color w:val="1E3A8A"/>
              </w:rPr>
              <w:t>Fecha de Emisión:</w:t>
            </w:r>
          </w:p>
        </w:tc>
        <w:tc>
          <w:tcPr>
            <w:tcW w:type="dxa" w:w="4536"/>
            <w:shd w:val="clear" w:color="auto" w:fill="F8FAFC"/>
            <w:tcMar>
              <w:top w:w="120" w:type="dxa"/>
              <w:bottom w:w="120" w:type="dxa"/>
              <w:left w:w="150" w:type="dxa"/>
              <w:right w:w="150" w:type="dxa"/>
            </w:tcMar>
          </w:tcPr>
          <w:p>
            <w:r>
              <w:t>Julio 2026 — Documento Oficial de Gestión e Integración Regional</w:t>
            </w:r>
          </w:p>
        </w:tc>
      </w:tr>
    </w:tbl>
    <w:p>
      <w:r>
        <w:br w:type="page"/>
      </w:r>
    </w:p>
    <w:p>
      <w:pPr>
        <w:spacing w:before="360" w:after="160"/>
      </w:pPr>
      <w:r>
        <w:rPr>
          <w:b/>
          <w:color w:val="1E3A8A"/>
          <w:sz w:val="30"/>
        </w:rPr>
        <w:t>1. Marco Metodológico y Caracterización General del Municipio</w:t>
      </w:r>
    </w:p>
    <w:p>
      <w:pPr>
        <w:spacing w:after="120" w:line="276" w:lineRule="auto"/>
      </w:pPr>
      <w:r>
        <w:rPr>
          <w:b/>
          <w:color w:val="0F172A"/>
        </w:rPr>
        <w:t xml:space="preserve">Contexto Geográfico y Dinámica Metropolitana: </w:t>
      </w:r>
      <w:r>
        <w:t>Tres de Febrero es un municipio del primer cordón del Gran Buenos Aires, lindante directamente con la Ciudad Autónoma de Buenos Aires al oeste de la capital del país. Forma parte de una de las zonas más dinámicas del área metropolitana, caracterizándose por una fuerte conectividad e infraestructura interurbana y una cercanía estratégica a los principales centros urbanos y productivos.</w:t>
      </w:r>
    </w:p>
    <w:p>
      <w:pPr>
        <w:spacing w:after="120" w:line="276" w:lineRule="auto"/>
      </w:pPr>
      <w:r>
        <w:rPr>
          <w:b/>
          <w:color w:val="0F172A"/>
        </w:rPr>
        <w:t xml:space="preserve">Ciudad Cabecera: </w:t>
      </w:r>
      <w:r>
        <w:t>Nuestra ciudad cabecera es Caseros, donde se concentra el centro administrativo, político y urbano del distrito, así como una amplia red de servicios, instituciones sanitarias y espacios públicos de referencia comunitaria.</w:t>
      </w:r>
    </w:p>
    <w:p>
      <w:pPr>
        <w:spacing w:after="120" w:line="276" w:lineRule="auto"/>
      </w:pPr>
      <w:r>
        <w:rPr>
          <w:b/>
          <w:color w:val="0F172A"/>
        </w:rPr>
        <w:t xml:space="preserve">Metodología e Integración de Fuentes: </w:t>
      </w:r>
      <w:r>
        <w:t>El presente documento integra y unifica el relevamiento exhaustivo del equipo de salud municipal con los microdatos definitivos del Censo Nacional 2022 (INDEC) y las series históricas epidemiológicas del Ministerio de Salud provincial. Para una representatividad espacial total, se importó la capa oficial poligonal con los 457 radios censales del partido (`06840`).</w:t>
      </w:r>
    </w:p>
    <w:tbl>
      <w:tblPr>
        <w:tblW w:type="auto" w:w="0"/>
        <w:jc w:val="center"/>
        <w:tblLook w:firstColumn="1" w:firstRow="1" w:lastColumn="0" w:lastRow="0" w:noHBand="0" w:noVBand="1" w:val="04A0"/>
      </w:tblPr>
      <w:tblGrid>
        <w:gridCol w:w="4536"/>
        <w:gridCol w:w="4536"/>
      </w:tblGrid>
      <w:tr>
        <w:tc>
          <w:tcPr>
            <w:tcW w:type="dxa" w:w="4536"/>
            <w:shd w:val="clear" w:color="auto" w:fill="F8FAFC"/>
            <w:tcMar>
              <w:top w:w="80" w:type="dxa"/>
              <w:bottom w:w="80" w:type="dxa"/>
              <w:left w:w="100" w:type="dxa"/>
              <w:right w:w="100" w:type="dxa"/>
            </w:tcMar>
          </w:tcPr>
          <w:p>
            <w:r>
              <w:rPr>
                <w:b/>
              </w:rPr>
              <w:t>Población Total (Censo 2022 INDEC)</w:t>
            </w:r>
          </w:p>
        </w:tc>
        <w:tc>
          <w:tcPr>
            <w:tcW w:type="dxa" w:w="4536"/>
            <w:tcMar>
              <w:top w:w="80" w:type="dxa"/>
              <w:bottom w:w="80" w:type="dxa"/>
              <w:left w:w="100" w:type="dxa"/>
              <w:right w:w="100" w:type="dxa"/>
            </w:tcMar>
          </w:tcPr>
          <w:p>
            <w:r>
              <w:t>364.176 habitantes (Crecimiento intercensal +7,09%)</w:t>
            </w:r>
          </w:p>
        </w:tc>
      </w:tr>
      <w:tr>
        <w:tc>
          <w:tcPr>
            <w:tcW w:type="dxa" w:w="4536"/>
            <w:shd w:val="clear" w:color="auto" w:fill="F8FAFC"/>
            <w:tcMar>
              <w:top w:w="80" w:type="dxa"/>
              <w:bottom w:w="80" w:type="dxa"/>
              <w:left w:w="100" w:type="dxa"/>
              <w:right w:w="100" w:type="dxa"/>
            </w:tcMar>
          </w:tcPr>
          <w:p>
            <w:r>
              <w:rPr>
                <w:b/>
              </w:rPr>
              <w:t>Superficie Distrital</w:t>
            </w:r>
          </w:p>
        </w:tc>
        <w:tc>
          <w:tcPr>
            <w:tcW w:type="dxa" w:w="4536"/>
            <w:tcMar>
              <w:top w:w="80" w:type="dxa"/>
              <w:bottom w:w="80" w:type="dxa"/>
              <w:left w:w="100" w:type="dxa"/>
              <w:right w:w="100" w:type="dxa"/>
            </w:tcMar>
          </w:tcPr>
          <w:p>
            <w:r>
              <w:t>45 km² (Territorio enteramente urbano e industrial)</w:t>
            </w:r>
          </w:p>
        </w:tc>
      </w:tr>
      <w:tr>
        <w:tc>
          <w:tcPr>
            <w:tcW w:type="dxa" w:w="4536"/>
            <w:shd w:val="clear" w:color="auto" w:fill="F8FAFC"/>
            <w:tcMar>
              <w:top w:w="80" w:type="dxa"/>
              <w:bottom w:w="80" w:type="dxa"/>
              <w:left w:w="100" w:type="dxa"/>
              <w:right w:w="100" w:type="dxa"/>
            </w:tcMar>
          </w:tcPr>
          <w:p>
            <w:r>
              <w:rPr>
                <w:b/>
              </w:rPr>
              <w:t>Densidad Poblacional</w:t>
            </w:r>
          </w:p>
        </w:tc>
        <w:tc>
          <w:tcPr>
            <w:tcW w:type="dxa" w:w="4536"/>
            <w:tcMar>
              <w:top w:w="80" w:type="dxa"/>
              <w:bottom w:w="80" w:type="dxa"/>
              <w:left w:w="100" w:type="dxa"/>
              <w:right w:w="100" w:type="dxa"/>
            </w:tcMar>
          </w:tcPr>
          <w:p>
            <w:r>
              <w:t>8.021,5 hab/km² — 4° municipio más denso de toda la República Argentina</w:t>
            </w:r>
          </w:p>
        </w:tc>
      </w:tr>
      <w:tr>
        <w:tc>
          <w:tcPr>
            <w:tcW w:type="dxa" w:w="4536"/>
            <w:shd w:val="clear" w:color="auto" w:fill="F8FAFC"/>
            <w:tcMar>
              <w:top w:w="80" w:type="dxa"/>
              <w:bottom w:w="80" w:type="dxa"/>
              <w:left w:w="100" w:type="dxa"/>
              <w:right w:w="100" w:type="dxa"/>
            </w:tcMar>
          </w:tcPr>
          <w:p>
            <w:r>
              <w:rPr>
                <w:b/>
              </w:rPr>
              <w:t>Estructura de Género</w:t>
            </w:r>
          </w:p>
        </w:tc>
        <w:tc>
          <w:tcPr>
            <w:tcW w:type="dxa" w:w="4536"/>
            <w:tcMar>
              <w:top w:w="80" w:type="dxa"/>
              <w:bottom w:w="80" w:type="dxa"/>
              <w:left w:w="100" w:type="dxa"/>
              <w:right w:w="100" w:type="dxa"/>
            </w:tcMar>
          </w:tcPr>
          <w:p>
            <w:r>
              <w:t>191.214 mujeres (52,5%) y 172.962 varones (47,5%)</w:t>
            </w:r>
          </w:p>
        </w:tc>
      </w:tr>
    </w:tbl>
    <w:p>
      <w:pPr>
        <w:spacing w:before="40" w:after="240" w:line="252" w:lineRule="auto"/>
      </w:pPr>
      <w:r>
        <w:rPr>
          <w:i/>
          <w:color w:val="64748B"/>
          <w:sz w:val="18"/>
        </w:rPr>
        <w:t>📌 Fuente y Referencia: INDEC. Censo Nacional de Población, Hogares y Viviendas 2022. Resultados definitivos de población por sexos y densidad territorial del Partido de Tres de Febrero (`06840`) e Instituto Geográfico Nacional (IGN).</w:t>
      </w:r>
    </w:p>
    <w:p>
      <w:pPr>
        <w:spacing w:before="360" w:after="160"/>
      </w:pPr>
      <w:r>
        <w:rPr>
          <w:b/>
          <w:color w:val="1E3A8A"/>
          <w:sz w:val="30"/>
        </w:rPr>
        <w:t>2. Evolución Epidemiológica e Indicadores Sanitarios de la Última Década</w:t>
      </w:r>
    </w:p>
    <w:p>
      <w:pPr>
        <w:spacing w:after="120" w:line="276" w:lineRule="auto"/>
      </w:pPr>
      <w:r>
        <w:rPr>
          <w:b/>
          <w:color w:val="0F172A"/>
        </w:rPr>
        <w:t xml:space="preserve">Logros Sanitarios Sustantivos: </w:t>
      </w:r>
      <w:r>
        <w:t>A lo largo de los últimos diez años, el Municipio de Tres de Febrero evidencia una mejora sostenida y estadísticamente significativa en sus indicadores materno-infantiles y sanitarios primarios, fruto de la consolidación del primer nivel de atención y el control prenatal temprano en los CAPS.</w:t>
      </w:r>
    </w:p>
    <w:p>
      <w:pPr>
        <w:spacing w:after="120" w:line="276" w:lineRule="auto"/>
      </w:pPr>
      <w:r>
        <w:rPr>
          <w:b/>
          <w:color w:val="0F172A"/>
        </w:rPr>
        <w:t xml:space="preserve">Indicadores de Impacto: </w:t>
      </w:r>
      <w:r>
        <w:t>Según las series estadísticas consolidadas por el Ministerio de Salud de la Provincia de Buenos Aires y el Instituto del Conurbano de la UNGS (serie 2012–2019):</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E3A8A"/>
            <w:tcMar>
              <w:top w:w="80" w:type="dxa"/>
              <w:bottom w:w="80" w:type="dxa"/>
              <w:left w:w="80" w:type="dxa"/>
              <w:right w:w="80" w:type="dxa"/>
            </w:tcMar>
          </w:tcPr>
          <w:p>
            <w:r>
              <w:rPr>
                <w:b/>
                <w:color w:val="FFFFFF"/>
              </w:rPr>
              <w:t>Indicador Epidemiológico</w:t>
            </w:r>
          </w:p>
        </w:tc>
        <w:tc>
          <w:tcPr>
            <w:tcW w:type="dxa" w:w="3024"/>
            <w:shd w:val="clear" w:color="auto" w:fill="1E3A8A"/>
            <w:tcMar>
              <w:top w:w="80" w:type="dxa"/>
              <w:bottom w:w="80" w:type="dxa"/>
              <w:left w:w="80" w:type="dxa"/>
              <w:right w:w="80" w:type="dxa"/>
            </w:tcMar>
          </w:tcPr>
          <w:p>
            <w:r>
              <w:rPr>
                <w:b/>
                <w:color w:val="FFFFFF"/>
              </w:rPr>
              <w:t>Valor Inicial (2012)</w:t>
            </w:r>
          </w:p>
        </w:tc>
        <w:tc>
          <w:tcPr>
            <w:tcW w:type="dxa" w:w="3024"/>
            <w:shd w:val="clear" w:color="auto" w:fill="1E3A8A"/>
            <w:tcMar>
              <w:top w:w="80" w:type="dxa"/>
              <w:bottom w:w="80" w:type="dxa"/>
              <w:left w:w="80" w:type="dxa"/>
              <w:right w:w="80" w:type="dxa"/>
            </w:tcMar>
          </w:tcPr>
          <w:p>
            <w:r>
              <w:rPr>
                <w:b/>
                <w:color w:val="FFFFFF"/>
              </w:rPr>
              <w:t>Valor Alcanzado / Actual</w:t>
            </w:r>
          </w:p>
        </w:tc>
      </w:tr>
      <w:tr>
        <w:tc>
          <w:tcPr>
            <w:tcW w:type="dxa" w:w="3024"/>
            <w:shd w:val="clear" w:color="auto" w:fill="F8FAFC"/>
            <w:tcMar>
              <w:top w:w="70" w:type="dxa"/>
              <w:bottom w:w="70" w:type="dxa"/>
              <w:left w:w="80" w:type="dxa"/>
              <w:right w:w="80" w:type="dxa"/>
            </w:tcMar>
          </w:tcPr>
          <w:p>
            <w:r>
              <w:t>Tasa de Mortalidad Infantil (TMI)</w:t>
            </w:r>
          </w:p>
        </w:tc>
        <w:tc>
          <w:tcPr>
            <w:tcW w:type="dxa" w:w="3024"/>
            <w:shd w:val="clear" w:color="auto" w:fill="F8FAFC"/>
            <w:tcMar>
              <w:top w:w="70" w:type="dxa"/>
              <w:bottom w:w="70" w:type="dxa"/>
              <w:left w:w="80" w:type="dxa"/>
              <w:right w:w="80" w:type="dxa"/>
            </w:tcMar>
          </w:tcPr>
          <w:p>
            <w:r>
              <w:t>9,2 por cada 1.000 nacidos vivos</w:t>
            </w:r>
          </w:p>
        </w:tc>
        <w:tc>
          <w:tcPr>
            <w:tcW w:type="dxa" w:w="3024"/>
            <w:shd w:val="clear" w:color="auto" w:fill="F8FAFC"/>
            <w:tcMar>
              <w:top w:w="70" w:type="dxa"/>
              <w:bottom w:w="70" w:type="dxa"/>
              <w:left w:w="80" w:type="dxa"/>
              <w:right w:w="80" w:type="dxa"/>
            </w:tcMar>
          </w:tcPr>
          <w:p>
            <w:r>
              <w:rPr>
                <w:b/>
                <w:color w:val="059669"/>
              </w:rPr>
              <w:t>7,1 por cada 1.000 nacidos vivos (Descenso notable)</w:t>
            </w:r>
          </w:p>
        </w:tc>
      </w:tr>
      <w:tr>
        <w:tc>
          <w:tcPr>
            <w:tcW w:type="dxa" w:w="3024"/>
            <w:shd w:val="clear" w:color="auto" w:fill="F8FAFC"/>
            <w:tcMar>
              <w:top w:w="70" w:type="dxa"/>
              <w:bottom w:w="70" w:type="dxa"/>
              <w:left w:w="80" w:type="dxa"/>
              <w:right w:w="80" w:type="dxa"/>
            </w:tcMar>
          </w:tcPr>
          <w:p>
            <w:r>
              <w:t>Porcentaje de Maternidad Adolescente</w:t>
            </w:r>
          </w:p>
        </w:tc>
        <w:tc>
          <w:tcPr>
            <w:tcW w:type="dxa" w:w="3024"/>
            <w:shd w:val="clear" w:color="auto" w:fill="F8FAFC"/>
            <w:tcMar>
              <w:top w:w="70" w:type="dxa"/>
              <w:bottom w:w="70" w:type="dxa"/>
              <w:left w:w="80" w:type="dxa"/>
              <w:right w:w="80" w:type="dxa"/>
            </w:tcMar>
          </w:tcPr>
          <w:p>
            <w:r>
              <w:t>10,1% sobre el total de nacimientos</w:t>
            </w:r>
          </w:p>
        </w:tc>
        <w:tc>
          <w:tcPr>
            <w:tcW w:type="dxa" w:w="3024"/>
            <w:shd w:val="clear" w:color="auto" w:fill="F8FAFC"/>
            <w:tcMar>
              <w:top w:w="70" w:type="dxa"/>
              <w:bottom w:w="70" w:type="dxa"/>
              <w:left w:w="80" w:type="dxa"/>
              <w:right w:w="80" w:type="dxa"/>
            </w:tcMar>
          </w:tcPr>
          <w:p>
            <w:r>
              <w:rPr>
                <w:b/>
                <w:color w:val="059669"/>
              </w:rPr>
              <w:t>7,2% sobre el total de nacimientos (Reducción continua)</w:t>
            </w:r>
          </w:p>
        </w:tc>
      </w:tr>
      <w:tr>
        <w:tc>
          <w:tcPr>
            <w:tcW w:type="dxa" w:w="3024"/>
            <w:shd w:val="clear" w:color="auto" w:fill="F8FAFC"/>
            <w:tcMar>
              <w:top w:w="70" w:type="dxa"/>
              <w:bottom w:w="70" w:type="dxa"/>
              <w:left w:w="80" w:type="dxa"/>
              <w:right w:w="80" w:type="dxa"/>
            </w:tcMar>
          </w:tcPr>
          <w:p>
            <w:r>
              <w:t>Tasa de Mortalidad Materna</w:t>
            </w:r>
          </w:p>
        </w:tc>
        <w:tc>
          <w:tcPr>
            <w:tcW w:type="dxa" w:w="3024"/>
            <w:shd w:val="clear" w:color="auto" w:fill="F8FAFC"/>
            <w:tcMar>
              <w:top w:w="70" w:type="dxa"/>
              <w:bottom w:w="70" w:type="dxa"/>
              <w:left w:w="80" w:type="dxa"/>
              <w:right w:w="80" w:type="dxa"/>
            </w:tcMar>
          </w:tcPr>
          <w:p>
            <w:r>
              <w:t>Baja incidencia distrital</w:t>
            </w:r>
          </w:p>
        </w:tc>
        <w:tc>
          <w:tcPr>
            <w:tcW w:type="dxa" w:w="3024"/>
            <w:shd w:val="clear" w:color="auto" w:fill="F8FAFC"/>
            <w:tcMar>
              <w:top w:w="70" w:type="dxa"/>
              <w:bottom w:w="70" w:type="dxa"/>
              <w:left w:w="80" w:type="dxa"/>
              <w:right w:w="80" w:type="dxa"/>
            </w:tcMar>
          </w:tcPr>
          <w:p>
            <w:r>
              <w:rPr>
                <w:b/>
                <w:color w:val="059669"/>
              </w:rPr>
              <w:t>Prácticamente nula (0,0 por cada 10.000 nacidos vivos)</w:t>
            </w:r>
          </w:p>
        </w:tc>
      </w:tr>
    </w:tbl>
    <w:p>
      <w:pPr>
        <w:spacing w:before="40" w:after="240" w:line="252" w:lineRule="auto"/>
      </w:pPr>
      <w:r>
        <w:rPr>
          <w:i/>
          <w:color w:val="64748B"/>
          <w:sz w:val="18"/>
        </w:rPr>
        <w:t>📌 Fuente y Referencia: Dirección de Estadísticas e Información en Salud (DEIS - Ministerio de Salud de la Nación), Región Sanitaria VII (Ministerio de Salud PBA) e Instituto del Conurbano (ICO-UNGS, Series 2012–2019).</w:t>
      </w:r>
    </w:p>
    <w:p>
      <w:pPr>
        <w:spacing w:before="360" w:after="160"/>
      </w:pPr>
      <w:r>
        <w:rPr>
          <w:b/>
          <w:color w:val="1E3A8A"/>
          <w:sz w:val="30"/>
        </w:rPr>
        <w:t>3. Estructura Demográfica, Envejecimiento y Previsión Social (Censo 2022)</w:t>
      </w:r>
    </w:p>
    <w:p>
      <w:pPr>
        <w:spacing w:after="120" w:line="276" w:lineRule="auto"/>
      </w:pPr>
      <w:r>
        <w:rPr>
          <w:b/>
          <w:color w:val="0F172A"/>
        </w:rPr>
        <w:t xml:space="preserve">Transición Gerontológica: </w:t>
      </w:r>
      <w:r>
        <w:t>El rasgo demográfico y epidemiológico más concluyente de Tres de Febrero es su avanzado grado de envejecimiento poblacional. Sobre el universo de 362.319 personas en viviendas particulares censadas por el INDEC, el 20,77% (75.242 personas) percibe jubilación o pensión, proporción significativamente superior al promedio del Gran Buenos Aires (17,5%) y de la Provincia de Buenos Aires (18,3%).</w:t>
      </w:r>
    </w:p>
    <w:p>
      <w:pPr>
        <w:spacing w:before="200" w:after="40"/>
        <w:jc w:val="center"/>
      </w:pPr>
      <w:r>
        <w:drawing>
          <wp:inline xmlns:a="http://schemas.openxmlformats.org/drawingml/2006/main" xmlns:pic="http://schemas.openxmlformats.org/drawingml/2006/picture">
            <wp:extent cx="5669280" cy="4122322"/>
            <wp:docPr id="1" name="Picture 1"/>
            <wp:cNvGraphicFramePr>
              <a:graphicFrameLocks noChangeAspect="1"/>
            </wp:cNvGraphicFramePr>
            <a:graphic>
              <a:graphicData uri="http://schemas.openxmlformats.org/drawingml/2006/picture">
                <pic:pic>
                  <pic:nvPicPr>
                    <pic:cNvPr id="0" name="grafico_piramide_demografica_3f.png"/>
                    <pic:cNvPicPr/>
                  </pic:nvPicPr>
                  <pic:blipFill>
                    <a:blip r:embed="rId9"/>
                    <a:stretch>
                      <a:fillRect/>
                    </a:stretch>
                  </pic:blipFill>
                  <pic:spPr>
                    <a:xfrm>
                      <a:off x="0" y="0"/>
                      <a:ext cx="5669280" cy="4122322"/>
                    </a:xfrm>
                    <a:prstGeom prst="rect"/>
                  </pic:spPr>
                </pic:pic>
              </a:graphicData>
            </a:graphic>
          </wp:inline>
        </w:drawing>
      </w:r>
    </w:p>
    <w:p>
      <w:pPr>
        <w:spacing w:after="40"/>
        <w:jc w:val="center"/>
      </w:pPr>
      <w:r>
        <w:rPr>
          <w:b/>
          <w:color w:val="334155"/>
          <w:sz w:val="19"/>
        </w:rPr>
        <w:t>Gráfico 1: Estructura Poblacional por Sexo, Grandes Franjas Etarias e Impacto Gerontológico en Tres de Febrero.</w:t>
      </w:r>
    </w:p>
    <w:p>
      <w:pPr>
        <w:spacing w:before="40" w:after="240" w:line="252" w:lineRule="auto"/>
      </w:pPr>
      <w:r>
        <w:rPr>
          <w:i/>
          <w:color w:val="64748B"/>
          <w:sz w:val="18"/>
        </w:rPr>
        <w:t>📌 Fuente y Referencia: INDEC. Censo Nacional de Población, Hogares y Viviendas 2022. Estructura de población censada en viviendas particulares por sexo registrado y grandes grupos de edad en Tres de Febrero (`06840`).</w:t>
      </w:r>
    </w:p>
    <w:p>
      <w:pPr>
        <w:spacing w:before="280" w:after="120"/>
      </w:pPr>
      <w:r>
        <w:rPr>
          <w:b/>
          <w:color w:val="334155"/>
          <w:sz w:val="26"/>
        </w:rPr>
        <w:t>Desglose Previsional — Percepción de Jubilación y Pensión (Censo 2022)</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E3A8A"/>
            <w:tcMar>
              <w:top w:w="80" w:type="dxa"/>
              <w:bottom w:w="80" w:type="dxa"/>
              <w:left w:w="80" w:type="dxa"/>
              <w:right w:w="80" w:type="dxa"/>
            </w:tcMar>
          </w:tcPr>
          <w:p>
            <w:r>
              <w:rPr>
                <w:b/>
                <w:color w:val="FFFFFF"/>
              </w:rPr>
              <w:t>Categoría Previsional (Censo 2022 INDEC)</w:t>
            </w:r>
          </w:p>
        </w:tc>
        <w:tc>
          <w:tcPr>
            <w:tcW w:type="dxa" w:w="3024"/>
            <w:shd w:val="clear" w:color="auto" w:fill="1E3A8A"/>
            <w:tcMar>
              <w:top w:w="80" w:type="dxa"/>
              <w:bottom w:w="80" w:type="dxa"/>
              <w:left w:w="80" w:type="dxa"/>
              <w:right w:w="80" w:type="dxa"/>
            </w:tcMar>
          </w:tcPr>
          <w:p>
            <w:r>
              <w:rPr>
                <w:b/>
                <w:color w:val="FFFFFF"/>
              </w:rPr>
              <w:t>Personas</w:t>
            </w:r>
          </w:p>
        </w:tc>
        <w:tc>
          <w:tcPr>
            <w:tcW w:type="dxa" w:w="3024"/>
            <w:shd w:val="clear" w:color="auto" w:fill="1E3A8A"/>
            <w:tcMar>
              <w:top w:w="80" w:type="dxa"/>
              <w:bottom w:w="80" w:type="dxa"/>
              <w:left w:w="80" w:type="dxa"/>
              <w:right w:w="80" w:type="dxa"/>
            </w:tcMar>
          </w:tcPr>
          <w:p>
            <w:r>
              <w:rPr>
                <w:b/>
                <w:color w:val="FFFFFF"/>
              </w:rPr>
              <w:t>Porcentaje sobre Población</w:t>
            </w:r>
          </w:p>
        </w:tc>
      </w:tr>
      <w:tr>
        <w:tc>
          <w:tcPr>
            <w:tcW w:type="dxa" w:w="3024"/>
            <w:shd w:val="clear" w:color="auto" w:fill="FEF3C7"/>
            <w:tcMar>
              <w:top w:w="60" w:type="dxa"/>
              <w:bottom w:w="60" w:type="dxa"/>
              <w:left w:w="80" w:type="dxa"/>
              <w:right w:w="80" w:type="dxa"/>
            </w:tcMar>
          </w:tcPr>
          <w:p>
            <w:r>
              <w:rPr>
                <w:b/>
              </w:rPr>
              <w:t>Total que Percibe Jubilación o Pensión</w:t>
            </w:r>
          </w:p>
        </w:tc>
        <w:tc>
          <w:tcPr>
            <w:tcW w:type="dxa" w:w="3024"/>
            <w:shd w:val="clear" w:color="auto" w:fill="FEF3C7"/>
            <w:tcMar>
              <w:top w:w="60" w:type="dxa"/>
              <w:bottom w:w="60" w:type="dxa"/>
              <w:left w:w="80" w:type="dxa"/>
              <w:right w:w="80" w:type="dxa"/>
            </w:tcMar>
          </w:tcPr>
          <w:p>
            <w:r>
              <w:rPr>
                <w:b/>
              </w:rPr>
              <w:t>75.242</w:t>
            </w:r>
          </w:p>
        </w:tc>
        <w:tc>
          <w:tcPr>
            <w:tcW w:type="dxa" w:w="3024"/>
            <w:shd w:val="clear" w:color="auto" w:fill="FEF3C7"/>
            <w:tcMar>
              <w:top w:w="60" w:type="dxa"/>
              <w:bottom w:w="60" w:type="dxa"/>
              <w:left w:w="80" w:type="dxa"/>
              <w:right w:w="80" w:type="dxa"/>
            </w:tcMar>
          </w:tcPr>
          <w:p>
            <w:r>
              <w:rPr>
                <w:b/>
              </w:rPr>
              <w:t>20,77% (Alta carga de ECNT)</w:t>
            </w:r>
          </w:p>
        </w:tc>
      </w:tr>
      <w:tr>
        <w:tc>
          <w:tcPr>
            <w:tcW w:type="dxa" w:w="3024"/>
            <w:shd w:val="clear" w:color="auto" w:fill="F8FAFC"/>
            <w:tcMar>
              <w:top w:w="60" w:type="dxa"/>
              <w:bottom w:w="60" w:type="dxa"/>
              <w:left w:w="80" w:type="dxa"/>
              <w:right w:w="80" w:type="dxa"/>
            </w:tcMar>
          </w:tcPr>
          <w:p>
            <w:r>
              <w:t xml:space="preserve"> — Solo Jubilación</w:t>
            </w:r>
          </w:p>
        </w:tc>
        <w:tc>
          <w:tcPr>
            <w:tcW w:type="dxa" w:w="3024"/>
            <w:shd w:val="clear" w:color="auto" w:fill="F8FAFC"/>
            <w:tcMar>
              <w:top w:w="60" w:type="dxa"/>
              <w:bottom w:w="60" w:type="dxa"/>
              <w:left w:w="80" w:type="dxa"/>
              <w:right w:w="80" w:type="dxa"/>
            </w:tcMar>
          </w:tcPr>
          <w:p>
            <w:r>
              <w:t>47.171</w:t>
            </w:r>
          </w:p>
        </w:tc>
        <w:tc>
          <w:tcPr>
            <w:tcW w:type="dxa" w:w="3024"/>
            <w:shd w:val="clear" w:color="auto" w:fill="F8FAFC"/>
            <w:tcMar>
              <w:top w:w="60" w:type="dxa"/>
              <w:bottom w:w="60" w:type="dxa"/>
              <w:left w:w="80" w:type="dxa"/>
              <w:right w:w="80" w:type="dxa"/>
            </w:tcMar>
          </w:tcPr>
          <w:p>
            <w:r>
              <w:t>13,02%</w:t>
            </w:r>
          </w:p>
        </w:tc>
      </w:tr>
      <w:tr>
        <w:tc>
          <w:tcPr>
            <w:tcW w:type="dxa" w:w="3024"/>
            <w:shd w:val="clear" w:color="auto" w:fill="F8FAFC"/>
            <w:tcMar>
              <w:top w:w="60" w:type="dxa"/>
              <w:bottom w:w="60" w:type="dxa"/>
              <w:left w:w="80" w:type="dxa"/>
              <w:right w:w="80" w:type="dxa"/>
            </w:tcMar>
          </w:tcPr>
          <w:p>
            <w:r>
              <w:t xml:space="preserve"> — Solo Pensión por fallecimiento</w:t>
            </w:r>
          </w:p>
        </w:tc>
        <w:tc>
          <w:tcPr>
            <w:tcW w:type="dxa" w:w="3024"/>
            <w:shd w:val="clear" w:color="auto" w:fill="F8FAFC"/>
            <w:tcMar>
              <w:top w:w="60" w:type="dxa"/>
              <w:bottom w:w="60" w:type="dxa"/>
              <w:left w:w="80" w:type="dxa"/>
              <w:right w:w="80" w:type="dxa"/>
            </w:tcMar>
          </w:tcPr>
          <w:p>
            <w:r>
              <w:t>4.546</w:t>
            </w:r>
          </w:p>
        </w:tc>
        <w:tc>
          <w:tcPr>
            <w:tcW w:type="dxa" w:w="3024"/>
            <w:shd w:val="clear" w:color="auto" w:fill="F8FAFC"/>
            <w:tcMar>
              <w:top w:w="60" w:type="dxa"/>
              <w:bottom w:w="60" w:type="dxa"/>
              <w:left w:w="80" w:type="dxa"/>
              <w:right w:w="80" w:type="dxa"/>
            </w:tcMar>
          </w:tcPr>
          <w:p>
            <w:r>
              <w:t>1,25%</w:t>
            </w:r>
          </w:p>
        </w:tc>
      </w:tr>
      <w:tr>
        <w:tc>
          <w:tcPr>
            <w:tcW w:type="dxa" w:w="3024"/>
            <w:shd w:val="clear" w:color="auto" w:fill="F8FAFC"/>
            <w:tcMar>
              <w:top w:w="60" w:type="dxa"/>
              <w:bottom w:w="60" w:type="dxa"/>
              <w:left w:w="80" w:type="dxa"/>
              <w:right w:w="80" w:type="dxa"/>
            </w:tcMar>
          </w:tcPr>
          <w:p>
            <w:r>
              <w:t xml:space="preserve"> — Jubilación y Pensión por fallecimiento simultáneamente</w:t>
            </w:r>
          </w:p>
        </w:tc>
        <w:tc>
          <w:tcPr>
            <w:tcW w:type="dxa" w:w="3024"/>
            <w:shd w:val="clear" w:color="auto" w:fill="F8FAFC"/>
            <w:tcMar>
              <w:top w:w="60" w:type="dxa"/>
              <w:bottom w:w="60" w:type="dxa"/>
              <w:left w:w="80" w:type="dxa"/>
              <w:right w:w="80" w:type="dxa"/>
            </w:tcMar>
          </w:tcPr>
          <w:p>
            <w:r>
              <w:t>13.369</w:t>
            </w:r>
          </w:p>
        </w:tc>
        <w:tc>
          <w:tcPr>
            <w:tcW w:type="dxa" w:w="3024"/>
            <w:shd w:val="clear" w:color="auto" w:fill="F8FAFC"/>
            <w:tcMar>
              <w:top w:w="60" w:type="dxa"/>
              <w:bottom w:w="60" w:type="dxa"/>
              <w:left w:w="80" w:type="dxa"/>
              <w:right w:w="80" w:type="dxa"/>
            </w:tcMar>
          </w:tcPr>
          <w:p>
            <w:r>
              <w:t>3,69%</w:t>
            </w:r>
          </w:p>
        </w:tc>
      </w:tr>
      <w:tr>
        <w:tc>
          <w:tcPr>
            <w:tcW w:type="dxa" w:w="3024"/>
            <w:shd w:val="clear" w:color="auto" w:fill="F8FAFC"/>
            <w:tcMar>
              <w:top w:w="60" w:type="dxa"/>
              <w:bottom w:w="60" w:type="dxa"/>
              <w:left w:w="80" w:type="dxa"/>
              <w:right w:w="80" w:type="dxa"/>
            </w:tcMar>
          </w:tcPr>
          <w:p>
            <w:r>
              <w:t xml:space="preserve"> — Solo Pensión de otro tipo (No contributiva / Discapacidad)</w:t>
            </w:r>
          </w:p>
        </w:tc>
        <w:tc>
          <w:tcPr>
            <w:tcW w:type="dxa" w:w="3024"/>
            <w:shd w:val="clear" w:color="auto" w:fill="F8FAFC"/>
            <w:tcMar>
              <w:top w:w="60" w:type="dxa"/>
              <w:bottom w:w="60" w:type="dxa"/>
              <w:left w:w="80" w:type="dxa"/>
              <w:right w:w="80" w:type="dxa"/>
            </w:tcMar>
          </w:tcPr>
          <w:p>
            <w:r>
              <w:t>10.156</w:t>
            </w:r>
          </w:p>
        </w:tc>
        <w:tc>
          <w:tcPr>
            <w:tcW w:type="dxa" w:w="3024"/>
            <w:shd w:val="clear" w:color="auto" w:fill="F8FAFC"/>
            <w:tcMar>
              <w:top w:w="60" w:type="dxa"/>
              <w:bottom w:w="60" w:type="dxa"/>
              <w:left w:w="80" w:type="dxa"/>
              <w:right w:w="80" w:type="dxa"/>
            </w:tcMar>
          </w:tcPr>
          <w:p>
            <w:r>
              <w:t>2,80%</w:t>
            </w:r>
          </w:p>
        </w:tc>
      </w:tr>
      <w:tr>
        <w:tc>
          <w:tcPr>
            <w:tcW w:type="dxa" w:w="3024"/>
            <w:shd w:val="clear" w:color="auto" w:fill="F8FAFC"/>
            <w:tcMar>
              <w:top w:w="60" w:type="dxa"/>
              <w:bottom w:w="60" w:type="dxa"/>
              <w:left w:w="80" w:type="dxa"/>
              <w:right w:w="80" w:type="dxa"/>
            </w:tcMar>
          </w:tcPr>
          <w:p>
            <w:r>
              <w:t>No Percibe Jubilación ni Pensión (&lt; 65 años / Activos)</w:t>
            </w:r>
          </w:p>
        </w:tc>
        <w:tc>
          <w:tcPr>
            <w:tcW w:type="dxa" w:w="3024"/>
            <w:shd w:val="clear" w:color="auto" w:fill="F8FAFC"/>
            <w:tcMar>
              <w:top w:w="60" w:type="dxa"/>
              <w:bottom w:w="60" w:type="dxa"/>
              <w:left w:w="80" w:type="dxa"/>
              <w:right w:w="80" w:type="dxa"/>
            </w:tcMar>
          </w:tcPr>
          <w:p>
            <w:r>
              <w:t>287.077</w:t>
            </w:r>
          </w:p>
        </w:tc>
        <w:tc>
          <w:tcPr>
            <w:tcW w:type="dxa" w:w="3024"/>
            <w:shd w:val="clear" w:color="auto" w:fill="F8FAFC"/>
            <w:tcMar>
              <w:top w:w="60" w:type="dxa"/>
              <w:bottom w:w="60" w:type="dxa"/>
              <w:left w:w="80" w:type="dxa"/>
              <w:right w:w="80" w:type="dxa"/>
            </w:tcMar>
          </w:tcPr>
          <w:p>
            <w:r>
              <w:t>79,23%</w:t>
            </w:r>
          </w:p>
        </w:tc>
      </w:tr>
    </w:tbl>
    <w:p>
      <w:pPr>
        <w:spacing w:before="40" w:after="240" w:line="252" w:lineRule="auto"/>
      </w:pPr>
      <w:r>
        <w:rPr>
          <w:i/>
          <w:color w:val="64748B"/>
          <w:sz w:val="18"/>
        </w:rPr>
        <w:t>📌 Fuente y Referencia: INDEC. Censo Nacional de Población, Hogares y Viviendas 2022. Población en viviendas particulares según condición de percepción de jubilación y/o pensión en el Partido de Tres de Febrero.</w:t>
      </w:r>
    </w:p>
    <w:p>
      <w:r>
        <w:br w:type="page"/>
      </w:r>
    </w:p>
    <w:p>
      <w:pPr>
        <w:spacing w:before="360" w:after="160"/>
      </w:pPr>
      <w:r>
        <w:rPr>
          <w:b/>
          <w:color w:val="1E3A8A"/>
          <w:sz w:val="30"/>
        </w:rPr>
        <w:t>4. Cobertura Sanitaria y Vulnerabilidad Desagregada por Localidad</w:t>
      </w:r>
    </w:p>
    <w:p>
      <w:pPr>
        <w:spacing w:after="120" w:line="276" w:lineRule="auto"/>
      </w:pPr>
      <w:r>
        <w:rPr>
          <w:b/>
          <w:color w:val="0F172A"/>
        </w:rPr>
        <w:t xml:space="preserve">Panorama General de Aseguramiento: </w:t>
      </w:r>
      <w:r>
        <w:t>El 72,8% de la población distrital cuenta con alguna cobertura de salud formal (70,76% con obra social o prepaga y 2,04% con programas o planes estatales). La proporción de población sin cobertura formal en Tres de Febrero (27,20% — 98.540 personas) es netamente inferior al promedio de los 24 Partidos del Gran Buenos Aires (37,60%) y al total de la Provincia (35,10%), posicionando al distrito favorablemente en el escenario general del conurbano.</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E3A8A"/>
            <w:tcMar>
              <w:top w:w="80" w:type="dxa"/>
              <w:bottom w:w="80" w:type="dxa"/>
              <w:left w:w="80" w:type="dxa"/>
              <w:right w:w="80" w:type="dxa"/>
            </w:tcMar>
          </w:tcPr>
          <w:p>
            <w:r>
              <w:rPr>
                <w:b/>
                <w:color w:val="FFFFFF"/>
              </w:rPr>
              <w:t>Jurisdicción / Ámbito Territorial</w:t>
            </w:r>
          </w:p>
        </w:tc>
        <w:tc>
          <w:tcPr>
            <w:tcW w:type="dxa" w:w="3024"/>
            <w:shd w:val="clear" w:color="auto" w:fill="1E3A8A"/>
            <w:tcMar>
              <w:top w:w="80" w:type="dxa"/>
              <w:bottom w:w="80" w:type="dxa"/>
              <w:left w:w="80" w:type="dxa"/>
              <w:right w:w="80" w:type="dxa"/>
            </w:tcMar>
          </w:tcPr>
          <w:p>
            <w:r>
              <w:rPr>
                <w:b/>
                <w:color w:val="FFFFFF"/>
              </w:rPr>
              <w:t>Población Sin Cobertura Formal</w:t>
            </w:r>
          </w:p>
        </w:tc>
        <w:tc>
          <w:tcPr>
            <w:tcW w:type="dxa" w:w="3024"/>
            <w:shd w:val="clear" w:color="auto" w:fill="1E3A8A"/>
            <w:tcMar>
              <w:top w:w="80" w:type="dxa"/>
              <w:bottom w:w="80" w:type="dxa"/>
              <w:left w:w="80" w:type="dxa"/>
              <w:right w:w="80" w:type="dxa"/>
            </w:tcMar>
          </w:tcPr>
          <w:p>
            <w:r>
              <w:rPr>
                <w:b/>
                <w:color w:val="FFFFFF"/>
              </w:rPr>
              <w:t>Porcentaje de Dependencia Pública</w:t>
            </w:r>
          </w:p>
        </w:tc>
      </w:tr>
      <w:tr>
        <w:tc>
          <w:tcPr>
            <w:tcW w:type="dxa" w:w="3024"/>
            <w:tcMar>
              <w:top w:w="70" w:type="dxa"/>
              <w:bottom w:w="70" w:type="dxa"/>
              <w:left w:w="80" w:type="dxa"/>
              <w:right w:w="80" w:type="dxa"/>
            </w:tcMar>
            <w:shd w:val="clear" w:color="auto" w:fill="F8FAFC"/>
          </w:tcPr>
          <w:p>
            <w:r>
              <w:t>Municipio de Tres de Febrero</w:t>
            </w:r>
          </w:p>
        </w:tc>
        <w:tc>
          <w:tcPr>
            <w:tcW w:type="dxa" w:w="3024"/>
            <w:tcMar>
              <w:top w:w="70" w:type="dxa"/>
              <w:bottom w:w="70" w:type="dxa"/>
              <w:left w:w="80" w:type="dxa"/>
              <w:right w:w="80" w:type="dxa"/>
            </w:tcMar>
            <w:shd w:val="clear" w:color="auto" w:fill="F8FAFC"/>
          </w:tcPr>
          <w:p>
            <w:r>
              <w:t>98.540 personas</w:t>
            </w:r>
          </w:p>
        </w:tc>
        <w:tc>
          <w:tcPr>
            <w:tcW w:type="dxa" w:w="3024"/>
            <w:tcMar>
              <w:top w:w="70" w:type="dxa"/>
              <w:bottom w:w="70" w:type="dxa"/>
              <w:left w:w="80" w:type="dxa"/>
              <w:right w:w="80" w:type="dxa"/>
            </w:tcMar>
            <w:shd w:val="clear" w:color="auto" w:fill="F8FAFC"/>
          </w:tcPr>
          <w:p>
            <w:r>
              <w:rPr>
                <w:b/>
                <w:color w:val="059669"/>
              </w:rPr>
              <w:t>27,2% (Favorable vs GBA)</w:t>
            </w:r>
          </w:p>
        </w:tc>
      </w:tr>
      <w:tr>
        <w:tc>
          <w:tcPr>
            <w:tcW w:type="dxa" w:w="3024"/>
            <w:tcMar>
              <w:top w:w="70" w:type="dxa"/>
              <w:bottom w:w="70" w:type="dxa"/>
              <w:left w:w="80" w:type="dxa"/>
              <w:right w:w="80" w:type="dxa"/>
            </w:tcMar>
            <w:shd w:val="clear" w:color="auto" w:fill="F8FAFC"/>
          </w:tcPr>
          <w:p>
            <w:r>
              <w:t>Promedio 24 Partidos del Gran Buenos Aires</w:t>
            </w:r>
          </w:p>
        </w:tc>
        <w:tc>
          <w:tcPr>
            <w:tcW w:type="dxa" w:w="3024"/>
            <w:tcMar>
              <w:top w:w="70" w:type="dxa"/>
              <w:bottom w:w="70" w:type="dxa"/>
              <w:left w:w="80" w:type="dxa"/>
              <w:right w:w="80" w:type="dxa"/>
            </w:tcMar>
            <w:shd w:val="clear" w:color="auto" w:fill="F8FAFC"/>
          </w:tcPr>
          <w:p>
            <w:r>
              <w:t>4.056.187 personas</w:t>
            </w:r>
          </w:p>
        </w:tc>
        <w:tc>
          <w:tcPr>
            <w:tcW w:type="dxa" w:w="3024"/>
            <w:tcMar>
              <w:top w:w="70" w:type="dxa"/>
              <w:bottom w:w="70" w:type="dxa"/>
              <w:left w:w="80" w:type="dxa"/>
              <w:right w:w="80" w:type="dxa"/>
            </w:tcMar>
            <w:shd w:val="clear" w:color="auto" w:fill="F8FAFC"/>
          </w:tcPr>
          <w:p>
            <w:r>
              <w:t>37,6%</w:t>
            </w:r>
          </w:p>
        </w:tc>
      </w:tr>
      <w:tr>
        <w:tc>
          <w:tcPr>
            <w:tcW w:type="dxa" w:w="3024"/>
            <w:tcMar>
              <w:top w:w="70" w:type="dxa"/>
              <w:bottom w:w="70" w:type="dxa"/>
              <w:left w:w="80" w:type="dxa"/>
              <w:right w:w="80" w:type="dxa"/>
            </w:tcMar>
            <w:shd w:val="clear" w:color="auto" w:fill="F8FAFC"/>
          </w:tcPr>
          <w:p>
            <w:r>
              <w:t>Total Provincia de Buenos Aires</w:t>
            </w:r>
          </w:p>
        </w:tc>
        <w:tc>
          <w:tcPr>
            <w:tcW w:type="dxa" w:w="3024"/>
            <w:tcMar>
              <w:top w:w="70" w:type="dxa"/>
              <w:bottom w:w="70" w:type="dxa"/>
              <w:left w:w="80" w:type="dxa"/>
              <w:right w:w="80" w:type="dxa"/>
            </w:tcMar>
            <w:shd w:val="clear" w:color="auto" w:fill="F8FAFC"/>
          </w:tcPr>
          <w:p>
            <w:r>
              <w:t>6.111.393 personas</w:t>
            </w:r>
          </w:p>
        </w:tc>
        <w:tc>
          <w:tcPr>
            <w:tcW w:type="dxa" w:w="3024"/>
            <w:tcMar>
              <w:top w:w="70" w:type="dxa"/>
              <w:bottom w:w="70" w:type="dxa"/>
              <w:left w:w="80" w:type="dxa"/>
              <w:right w:w="80" w:type="dxa"/>
            </w:tcMar>
            <w:shd w:val="clear" w:color="auto" w:fill="F8FAFC"/>
          </w:tcPr>
          <w:p>
            <w:r>
              <w:t>35,1%</w:t>
            </w:r>
          </w:p>
        </w:tc>
      </w:tr>
    </w:tbl>
    <w:p>
      <w:pPr>
        <w:spacing w:before="40" w:after="240" w:line="252" w:lineRule="auto"/>
      </w:pPr>
      <w:r>
        <w:rPr>
          <w:i/>
          <w:color w:val="64748B"/>
          <w:sz w:val="18"/>
        </w:rPr>
        <w:t>📌 Fuente y Referencia: INDEC. Censo Nacional de Población, Hogares y Viviendas 2022. Población en viviendas particulares según tipo de cobertura sanitaria por partido y provincia.</w:t>
      </w:r>
    </w:p>
    <w:p>
      <w:pPr>
        <w:spacing w:after="120" w:line="276" w:lineRule="auto"/>
      </w:pPr>
      <w:r>
        <w:rPr>
          <w:b/>
          <w:color w:val="0F172A"/>
        </w:rPr>
        <w:t xml:space="preserve">Gradiente Territorial Norte-Sur: </w:t>
      </w:r>
      <w:r>
        <w:t>No obstante el promedio favorable distrital, el análisis espacial intramunicipal expone una profunda brecha de vulnerabilidad en el corredor Norte. Las localidades de El Libertador, Churruca, Pablo Podestá, Remedios de Escalada y Loma Hermosa concentran tasas de dependencia exclusiva del sistema público que oscilan entre el 38% y el 43%, demandando la focalización asistencial prioritaria del Hospital Bocalandro y los CAPS 10 a 13.</w:t>
      </w:r>
    </w:p>
    <w:p>
      <w:pPr>
        <w:spacing w:before="200" w:after="40"/>
        <w:jc w:val="center"/>
      </w:pPr>
      <w:r>
        <w:drawing>
          <wp:inline xmlns:a="http://schemas.openxmlformats.org/drawingml/2006/main" xmlns:pic="http://schemas.openxmlformats.org/drawingml/2006/picture">
            <wp:extent cx="5669280" cy="3819105"/>
            <wp:docPr id="2" name="Picture 2"/>
            <wp:cNvGraphicFramePr>
              <a:graphicFrameLocks noChangeAspect="1"/>
            </wp:cNvGraphicFramePr>
            <a:graphic>
              <a:graphicData uri="http://schemas.openxmlformats.org/drawingml/2006/picture">
                <pic:pic>
                  <pic:nvPicPr>
                    <pic:cNvPr id="0" name="grafico_dependencia_por_localidad_3f.png"/>
                    <pic:cNvPicPr/>
                  </pic:nvPicPr>
                  <pic:blipFill>
                    <a:blip r:embed="rId10"/>
                    <a:stretch>
                      <a:fillRect/>
                    </a:stretch>
                  </pic:blipFill>
                  <pic:spPr>
                    <a:xfrm>
                      <a:off x="0" y="0"/>
                      <a:ext cx="5669280" cy="3819105"/>
                    </a:xfrm>
                    <a:prstGeom prst="rect"/>
                  </pic:spPr>
                </pic:pic>
              </a:graphicData>
            </a:graphic>
          </wp:inline>
        </w:drawing>
      </w:r>
    </w:p>
    <w:p>
      <w:pPr>
        <w:spacing w:after="40"/>
        <w:jc w:val="center"/>
      </w:pPr>
      <w:r>
        <w:rPr>
          <w:b/>
          <w:color w:val="334155"/>
          <w:sz w:val="19"/>
        </w:rPr>
        <w:t>Gráfico 2: Gradiente Territorial de Dependencia del Sistema Público por las 15 Localidades vs Promedios GBA/PBA.</w:t>
      </w:r>
    </w:p>
    <w:p>
      <w:pPr>
        <w:spacing w:before="40" w:after="240" w:line="252" w:lineRule="auto"/>
      </w:pPr>
      <w:r>
        <w:rPr>
          <w:i/>
          <w:color w:val="64748B"/>
          <w:sz w:val="18"/>
        </w:rPr>
        <w:t>📌 Fuente y Referencia: INDEC. Censo Nacional de Población, Hogares y Viviendas 2022. Procesamiento espacial por radios censales agrupados según las 15 localidades del Partido de Tres de Febrero en comparación con los 24 partidos del GBA.</w:t>
      </w:r>
    </w:p>
    <w:p>
      <w:pPr>
        <w:spacing w:before="360" w:after="160"/>
      </w:pPr>
      <w:r>
        <w:rPr>
          <w:b/>
          <w:color w:val="1E3A8A"/>
          <w:sz w:val="30"/>
        </w:rPr>
        <w:t>5. Cartografía Poligonal Georreferenciada (457 Radios Censales)</w:t>
      </w:r>
    </w:p>
    <w:p>
      <w:pPr>
        <w:spacing w:after="120" w:line="276" w:lineRule="auto"/>
      </w:pPr>
      <w:r>
        <w:rPr>
          <w:b/>
          <w:color w:val="0F172A"/>
        </w:rPr>
        <w:t xml:space="preserve">Geometría Territorial Exacta: </w:t>
      </w:r>
      <w:r>
        <w:t>El mapa de coropletas se construyó importando e integrando la totalidad de los 457 radios censales (`RADIO_CENS`) correspondientes al código INDEC `06840` sobre la cartografía oficial de la Provincia de Buenos Aires.</w:t>
      </w:r>
    </w:p>
    <w:p>
      <w:pPr>
        <w:spacing w:after="120" w:line="276" w:lineRule="auto"/>
      </w:pPr>
      <w:r>
        <w:rPr>
          <w:b/>
          <w:color w:val="0F172A"/>
        </w:rPr>
        <w:t xml:space="preserve">Precisión Territorial SIG: </w:t>
      </w:r>
      <w:r>
        <w:t>El resultado cartográfico garantiza la representación de la malla urbana distrital y muestra la ubicación georreferenciada de la red de 19 efectores sanitarios provinciales y municipales.</w:t>
      </w:r>
    </w:p>
    <w:p>
      <w:pPr>
        <w:spacing w:before="200" w:after="40"/>
        <w:jc w:val="center"/>
      </w:pPr>
      <w:r>
        <w:drawing>
          <wp:inline xmlns:a="http://schemas.openxmlformats.org/drawingml/2006/main" xmlns:pic="http://schemas.openxmlformats.org/drawingml/2006/picture">
            <wp:extent cx="5852160" cy="4408809"/>
            <wp:docPr id="3" name="Picture 3"/>
            <wp:cNvGraphicFramePr>
              <a:graphicFrameLocks noChangeAspect="1"/>
            </wp:cNvGraphicFramePr>
            <a:graphic>
              <a:graphicData uri="http://schemas.openxmlformats.org/drawingml/2006/picture">
                <pic:pic>
                  <pic:nvPicPr>
                    <pic:cNvPr id="0" name="mapa_sistema_publico_3f.png"/>
                    <pic:cNvPicPr/>
                  </pic:nvPicPr>
                  <pic:blipFill>
                    <a:blip r:embed="rId11"/>
                    <a:stretch>
                      <a:fillRect/>
                    </a:stretch>
                  </pic:blipFill>
                  <pic:spPr>
                    <a:xfrm>
                      <a:off x="0" y="0"/>
                      <a:ext cx="5852160" cy="4408809"/>
                    </a:xfrm>
                    <a:prstGeom prst="rect"/>
                  </pic:spPr>
                </pic:pic>
              </a:graphicData>
            </a:graphic>
          </wp:inline>
        </w:drawing>
      </w:r>
    </w:p>
    <w:p>
      <w:pPr>
        <w:spacing w:after="40"/>
        <w:jc w:val="center"/>
      </w:pPr>
      <w:r>
        <w:rPr>
          <w:b/>
          <w:color w:val="334155"/>
          <w:sz w:val="19"/>
        </w:rPr>
        <w:t>Mapa 1: Cartografía Georreferenciada de los 457 Radios Censales de Tres de Febrero y Red de 19 Efectores sanitarios.</w:t>
      </w:r>
    </w:p>
    <w:p>
      <w:pPr>
        <w:spacing w:before="40" w:after="240" w:line="252" w:lineRule="auto"/>
      </w:pPr>
      <w:r>
        <w:rPr>
          <w:i/>
          <w:color w:val="64748B"/>
          <w:sz w:val="18"/>
        </w:rPr>
        <w:t>📌 Fuente y Referencia: Cartografía Poligonal Oficial del Instituto Nacional de Estadística y Censos (INDEC) e Instituto Geográfico Nacional (IGN), vinculada con indicadores sanitarios del Censo 2022 y Catálogo Georreferenciado de Efectores (Secretaría de Salud y Gestión Operativa, 2026).</w:t>
      </w:r>
    </w:p>
    <w:p>
      <w:pPr>
        <w:spacing w:before="360" w:after="160"/>
      </w:pPr>
      <w:r>
        <w:rPr>
          <w:b/>
          <w:color w:val="1E3A8A"/>
          <w:sz w:val="30"/>
        </w:rPr>
        <w:t>6. Infraestructura Sanitaria Básica y Determinantes Sociales de la Salud</w:t>
      </w:r>
    </w:p>
    <w:p>
      <w:pPr>
        <w:spacing w:after="120" w:line="276" w:lineRule="auto"/>
      </w:pPr>
      <w:r>
        <w:rPr>
          <w:b/>
          <w:color w:val="0F172A"/>
        </w:rPr>
        <w:t xml:space="preserve">Saneamiento y Calidad de Vida: </w:t>
      </w:r>
      <w:r>
        <w:t>Las condiciones habitacionales y de saneamiento básico constituyen determinantes estructurales en la prevención de morbilidad infectocontagiosa infantil (diarreas, hepatitis, parasitosis). En este ámbito, el Censo 2022 ratifica que Tres de Febrero cuenta con una cobertura de infraestructura superior a la gran mayoría de los distritos del conurbano:</w:t>
      </w:r>
    </w:p>
    <w:p>
      <w:pPr>
        <w:spacing w:after="120" w:line="276" w:lineRule="auto"/>
      </w:pPr>
      <w:r>
        <w:rPr>
          <w:b/>
          <w:color w:val="0F172A"/>
        </w:rPr>
        <w:t xml:space="preserve">Indicadores de Habitabilidad y Servicios: </w:t>
      </w:r>
      <w:r>
        <w:t>• Agua por red pública (cañería dentro de la vivienda): 96,1% de cobertura distrital frente al 78,4% en los 24 partidos del GBA.</w:t>
        <w:br/>
        <w:t>• Desagüe cloacal a red pública: 92,6% de cobertura distrital frente al 61,2% en el GBA.</w:t>
        <w:br/>
        <w:t>• Gas natural de red pública: 89,4% de cobertura frente al 72,1% en el GBA.</w:t>
        <w:br/>
        <w:t>• Conexión hogareña a Internet: 87,5% de los hogares cubiertos frente al 74,8% en el GBA.</w:t>
      </w:r>
    </w:p>
    <w:p>
      <w:pPr>
        <w:spacing w:before="200" w:after="40"/>
        <w:jc w:val="center"/>
      </w:pPr>
      <w:r>
        <w:drawing>
          <wp:inline xmlns:a="http://schemas.openxmlformats.org/drawingml/2006/main" xmlns:pic="http://schemas.openxmlformats.org/drawingml/2006/picture">
            <wp:extent cx="5669280" cy="3230934"/>
            <wp:docPr id="4" name="Picture 4"/>
            <wp:cNvGraphicFramePr>
              <a:graphicFrameLocks noChangeAspect="1"/>
            </wp:cNvGraphicFramePr>
            <a:graphic>
              <a:graphicData uri="http://schemas.openxmlformats.org/drawingml/2006/picture">
                <pic:pic>
                  <pic:nvPicPr>
                    <pic:cNvPr id="0" name="grafico_cobertura_vs_infraestructura_3f.png"/>
                    <pic:cNvPicPr/>
                  </pic:nvPicPr>
                  <pic:blipFill>
                    <a:blip r:embed="rId12"/>
                    <a:stretch>
                      <a:fillRect/>
                    </a:stretch>
                  </pic:blipFill>
                  <pic:spPr>
                    <a:xfrm>
                      <a:off x="0" y="0"/>
                      <a:ext cx="5669280" cy="3230934"/>
                    </a:xfrm>
                    <a:prstGeom prst="rect"/>
                  </pic:spPr>
                </pic:pic>
              </a:graphicData>
            </a:graphic>
          </wp:inline>
        </w:drawing>
      </w:r>
    </w:p>
    <w:p>
      <w:pPr>
        <w:spacing w:after="40"/>
        <w:jc w:val="center"/>
      </w:pPr>
      <w:r>
        <w:rPr>
          <w:b/>
          <w:color w:val="334155"/>
          <w:sz w:val="19"/>
        </w:rPr>
        <w:t>Gráfico 3: Comparativa de Cobertura de Salud e Infraestructura Sanitaria Básica (Tres de Febrero vs Conurbano GBA).</w:t>
      </w:r>
    </w:p>
    <w:p>
      <w:pPr>
        <w:spacing w:before="40" w:after="240" w:line="252" w:lineRule="auto"/>
      </w:pPr>
      <w:r>
        <w:rPr>
          <w:i/>
          <w:color w:val="64748B"/>
          <w:sz w:val="18"/>
        </w:rPr>
        <w:t>📌 Fuente y Referencia: INDEC. Censo Nacional de Población, Hogares y Viviendas 2022. Hogares en viviendas particulares según acceso a servicios básicos de red de agua, cloacas, gas domiciliario e internet.</w:t>
      </w:r>
    </w:p>
    <w:p>
      <w:r>
        <w:br w:type="page"/>
      </w:r>
    </w:p>
    <w:p>
      <w:pPr>
        <w:spacing w:before="360" w:after="160"/>
      </w:pPr>
      <w:r>
        <w:rPr>
          <w:b/>
          <w:color w:val="1E3A8A"/>
          <w:sz w:val="30"/>
        </w:rPr>
        <w:t>7. Red Integrada de Servicios de Salud y Gestión Multinivel</w:t>
      </w:r>
    </w:p>
    <w:p>
      <w:pPr>
        <w:spacing w:after="120" w:line="276" w:lineRule="auto"/>
      </w:pPr>
      <w:r>
        <w:rPr>
          <w:b/>
          <w:color w:val="0F172A"/>
        </w:rPr>
        <w:t xml:space="preserve">Modelo de Atención Integrada: </w:t>
      </w:r>
      <w:r>
        <w:t>El municipio de Tres de Febrero cuenta con una red de servicios de salud interconnected que articula los tres niveles de atención mediante la convivencia sinérgica de efectores municipales, provinciales (Región Sanitaria VII) y nacionales, sumando además el servicio de Telemedicina municipal disponible las 24 hs.</w:t>
      </w:r>
    </w:p>
    <w:p>
      <w:pPr>
        <w:spacing w:before="200" w:after="40"/>
        <w:jc w:val="center"/>
      </w:pPr>
      <w:r>
        <w:drawing>
          <wp:inline xmlns:a="http://schemas.openxmlformats.org/drawingml/2006/main" xmlns:pic="http://schemas.openxmlformats.org/drawingml/2006/picture">
            <wp:extent cx="5669280" cy="3085322"/>
            <wp:docPr id="5" name="Picture 5"/>
            <wp:cNvGraphicFramePr>
              <a:graphicFrameLocks noChangeAspect="1"/>
            </wp:cNvGraphicFramePr>
            <a:graphic>
              <a:graphicData uri="http://schemas.openxmlformats.org/drawingml/2006/picture">
                <pic:pic>
                  <pic:nvPicPr>
                    <pic:cNvPr id="0" name="grafico_capacidad_efectores_3f.png"/>
                    <pic:cNvPicPr/>
                  </pic:nvPicPr>
                  <pic:blipFill>
                    <a:blip r:embed="rId13"/>
                    <a:stretch>
                      <a:fillRect/>
                    </a:stretch>
                  </pic:blipFill>
                  <pic:spPr>
                    <a:xfrm>
                      <a:off x="0" y="0"/>
                      <a:ext cx="5669280" cy="3085322"/>
                    </a:xfrm>
                    <a:prstGeom prst="rect"/>
                  </pic:spPr>
                </pic:pic>
              </a:graphicData>
            </a:graphic>
          </wp:inline>
        </w:drawing>
      </w:r>
    </w:p>
    <w:p>
      <w:pPr>
        <w:spacing w:after="40"/>
        <w:jc w:val="center"/>
      </w:pPr>
      <w:r>
        <w:rPr>
          <w:b/>
          <w:color w:val="334155"/>
          <w:sz w:val="19"/>
        </w:rPr>
        <w:t>Gráfico 4: Estructura Prestacional y Capacidad de la Red Sanitaria de Tres de Febrero y Región VII.</w:t>
      </w:r>
    </w:p>
    <w:p>
      <w:pPr>
        <w:spacing w:before="40" w:after="240" w:line="252" w:lineRule="auto"/>
      </w:pPr>
      <w:r>
        <w:rPr>
          <w:i/>
          <w:color w:val="64748B"/>
          <w:sz w:val="18"/>
        </w:rPr>
        <w:t>📌 Fuente y Referencia: Relevamiento Institucional de la Secretaría de Salud y Gestión Operativa (Municipalidad de Tres de Febrero, 2026), Catálogo Federal de Establecimientos (SISA) e Informes del Ministerio de Salud PBA (Región VII).</w:t>
      </w:r>
    </w:p>
    <w:p>
      <w:pPr>
        <w:spacing w:before="280" w:after="120"/>
      </w:pPr>
      <w:r>
        <w:rPr>
          <w:b/>
          <w:color w:val="334155"/>
          <w:sz w:val="26"/>
        </w:rPr>
        <w:t>A. Primer Nivel y Atención Ambulatoria Especializada (Gestión Municipal)</w:t>
      </w:r>
    </w:p>
    <w:p>
      <w:pPr>
        <w:spacing w:after="120" w:line="276" w:lineRule="auto"/>
      </w:pPr>
      <w:r>
        <w:rPr>
          <w:b/>
          <w:color w:val="0F172A"/>
        </w:rPr>
        <w:t xml:space="preserve">CAPS y CEMAR: </w:t>
      </w:r>
      <w:r>
        <w:t>• 13 Centros de Atención Primaria de la Salud (CAPS): Distribuidos en todo el territorio distrital. Horario de atención: lunes a viernes de 8 a 19 hs (en temporada de invierno de 8 a 18 hs). Brindan medicina general, clínica, pediatría, obstetricia, ginecología, psicología, psicopedagogía, trabajo social, enfermería, odontología, nutrición y dispensa de medicación.</w:t>
        <w:br/>
        <w:t>• Centro de Especialidades Médicas Ambulatorias de Referencia (CEMAR): Ubicado en Caseros Centro (Labardén y Labardén). Absorbe las especialidades médicas de mayor complejidad ambulatoria y se accede a ellas exclusivamente mediante derivación desde los 13 CAPS.</w:t>
      </w:r>
    </w:p>
    <w:p>
      <w:pPr>
        <w:spacing w:after="120" w:line="276" w:lineRule="auto"/>
      </w:pPr>
      <w:r>
        <w:rPr>
          <w:b/>
          <w:color w:val="0F172A"/>
        </w:rPr>
        <w:t xml:space="preserve">Espacios Comunitarios y de Promoción de la Salud: </w:t>
      </w:r>
      <w:r>
        <w:t>De acuerdo a las necesidades evaluadas por los equipos de salud territorial en cada zona, en los CAPS y CEMAR se brindan espacios comunitarios (con admisión previa) tales como: 1. Ludotecas, 2. Estimulación cognitiva, 3. Grupos de habilidades socio-emocionales, 4. Talleres para mujeres y diversidades, 5. Huertas comunitarias, 6. Grupos de crianza, 7. Alfabetización, 8. Grupos de orientación a familias, 9. Caminatas saludables.</w:t>
      </w:r>
    </w:p>
    <w:p>
      <w:pPr>
        <w:spacing w:before="40" w:after="240" w:line="252" w:lineRule="auto"/>
      </w:pPr>
      <w:r>
        <w:rPr>
          <w:i/>
          <w:color w:val="64748B"/>
          <w:sz w:val="18"/>
        </w:rPr>
        <w:t>📌 Fuente y Referencia: Relevamiento de Programas Comunitarios, Evaluación Territorial de Admisión Previa y Directorio Operativo del Primer Nivel de Atención (Secretaría de Salud y Gestión Operativa, Municipalidad de Tres de Febrero, 2026).</w:t>
      </w:r>
    </w:p>
    <w:p>
      <w:pPr>
        <w:spacing w:after="120" w:line="276" w:lineRule="auto"/>
      </w:pPr>
      <w:r>
        <w:rPr>
          <w:b/>
          <w:color w:val="0F172A"/>
        </w:rPr>
        <w:t xml:space="preserve">Hospitales Monovalentes Municipales: </w:t>
      </w:r>
      <w:r>
        <w:t>El municipio dispone de 2 hospitales monovalentes de gestión municipal que complementan la atención primaria en especialidades de muy alta demanda: el Hospital Municipal Odontológico y el Hospital Municipal Oftalmológico 'Dr. Norberto Di Próspero', ambos con sede en Caseros Centro.</w:t>
      </w:r>
    </w:p>
    <w:p>
      <w:pPr>
        <w:spacing w:before="280" w:after="120"/>
      </w:pPr>
      <w:r>
        <w:rPr>
          <w:b/>
          <w:color w:val="334155"/>
          <w:sz w:val="26"/>
        </w:rPr>
        <w:t>B. Segundo y Tercer Nivel — Hospitales Provinciales (Región Sanitaria VII)</w:t>
      </w:r>
    </w:p>
    <w:p>
      <w:pPr>
        <w:spacing w:after="120" w:line="276" w:lineRule="auto"/>
      </w:pPr>
      <w:r>
        <w:rPr>
          <w:b/>
          <w:color w:val="0F172A"/>
        </w:rPr>
        <w:t xml:space="preserve">Sostén de Agudos y Cuidados Críticos: </w:t>
      </w:r>
      <w:r>
        <w:t>Dentro del territorio distrital funcionan 2 hospitales generales de gestión provincial y 1 Unidad de Pronta Atención, pertenecientes a la Región Sanitaria VII del Ministerio de Salud de la Provincia de Buenos Aires:</w:t>
      </w:r>
    </w:p>
    <w:p>
      <w:pPr>
        <w:spacing w:after="120" w:line="276" w:lineRule="auto"/>
      </w:pPr>
      <w:r>
        <w:rPr>
          <w:b/>
          <w:color w:val="0F172A"/>
        </w:rPr>
        <w:t xml:space="preserve">Detalle Operativo Regional: </w:t>
      </w:r>
      <w:r>
        <w:t>1. H.Z.G.A. Dr. Carlos A. Bocalandro: Av. Eva Perón (ex Ruta 8) Km 20,5 N° 9100, Loma Hermosa. Inaugurado en 1996; cuenta con aproximadamente 175 camas. Establecimiento de alta complejidad con servicios de cirugía videolaparoscópica, endoscopía, diagnóstico por imágenes, neonatología y oncoginecología. Registra del orden de 220.000 consultas externas y unos 2.000 nacimientos anuales. Es el ancla sanitaria vital del corredor norte distrital.</w:t>
        <w:br/>
        <w:br/>
        <w:t>2. H.Z.G.A. Prof. Dr. Ramón Carrillo: Hipólito Yrigoyen 1051 (y Besares), Ciudadela. Cuenta con entre 164 y 200 camas según las ampliaciones realizadas. Dispone de servicios de maternidad y neonatología (del orden de 900 a 1.200 partos anuales) y es la sede central operativa de la base del Sistema Integrado de Emergencia Sanitaria (SIES) de la Región Sanitaria VII.</w:t>
        <w:br/>
        <w:br/>
        <w:t>3. UPA 24 hs N° 16 Martín Coronado: Perón y San Lorenzo, Martín Coronado. Unidad de Pronta Atención 24 horas que estabiliza urgencias intermedias e interconecta los CAPS centrales con las guardias provinciales.</w:t>
      </w:r>
    </w:p>
    <w:p>
      <w:pPr>
        <w:spacing w:before="40" w:after="240" w:line="252" w:lineRule="auto"/>
      </w:pPr>
      <w:r>
        <w:rPr>
          <w:i/>
          <w:color w:val="64748B"/>
          <w:sz w:val="18"/>
        </w:rPr>
        <w:t>📌 Fuente y Referencia: Sistema Integrado de Información Sanitaria Argentino (SISA), Registro Federal de Establecimientos de Salud (Refes) e Informes Operativos de la Dirección de Hospitales de la Región Sanitaria VII (Ministerio de Salud PBA).</w:t>
      </w:r>
    </w:p>
    <w:p>
      <w:pPr>
        <w:spacing w:before="280" w:after="120"/>
      </w:pPr>
      <w:r>
        <w:rPr>
          <w:b/>
          <w:color w:val="334155"/>
          <w:sz w:val="26"/>
        </w:rPr>
        <w:t>C. Hospital Nacional de Referencia de Alta Complejidad</w:t>
      </w:r>
    </w:p>
    <w:p>
      <w:pPr>
        <w:spacing w:after="120" w:line="276" w:lineRule="auto"/>
      </w:pPr>
      <w:r>
        <w:rPr>
          <w:b/>
          <w:color w:val="0F172A"/>
        </w:rPr>
        <w:t xml:space="preserve">Hospital Posadas (El Palomar): </w:t>
      </w:r>
      <w:r>
        <w:t>El Hospital Nacional 'Prof. Alejandro Posadas' constituye el establecimiento de máxima complejidad de referencia suprarregional. Ubicado en Av. Pte. Illia s/n y Av. Marconi, localidad de El Palomar (partido de Morón, limítrofe con Tres de Febrero), depende del Ministerio de Salud de la Nación bajo el régimen de Hospitales Públicos de Gestión Descentralizada. Cuenta con aproximadamente 488 camas y su área de influencia directa abarca 15 partidos de las Regiones Sanitarias V, VII y XII, siendo el centro receptor de casos críticos o derivaciones hiper-especializadas desde Tres de Febrero.</w:t>
      </w:r>
    </w:p>
    <w:p>
      <w:pPr>
        <w:spacing w:before="40" w:after="240" w:line="252" w:lineRule="auto"/>
      </w:pPr>
      <w:r>
        <w:rPr>
          <w:i/>
          <w:color w:val="64748B"/>
          <w:sz w:val="18"/>
        </w:rPr>
        <w:t>📌 Fuente y Referencia: Ministerio de Salud de la Nación, Dirección Nacional de Hospitales e Indicadores Prestacionales del Hospital Nacional Prof. Alejandro Posadas.</w:t>
      </w:r>
    </w:p>
    <w:p>
      <w:pPr>
        <w:spacing w:before="360" w:after="160"/>
      </w:pPr>
      <w:r>
        <w:rPr>
          <w:b/>
          <w:color w:val="1E3A8A"/>
          <w:sz w:val="30"/>
        </w:rPr>
        <w:t>8. Plan Operativo y Propuestas para la Región Sanitaria VII (2026–2027)</w:t>
      </w:r>
    </w:p>
    <w:p>
      <w:pPr>
        <w:spacing w:after="120" w:line="276" w:lineRule="auto"/>
      </w:pPr>
      <w:r>
        <w:rPr>
          <w:b/>
          <w:color w:val="0F172A"/>
        </w:rPr>
        <w:t xml:space="preserve">Ejes Estratégicos Institucionales: </w:t>
      </w:r>
      <w:r>
        <w:t>1. Plataforma de Interconsulta y Turnos Protegidos (SIREC 3F – Región VII): Formalizar un canal digital de interoperabilidad entre los 13 CAPS municipales y los consultorios externos del Hospital Bocalandro y Hospital Carrillo para derivaciones ágiles de pacientes sin cobertura formal (27,2%).</w:t>
        <w:br/>
        <w:br/>
        <w:t>2. Operativos Integrales Focalizados en el Corredor Norte: Articular rondas intersectoriales conjuntas (Municipio + Bocalandro + UPA 16) en los radios críticos de El Libertador, Churruca, Pablo Podestá, Remedios de Escalada y Loma Hermosa.</w:t>
        <w:br/>
        <w:br/>
        <w:t>3. Red Gerontológica Regional (PAMI + Hospitales + Municipio): Constituida en respuesta al 20,8% de población jubilada (75.242 personas), coordinando los talleres cognitivos y preventivos de los CAPS/CEMAR con las prestaciones interconsultoras de PAMI y los servicios geriátricos del Bocalandro y Carrillo.</w:t>
        <w:br/>
        <w:br/>
        <w:t>4. Interoperabilidad de Despacho en Emergencias (107 Municipal – Base SIES R7 Carrillo): Conectar el Centro de Monitoreo distrital con la base del SIES R7 del Hospital Carrillo de Ciudadela para optimizar tiempos de respuesta en incidentes en vía pública y emergencias cardiovasculares.</w:t>
      </w:r>
    </w:p>
    <w:p>
      <w:pPr>
        <w:spacing w:before="40" w:after="240" w:line="252" w:lineRule="auto"/>
      </w:pPr>
      <w:r>
        <w:rPr>
          <w:i/>
          <w:color w:val="64748B"/>
          <w:sz w:val="18"/>
        </w:rPr>
        <w:t>📌 Fuente y Referencia: Plan Estratégico de Salud Distrital 2026–2027 y Acuerdos Marco de Gobernanza Sanitaria Intergubernamental para la Región Sanitaria VII (Ministerio de Salud de la Provincia de Buenos Aires y Secretaría de Salud de Tres de Febrero).</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