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TRANSPARENT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Sonobuoy ID</w:t>
            </w:r>
          </w:p>
        </w:tc>
        <w:tc>
          <w:tcPr>
            <w:tcBorders>
              <w:top w:val="single" w:sz="16" w:space="0" w:color="TRANSPARENT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Exceeded Max (n)</w:t>
            </w:r>
          </w:p>
        </w:tc>
        <w:tc>
          <w:tcPr>
            <w:tcBorders>
              <w:top w:val="single" w:sz="16" w:space="0" w:color="TRANSPARENT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Mean IPI (s)</w:t>
            </w:r>
          </w:p>
        </w:tc>
        <w:tc>
          <w:tcPr>
            <w:tcBorders>
              <w:top w:val="single" w:sz="16" w:space="0" w:color="TRANSPARENT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Median IPI (s)</w:t>
            </w:r>
          </w:p>
        </w:tc>
        <w:tc>
          <w:tcPr>
            <w:tcBorders>
              <w:top w:val="single" w:sz="16" w:space="0" w:color="TRANSPARENT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Range (s)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1621-3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30.1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25.9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14.6 - 59.7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1621-8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25.7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24.9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18.9 - 46.2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1621-9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24.9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23.4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14.3 - 58.0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1629-4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35.7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39.3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2.3 - 59.8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1629-5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32.2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33.0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'Times New Roman'" w:hAnsi="'Times New Roman'"/>
                <w:sz w:val="20"/>
              </w:rPr>
              <w:t xml:space="default">15.6 - 52.4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2026-08-04T20:30:13Z</dcterms:created>
  <dcterms:modified xsi:type="dcterms:W3CDTF">2026-08-04T20:30:13Z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