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TRANSPARENT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Sonobuoy ID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Breaks (&gt; maxIPI)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Median IPI (s)</w:t>
            </w:r>
          </w:p>
        </w:tc>
        <w:tc>
          <w:tcPr>
            <w:tcBorders>
              <w:top w:val="single" w:sz="16" w:space="0" w:color="TRANSPARENT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IPI Range (s)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14.56 - 28.22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18.88 - 26.88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1621-9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14.29 - 28.37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1629-4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2.33 - 29.95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1629-5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15.62 - 29.98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2026-08-03T20:12:09Z</dcterms:created>
  <dcterms:modified xsi:type="dcterms:W3CDTF">2026-08-03T20:12:09Z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