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Nassariidae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Burnapena sp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Burnapena sp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Nassarius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Nassarius vinctus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Burnapena sp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~PHOTO_3_1~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