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4F65CA20"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00980974">
        <w:rPr>
          <w:rFonts w:asciiTheme="minorHAnsi" w:eastAsia="Arial Narrow" w:hAnsiTheme="minorHAnsi" w:cstheme="minorBidi"/>
          <w:b/>
          <w:bCs/>
        </w:rPr>
        <w:t>0</w:t>
      </w:r>
      <w:r w:rsidR="40ABB0FA" w:rsidRPr="5BAF54ED">
        <w:rPr>
          <w:rFonts w:asciiTheme="minorHAnsi" w:eastAsia="Arial Narrow" w:hAnsiTheme="minorHAnsi" w:cstheme="minorBidi"/>
          <w:b/>
          <w:bCs/>
        </w:rPr>
        <w:t>3</w:t>
      </w:r>
      <w:r w:rsidR="00B731BA" w:rsidRPr="5BAF54ED">
        <w:rPr>
          <w:rFonts w:asciiTheme="minorHAnsi" w:eastAsia="Arial Narrow" w:hAnsiTheme="minorHAnsi" w:cstheme="minorBidi"/>
          <w:b/>
          <w:bCs/>
        </w:rPr>
        <w:t>/</w:t>
      </w:r>
      <w:r w:rsidR="00980974">
        <w:rPr>
          <w:rFonts w:asciiTheme="minorHAnsi" w:eastAsia="Arial Narrow" w:hAnsiTheme="minorHAnsi" w:cstheme="minorBidi"/>
          <w:b/>
          <w:bCs/>
        </w:rPr>
        <w:t>09</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w:t>
      </w:r>
      <w:r w:rsidR="00980974">
        <w:rPr>
          <w:rFonts w:asciiTheme="minorHAnsi" w:eastAsia="Arial Narrow" w:hAnsiTheme="minorHAnsi" w:cstheme="minorBidi"/>
          <w:b/>
          <w:bCs/>
        </w:rPr>
        <w:t>25</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Times , serif"/>
          <w:bCs w:val="0"/>
          <w:color w:val="auto"/>
          <w:sz w:val="22"/>
          <w:szCs w:val="24"/>
        </w:rPr>
        <w:id w:val="916215519"/>
        <w:docPartObj>
          <w:docPartGallery w:val="Table of Contents"/>
          <w:docPartUnique/>
        </w:docPartObj>
      </w:sdtPr>
      <w:sdtEndPr>
        <w:rPr>
          <w:b/>
        </w:rPr>
      </w:sdtEndPr>
      <w:sdtContent>
        <w:p w14:paraId="09F1433E" w14:textId="0146FC6C" w:rsidR="00A52644" w:rsidRDefault="00A52644">
          <w:pPr>
            <w:pStyle w:val="Cabealhodondice"/>
          </w:pPr>
          <w:r>
            <w:t>Conteúdo</w:t>
          </w:r>
        </w:p>
        <w:p w14:paraId="6D483990" w14:textId="2303EC96"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2025361" w:history="1">
            <w:r w:rsidRPr="002C20A3">
              <w:rPr>
                <w:rStyle w:val="Hiperligao"/>
                <w:noProof/>
                <w:lang w:bidi="pt-PT"/>
              </w:rPr>
              <w:t>Índice de quadros, figuras, abreviaturas</w:t>
            </w:r>
            <w:r>
              <w:rPr>
                <w:noProof/>
                <w:webHidden/>
              </w:rPr>
              <w:tab/>
            </w:r>
            <w:r>
              <w:rPr>
                <w:noProof/>
                <w:webHidden/>
              </w:rPr>
              <w:fldChar w:fldCharType="begin"/>
            </w:r>
            <w:r>
              <w:rPr>
                <w:noProof/>
                <w:webHidden/>
              </w:rPr>
              <w:instrText xml:space="preserve"> PAGEREF _Toc212025361 \h </w:instrText>
            </w:r>
            <w:r>
              <w:rPr>
                <w:noProof/>
                <w:webHidden/>
              </w:rPr>
            </w:r>
            <w:r>
              <w:rPr>
                <w:noProof/>
                <w:webHidden/>
              </w:rPr>
              <w:fldChar w:fldCharType="separate"/>
            </w:r>
            <w:r>
              <w:rPr>
                <w:noProof/>
                <w:webHidden/>
              </w:rPr>
              <w:t>3</w:t>
            </w:r>
            <w:r>
              <w:rPr>
                <w:noProof/>
                <w:webHidden/>
              </w:rPr>
              <w:fldChar w:fldCharType="end"/>
            </w:r>
          </w:hyperlink>
        </w:p>
        <w:p w14:paraId="06D533B7" w14:textId="26E9416A"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2" w:history="1">
            <w:r w:rsidRPr="002C20A3">
              <w:rPr>
                <w:rStyle w:val="Hiperligao"/>
                <w:noProof/>
              </w:rPr>
              <w:t>Parte I – Introdução e estrutura do trabalho</w:t>
            </w:r>
            <w:r>
              <w:rPr>
                <w:noProof/>
                <w:webHidden/>
              </w:rPr>
              <w:tab/>
            </w:r>
            <w:r>
              <w:rPr>
                <w:noProof/>
                <w:webHidden/>
              </w:rPr>
              <w:fldChar w:fldCharType="begin"/>
            </w:r>
            <w:r>
              <w:rPr>
                <w:noProof/>
                <w:webHidden/>
              </w:rPr>
              <w:instrText xml:space="preserve"> PAGEREF _Toc212025362 \h </w:instrText>
            </w:r>
            <w:r>
              <w:rPr>
                <w:noProof/>
                <w:webHidden/>
              </w:rPr>
            </w:r>
            <w:r>
              <w:rPr>
                <w:noProof/>
                <w:webHidden/>
              </w:rPr>
              <w:fldChar w:fldCharType="separate"/>
            </w:r>
            <w:r>
              <w:rPr>
                <w:noProof/>
                <w:webHidden/>
              </w:rPr>
              <w:t>4</w:t>
            </w:r>
            <w:r>
              <w:rPr>
                <w:noProof/>
                <w:webHidden/>
              </w:rPr>
              <w:fldChar w:fldCharType="end"/>
            </w:r>
          </w:hyperlink>
        </w:p>
        <w:p w14:paraId="3C2DA442" w14:textId="76D8FC6D"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3" w:history="1">
            <w:r w:rsidRPr="002C20A3">
              <w:rPr>
                <w:rStyle w:val="Hiperligao"/>
                <w:noProof/>
              </w:rPr>
              <w:t>I.1 Caracterização da organização</w:t>
            </w:r>
            <w:r>
              <w:rPr>
                <w:noProof/>
                <w:webHidden/>
              </w:rPr>
              <w:tab/>
            </w:r>
            <w:r>
              <w:rPr>
                <w:noProof/>
                <w:webHidden/>
              </w:rPr>
              <w:fldChar w:fldCharType="begin"/>
            </w:r>
            <w:r>
              <w:rPr>
                <w:noProof/>
                <w:webHidden/>
              </w:rPr>
              <w:instrText xml:space="preserve"> PAGEREF _Toc212025363 \h </w:instrText>
            </w:r>
            <w:r>
              <w:rPr>
                <w:noProof/>
                <w:webHidden/>
              </w:rPr>
            </w:r>
            <w:r>
              <w:rPr>
                <w:noProof/>
                <w:webHidden/>
              </w:rPr>
              <w:fldChar w:fldCharType="separate"/>
            </w:r>
            <w:r>
              <w:rPr>
                <w:noProof/>
                <w:webHidden/>
              </w:rPr>
              <w:t>4</w:t>
            </w:r>
            <w:r>
              <w:rPr>
                <w:noProof/>
                <w:webHidden/>
              </w:rPr>
              <w:fldChar w:fldCharType="end"/>
            </w:r>
          </w:hyperlink>
        </w:p>
        <w:p w14:paraId="3E035B55" w14:textId="5662613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4" w:history="1">
            <w:r w:rsidRPr="002C20A3">
              <w:rPr>
                <w:rStyle w:val="Hiperligao"/>
                <w:noProof/>
              </w:rPr>
              <w:t>I.2 Fontes de informação</w:t>
            </w:r>
            <w:r>
              <w:rPr>
                <w:noProof/>
                <w:webHidden/>
              </w:rPr>
              <w:tab/>
            </w:r>
            <w:r>
              <w:rPr>
                <w:noProof/>
                <w:webHidden/>
              </w:rPr>
              <w:fldChar w:fldCharType="begin"/>
            </w:r>
            <w:r>
              <w:rPr>
                <w:noProof/>
                <w:webHidden/>
              </w:rPr>
              <w:instrText xml:space="preserve"> PAGEREF _Toc212025364 \h </w:instrText>
            </w:r>
            <w:r>
              <w:rPr>
                <w:noProof/>
                <w:webHidden/>
              </w:rPr>
            </w:r>
            <w:r>
              <w:rPr>
                <w:noProof/>
                <w:webHidden/>
              </w:rPr>
              <w:fldChar w:fldCharType="separate"/>
            </w:r>
            <w:r>
              <w:rPr>
                <w:noProof/>
                <w:webHidden/>
              </w:rPr>
              <w:t>8</w:t>
            </w:r>
            <w:r>
              <w:rPr>
                <w:noProof/>
                <w:webHidden/>
              </w:rPr>
              <w:fldChar w:fldCharType="end"/>
            </w:r>
          </w:hyperlink>
        </w:p>
        <w:p w14:paraId="21D3A02D" w14:textId="68DB39C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5" w:history="1">
            <w:r w:rsidRPr="002C20A3">
              <w:rPr>
                <w:rStyle w:val="Hiperligao"/>
                <w:noProof/>
              </w:rPr>
              <w:t>Parte II – Desenvolvimento</w:t>
            </w:r>
            <w:r>
              <w:rPr>
                <w:noProof/>
                <w:webHidden/>
              </w:rPr>
              <w:tab/>
            </w:r>
            <w:r>
              <w:rPr>
                <w:noProof/>
                <w:webHidden/>
              </w:rPr>
              <w:fldChar w:fldCharType="begin"/>
            </w:r>
            <w:r>
              <w:rPr>
                <w:noProof/>
                <w:webHidden/>
              </w:rPr>
              <w:instrText xml:space="preserve"> PAGEREF _Toc212025365 \h </w:instrText>
            </w:r>
            <w:r>
              <w:rPr>
                <w:noProof/>
                <w:webHidden/>
              </w:rPr>
            </w:r>
            <w:r>
              <w:rPr>
                <w:noProof/>
                <w:webHidden/>
              </w:rPr>
              <w:fldChar w:fldCharType="separate"/>
            </w:r>
            <w:r>
              <w:rPr>
                <w:noProof/>
                <w:webHidden/>
              </w:rPr>
              <w:t>9</w:t>
            </w:r>
            <w:r>
              <w:rPr>
                <w:noProof/>
                <w:webHidden/>
              </w:rPr>
              <w:fldChar w:fldCharType="end"/>
            </w:r>
          </w:hyperlink>
        </w:p>
        <w:p w14:paraId="4EB49F16" w14:textId="1021D35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6" w:history="1">
            <w:r w:rsidRPr="002C20A3">
              <w:rPr>
                <w:rStyle w:val="Hiperligao"/>
                <w:noProof/>
              </w:rPr>
              <w:t>II.1 Organização</w:t>
            </w:r>
            <w:r>
              <w:rPr>
                <w:noProof/>
                <w:webHidden/>
              </w:rPr>
              <w:tab/>
            </w:r>
            <w:r>
              <w:rPr>
                <w:noProof/>
                <w:webHidden/>
              </w:rPr>
              <w:fldChar w:fldCharType="begin"/>
            </w:r>
            <w:r>
              <w:rPr>
                <w:noProof/>
                <w:webHidden/>
              </w:rPr>
              <w:instrText xml:space="preserve"> PAGEREF _Toc212025366 \h </w:instrText>
            </w:r>
            <w:r>
              <w:rPr>
                <w:noProof/>
                <w:webHidden/>
              </w:rPr>
            </w:r>
            <w:r>
              <w:rPr>
                <w:noProof/>
                <w:webHidden/>
              </w:rPr>
              <w:fldChar w:fldCharType="separate"/>
            </w:r>
            <w:r>
              <w:rPr>
                <w:noProof/>
                <w:webHidden/>
              </w:rPr>
              <w:t>9</w:t>
            </w:r>
            <w:r>
              <w:rPr>
                <w:noProof/>
                <w:webHidden/>
              </w:rPr>
              <w:fldChar w:fldCharType="end"/>
            </w:r>
          </w:hyperlink>
        </w:p>
        <w:p w14:paraId="0247E670" w14:textId="51D978D3"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7" w:history="1">
            <w:r w:rsidRPr="002C20A3">
              <w:rPr>
                <w:rStyle w:val="Hiperligao"/>
                <w:noProof/>
              </w:rPr>
              <w:t>II.2 Planeamento</w:t>
            </w:r>
            <w:r>
              <w:rPr>
                <w:noProof/>
                <w:webHidden/>
              </w:rPr>
              <w:tab/>
            </w:r>
            <w:r>
              <w:rPr>
                <w:noProof/>
                <w:webHidden/>
              </w:rPr>
              <w:fldChar w:fldCharType="begin"/>
            </w:r>
            <w:r>
              <w:rPr>
                <w:noProof/>
                <w:webHidden/>
              </w:rPr>
              <w:instrText xml:space="preserve"> PAGEREF _Toc212025367 \h </w:instrText>
            </w:r>
            <w:r>
              <w:rPr>
                <w:noProof/>
                <w:webHidden/>
              </w:rPr>
            </w:r>
            <w:r>
              <w:rPr>
                <w:noProof/>
                <w:webHidden/>
              </w:rPr>
              <w:fldChar w:fldCharType="separate"/>
            </w:r>
            <w:r>
              <w:rPr>
                <w:noProof/>
                <w:webHidden/>
              </w:rPr>
              <w:t>12</w:t>
            </w:r>
            <w:r>
              <w:rPr>
                <w:noProof/>
                <w:webHidden/>
              </w:rPr>
              <w:fldChar w:fldCharType="end"/>
            </w:r>
          </w:hyperlink>
        </w:p>
        <w:p w14:paraId="1B600931" w14:textId="6C4F106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8" w:history="1">
            <w:r w:rsidRPr="002C20A3">
              <w:rPr>
                <w:rStyle w:val="Hiperligao"/>
                <w:noProof/>
              </w:rPr>
              <w:t>II.3 Controlo e Sistemas de informação</w:t>
            </w:r>
            <w:r>
              <w:rPr>
                <w:noProof/>
                <w:webHidden/>
              </w:rPr>
              <w:tab/>
            </w:r>
            <w:r>
              <w:rPr>
                <w:noProof/>
                <w:webHidden/>
              </w:rPr>
              <w:fldChar w:fldCharType="begin"/>
            </w:r>
            <w:r>
              <w:rPr>
                <w:noProof/>
                <w:webHidden/>
              </w:rPr>
              <w:instrText xml:space="preserve"> PAGEREF _Toc212025368 \h </w:instrText>
            </w:r>
            <w:r>
              <w:rPr>
                <w:noProof/>
                <w:webHidden/>
              </w:rPr>
            </w:r>
            <w:r>
              <w:rPr>
                <w:noProof/>
                <w:webHidden/>
              </w:rPr>
              <w:fldChar w:fldCharType="separate"/>
            </w:r>
            <w:r>
              <w:rPr>
                <w:noProof/>
                <w:webHidden/>
              </w:rPr>
              <w:t>16</w:t>
            </w:r>
            <w:r>
              <w:rPr>
                <w:noProof/>
                <w:webHidden/>
              </w:rPr>
              <w:fldChar w:fldCharType="end"/>
            </w:r>
          </w:hyperlink>
        </w:p>
        <w:p w14:paraId="4E4D609D" w14:textId="5C0BA9DC"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9" w:history="1">
            <w:r w:rsidRPr="002C20A3">
              <w:rPr>
                <w:rStyle w:val="Hiperligao"/>
                <w:noProof/>
              </w:rPr>
              <w:t>II. 4 Direção e Gestão de Pessoas</w:t>
            </w:r>
            <w:r>
              <w:rPr>
                <w:noProof/>
                <w:webHidden/>
              </w:rPr>
              <w:tab/>
            </w:r>
            <w:r>
              <w:rPr>
                <w:noProof/>
                <w:webHidden/>
              </w:rPr>
              <w:fldChar w:fldCharType="begin"/>
            </w:r>
            <w:r>
              <w:rPr>
                <w:noProof/>
                <w:webHidden/>
              </w:rPr>
              <w:instrText xml:space="preserve"> PAGEREF _Toc212025369 \h </w:instrText>
            </w:r>
            <w:r>
              <w:rPr>
                <w:noProof/>
                <w:webHidden/>
              </w:rPr>
            </w:r>
            <w:r>
              <w:rPr>
                <w:noProof/>
                <w:webHidden/>
              </w:rPr>
              <w:fldChar w:fldCharType="separate"/>
            </w:r>
            <w:r>
              <w:rPr>
                <w:noProof/>
                <w:webHidden/>
              </w:rPr>
              <w:t>16</w:t>
            </w:r>
            <w:r>
              <w:rPr>
                <w:noProof/>
                <w:webHidden/>
              </w:rPr>
              <w:fldChar w:fldCharType="end"/>
            </w:r>
          </w:hyperlink>
        </w:p>
        <w:p w14:paraId="09804047" w14:textId="3FB908E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0" w:history="1">
            <w:r w:rsidRPr="002C20A3">
              <w:rPr>
                <w:rStyle w:val="Hiperligao"/>
                <w:noProof/>
              </w:rPr>
              <w:t>II.5 Promoção da produtividade</w:t>
            </w:r>
            <w:r>
              <w:rPr>
                <w:noProof/>
                <w:webHidden/>
              </w:rPr>
              <w:tab/>
            </w:r>
            <w:r>
              <w:rPr>
                <w:noProof/>
                <w:webHidden/>
              </w:rPr>
              <w:fldChar w:fldCharType="begin"/>
            </w:r>
            <w:r>
              <w:rPr>
                <w:noProof/>
                <w:webHidden/>
              </w:rPr>
              <w:instrText xml:space="preserve"> PAGEREF _Toc212025370 \h </w:instrText>
            </w:r>
            <w:r>
              <w:rPr>
                <w:noProof/>
                <w:webHidden/>
              </w:rPr>
            </w:r>
            <w:r>
              <w:rPr>
                <w:noProof/>
                <w:webHidden/>
              </w:rPr>
              <w:fldChar w:fldCharType="separate"/>
            </w:r>
            <w:r>
              <w:rPr>
                <w:noProof/>
                <w:webHidden/>
              </w:rPr>
              <w:t>17</w:t>
            </w:r>
            <w:r>
              <w:rPr>
                <w:noProof/>
                <w:webHidden/>
              </w:rPr>
              <w:fldChar w:fldCharType="end"/>
            </w:r>
          </w:hyperlink>
        </w:p>
        <w:p w14:paraId="182EA416" w14:textId="1E4AB4CE"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1" w:history="1">
            <w:r w:rsidRPr="002C20A3">
              <w:rPr>
                <w:rStyle w:val="Hiperligao"/>
                <w:noProof/>
              </w:rPr>
              <w:t>II.6 Economia circular</w:t>
            </w:r>
            <w:r>
              <w:rPr>
                <w:noProof/>
                <w:webHidden/>
              </w:rPr>
              <w:tab/>
            </w:r>
            <w:r>
              <w:rPr>
                <w:noProof/>
                <w:webHidden/>
              </w:rPr>
              <w:fldChar w:fldCharType="begin"/>
            </w:r>
            <w:r>
              <w:rPr>
                <w:noProof/>
                <w:webHidden/>
              </w:rPr>
              <w:instrText xml:space="preserve"> PAGEREF _Toc212025371 \h </w:instrText>
            </w:r>
            <w:r>
              <w:rPr>
                <w:noProof/>
                <w:webHidden/>
              </w:rPr>
            </w:r>
            <w:r>
              <w:rPr>
                <w:noProof/>
                <w:webHidden/>
              </w:rPr>
              <w:fldChar w:fldCharType="separate"/>
            </w:r>
            <w:r>
              <w:rPr>
                <w:noProof/>
                <w:webHidden/>
              </w:rPr>
              <w:t>17</w:t>
            </w:r>
            <w:r>
              <w:rPr>
                <w:noProof/>
                <w:webHidden/>
              </w:rPr>
              <w:fldChar w:fldCharType="end"/>
            </w:r>
          </w:hyperlink>
        </w:p>
        <w:p w14:paraId="50598D9F" w14:textId="2C9D12D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2" w:history="1">
            <w:r w:rsidRPr="002C20A3">
              <w:rPr>
                <w:rStyle w:val="Hiperligao"/>
                <w:noProof/>
              </w:rPr>
              <w:t>II.7 Marketing</w:t>
            </w:r>
            <w:r>
              <w:rPr>
                <w:noProof/>
                <w:webHidden/>
              </w:rPr>
              <w:tab/>
            </w:r>
            <w:r>
              <w:rPr>
                <w:noProof/>
                <w:webHidden/>
              </w:rPr>
              <w:fldChar w:fldCharType="begin"/>
            </w:r>
            <w:r>
              <w:rPr>
                <w:noProof/>
                <w:webHidden/>
              </w:rPr>
              <w:instrText xml:space="preserve"> PAGEREF _Toc212025372 \h </w:instrText>
            </w:r>
            <w:r>
              <w:rPr>
                <w:noProof/>
                <w:webHidden/>
              </w:rPr>
            </w:r>
            <w:r>
              <w:rPr>
                <w:noProof/>
                <w:webHidden/>
              </w:rPr>
              <w:fldChar w:fldCharType="separate"/>
            </w:r>
            <w:r>
              <w:rPr>
                <w:noProof/>
                <w:webHidden/>
              </w:rPr>
              <w:t>17</w:t>
            </w:r>
            <w:r>
              <w:rPr>
                <w:noProof/>
                <w:webHidden/>
              </w:rPr>
              <w:fldChar w:fldCharType="end"/>
            </w:r>
          </w:hyperlink>
        </w:p>
        <w:p w14:paraId="169AFE5B" w14:textId="6EABD1A1"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3" w:history="1">
            <w:r w:rsidRPr="002C20A3">
              <w:rPr>
                <w:rStyle w:val="Hiperligao"/>
                <w:noProof/>
              </w:rPr>
              <w:t>II. 8 Gestão Financeira</w:t>
            </w:r>
            <w:r>
              <w:rPr>
                <w:noProof/>
                <w:webHidden/>
              </w:rPr>
              <w:tab/>
            </w:r>
            <w:r>
              <w:rPr>
                <w:noProof/>
                <w:webHidden/>
              </w:rPr>
              <w:fldChar w:fldCharType="begin"/>
            </w:r>
            <w:r>
              <w:rPr>
                <w:noProof/>
                <w:webHidden/>
              </w:rPr>
              <w:instrText xml:space="preserve"> PAGEREF _Toc212025373 \h </w:instrText>
            </w:r>
            <w:r>
              <w:rPr>
                <w:noProof/>
                <w:webHidden/>
              </w:rPr>
            </w:r>
            <w:r>
              <w:rPr>
                <w:noProof/>
                <w:webHidden/>
              </w:rPr>
              <w:fldChar w:fldCharType="separate"/>
            </w:r>
            <w:r>
              <w:rPr>
                <w:noProof/>
                <w:webHidden/>
              </w:rPr>
              <w:t>17</w:t>
            </w:r>
            <w:r>
              <w:rPr>
                <w:noProof/>
                <w:webHidden/>
              </w:rPr>
              <w:fldChar w:fldCharType="end"/>
            </w:r>
          </w:hyperlink>
        </w:p>
        <w:p w14:paraId="531CAA9F" w14:textId="274A747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4" w:history="1">
            <w:r w:rsidRPr="002C20A3">
              <w:rPr>
                <w:rStyle w:val="Hiperligao"/>
                <w:noProof/>
              </w:rPr>
              <w:t>II.9 Gestão das Operações e Indústria 4.0</w:t>
            </w:r>
            <w:r>
              <w:rPr>
                <w:noProof/>
                <w:webHidden/>
              </w:rPr>
              <w:tab/>
            </w:r>
            <w:r>
              <w:rPr>
                <w:noProof/>
                <w:webHidden/>
              </w:rPr>
              <w:fldChar w:fldCharType="begin"/>
            </w:r>
            <w:r>
              <w:rPr>
                <w:noProof/>
                <w:webHidden/>
              </w:rPr>
              <w:instrText xml:space="preserve"> PAGEREF _Toc212025374 \h </w:instrText>
            </w:r>
            <w:r>
              <w:rPr>
                <w:noProof/>
                <w:webHidden/>
              </w:rPr>
            </w:r>
            <w:r>
              <w:rPr>
                <w:noProof/>
                <w:webHidden/>
              </w:rPr>
              <w:fldChar w:fldCharType="separate"/>
            </w:r>
            <w:r>
              <w:rPr>
                <w:noProof/>
                <w:webHidden/>
              </w:rPr>
              <w:t>17</w:t>
            </w:r>
            <w:r>
              <w:rPr>
                <w:noProof/>
                <w:webHidden/>
              </w:rPr>
              <w:fldChar w:fldCharType="end"/>
            </w:r>
          </w:hyperlink>
        </w:p>
        <w:p w14:paraId="0DCA6D22" w14:textId="5FA45295"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5" w:history="1">
            <w:r w:rsidRPr="002C20A3">
              <w:rPr>
                <w:rStyle w:val="Hiperligao"/>
                <w:noProof/>
              </w:rPr>
              <w:t>Parte III – Conclusão</w:t>
            </w:r>
            <w:r>
              <w:rPr>
                <w:noProof/>
                <w:webHidden/>
              </w:rPr>
              <w:tab/>
            </w:r>
            <w:r>
              <w:rPr>
                <w:noProof/>
                <w:webHidden/>
              </w:rPr>
              <w:fldChar w:fldCharType="begin"/>
            </w:r>
            <w:r>
              <w:rPr>
                <w:noProof/>
                <w:webHidden/>
              </w:rPr>
              <w:instrText xml:space="preserve"> PAGEREF _Toc212025375 \h </w:instrText>
            </w:r>
            <w:r>
              <w:rPr>
                <w:noProof/>
                <w:webHidden/>
              </w:rPr>
            </w:r>
            <w:r>
              <w:rPr>
                <w:noProof/>
                <w:webHidden/>
              </w:rPr>
              <w:fldChar w:fldCharType="separate"/>
            </w:r>
            <w:r>
              <w:rPr>
                <w:noProof/>
                <w:webHidden/>
              </w:rPr>
              <w:t>17</w:t>
            </w:r>
            <w:r>
              <w:rPr>
                <w:noProof/>
                <w:webHidden/>
              </w:rPr>
              <w:fldChar w:fldCharType="end"/>
            </w:r>
          </w:hyperlink>
        </w:p>
        <w:p w14:paraId="29C95CE3" w14:textId="46DC6F44"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6" w:history="1">
            <w:r w:rsidRPr="002C20A3">
              <w:rPr>
                <w:rStyle w:val="Hiperligao"/>
                <w:noProof/>
              </w:rPr>
              <w:t>III.1 Conclusão</w:t>
            </w:r>
            <w:r>
              <w:rPr>
                <w:noProof/>
                <w:webHidden/>
              </w:rPr>
              <w:tab/>
            </w:r>
            <w:r>
              <w:rPr>
                <w:noProof/>
                <w:webHidden/>
              </w:rPr>
              <w:fldChar w:fldCharType="begin"/>
            </w:r>
            <w:r>
              <w:rPr>
                <w:noProof/>
                <w:webHidden/>
              </w:rPr>
              <w:instrText xml:space="preserve"> PAGEREF _Toc212025376 \h </w:instrText>
            </w:r>
            <w:r>
              <w:rPr>
                <w:noProof/>
                <w:webHidden/>
              </w:rPr>
            </w:r>
            <w:r>
              <w:rPr>
                <w:noProof/>
                <w:webHidden/>
              </w:rPr>
              <w:fldChar w:fldCharType="separate"/>
            </w:r>
            <w:r>
              <w:rPr>
                <w:noProof/>
                <w:webHidden/>
              </w:rPr>
              <w:t>17</w:t>
            </w:r>
            <w:r>
              <w:rPr>
                <w:noProof/>
                <w:webHidden/>
              </w:rPr>
              <w:fldChar w:fldCharType="end"/>
            </w:r>
          </w:hyperlink>
        </w:p>
        <w:p w14:paraId="2CFD3866" w14:textId="0E9DFF35"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7" w:history="1">
            <w:r w:rsidRPr="002C20A3">
              <w:rPr>
                <w:rStyle w:val="Hiperligao"/>
                <w:noProof/>
              </w:rPr>
              <w:t>III.2 Sugestões de melhoria</w:t>
            </w:r>
            <w:r>
              <w:rPr>
                <w:noProof/>
                <w:webHidden/>
              </w:rPr>
              <w:tab/>
            </w:r>
            <w:r>
              <w:rPr>
                <w:noProof/>
                <w:webHidden/>
              </w:rPr>
              <w:fldChar w:fldCharType="begin"/>
            </w:r>
            <w:r>
              <w:rPr>
                <w:noProof/>
                <w:webHidden/>
              </w:rPr>
              <w:instrText xml:space="preserve"> PAGEREF _Toc212025377 \h </w:instrText>
            </w:r>
            <w:r>
              <w:rPr>
                <w:noProof/>
                <w:webHidden/>
              </w:rPr>
            </w:r>
            <w:r>
              <w:rPr>
                <w:noProof/>
                <w:webHidden/>
              </w:rPr>
              <w:fldChar w:fldCharType="separate"/>
            </w:r>
            <w:r>
              <w:rPr>
                <w:noProof/>
                <w:webHidden/>
              </w:rPr>
              <w:t>17</w:t>
            </w:r>
            <w:r>
              <w:rPr>
                <w:noProof/>
                <w:webHidden/>
              </w:rPr>
              <w:fldChar w:fldCharType="end"/>
            </w:r>
          </w:hyperlink>
        </w:p>
        <w:p w14:paraId="096962EC" w14:textId="6416CE2C"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8" w:history="1">
            <w:r w:rsidRPr="002C20A3">
              <w:rPr>
                <w:rStyle w:val="Hiperligao"/>
                <w:noProof/>
              </w:rPr>
              <w:t>Referências</w:t>
            </w:r>
            <w:r>
              <w:rPr>
                <w:noProof/>
                <w:webHidden/>
              </w:rPr>
              <w:tab/>
            </w:r>
            <w:r>
              <w:rPr>
                <w:noProof/>
                <w:webHidden/>
              </w:rPr>
              <w:fldChar w:fldCharType="begin"/>
            </w:r>
            <w:r>
              <w:rPr>
                <w:noProof/>
                <w:webHidden/>
              </w:rPr>
              <w:instrText xml:space="preserve"> PAGEREF _Toc212025378 \h </w:instrText>
            </w:r>
            <w:r>
              <w:rPr>
                <w:noProof/>
                <w:webHidden/>
              </w:rPr>
            </w:r>
            <w:r>
              <w:rPr>
                <w:noProof/>
                <w:webHidden/>
              </w:rPr>
              <w:fldChar w:fldCharType="separate"/>
            </w:r>
            <w:r>
              <w:rPr>
                <w:noProof/>
                <w:webHidden/>
              </w:rPr>
              <w:t>18</w:t>
            </w:r>
            <w:r>
              <w:rPr>
                <w:noProof/>
                <w:webHidden/>
              </w:rPr>
              <w:fldChar w:fldCharType="end"/>
            </w:r>
          </w:hyperlink>
        </w:p>
        <w:p w14:paraId="2B049E40" w14:textId="72173A4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9" w:history="1">
            <w:r w:rsidRPr="002C20A3">
              <w:rPr>
                <w:rStyle w:val="Hiperligao"/>
                <w:rFonts w:eastAsia="Arial Narrow"/>
                <w:noProof/>
              </w:rPr>
              <w:t>Anexos</w:t>
            </w:r>
            <w:r>
              <w:rPr>
                <w:noProof/>
                <w:webHidden/>
              </w:rPr>
              <w:tab/>
            </w:r>
            <w:r>
              <w:rPr>
                <w:noProof/>
                <w:webHidden/>
              </w:rPr>
              <w:fldChar w:fldCharType="begin"/>
            </w:r>
            <w:r>
              <w:rPr>
                <w:noProof/>
                <w:webHidden/>
              </w:rPr>
              <w:instrText xml:space="preserve"> PAGEREF _Toc212025379 \h </w:instrText>
            </w:r>
            <w:r>
              <w:rPr>
                <w:noProof/>
                <w:webHidden/>
              </w:rPr>
            </w:r>
            <w:r>
              <w:rPr>
                <w:noProof/>
                <w:webHidden/>
              </w:rPr>
              <w:fldChar w:fldCharType="separate"/>
            </w:r>
            <w:r>
              <w:rPr>
                <w:noProof/>
                <w:webHidden/>
              </w:rPr>
              <w:t>18</w:t>
            </w:r>
            <w:r>
              <w:rPr>
                <w:noProof/>
                <w:webHidden/>
              </w:rPr>
              <w:fldChar w:fldCharType="end"/>
            </w:r>
          </w:hyperlink>
        </w:p>
        <w:p w14:paraId="07AD6809" w14:textId="002407AC" w:rsidR="00A52644" w:rsidRDefault="00A52644">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212025361"/>
      <w:r w:rsidRPr="00B731BA">
        <w:rPr>
          <w:sz w:val="24"/>
          <w:lang w:bidi="pt-PT"/>
        </w:rPr>
        <w:t>Índice de quadros, figuras, abreviaturas</w:t>
      </w:r>
      <w:bookmarkEnd w:id="3"/>
      <w:bookmarkEnd w:id="4"/>
      <w:r w:rsidRPr="00B731BA">
        <w:rPr>
          <w:sz w:val="24"/>
          <w:lang w:bidi="pt-PT"/>
        </w:rPr>
        <w:t xml:space="preserve"> </w:t>
      </w:r>
    </w:p>
    <w:p w14:paraId="19D6FDDD" w14:textId="1A33E789" w:rsidR="007A3A9F" w:rsidRDefault="007A3A9F">
      <w:pPr>
        <w:pStyle w:val="ndicedeilustraes"/>
        <w:tabs>
          <w:tab w:val="right" w:leader="dot" w:pos="9350"/>
        </w:tabs>
        <w:rPr>
          <w:noProof/>
        </w:rPr>
      </w:pPr>
      <w:r>
        <w:rPr>
          <w:lang w:bidi="pt-PT"/>
        </w:rPr>
        <w:fldChar w:fldCharType="begin"/>
      </w:r>
      <w:r>
        <w:rPr>
          <w:lang w:bidi="pt-PT"/>
        </w:rPr>
        <w:instrText xml:space="preserve"> TOC \h \z \c "Figura" </w:instrText>
      </w:r>
      <w:r>
        <w:rPr>
          <w:lang w:bidi="pt-PT"/>
        </w:rPr>
        <w:fldChar w:fldCharType="separate"/>
      </w:r>
      <w:hyperlink w:anchor="_Toc212043430" w:history="1">
        <w:r w:rsidRPr="00A006EF">
          <w:rPr>
            <w:rStyle w:val="Hiperligao"/>
            <w:noProof/>
          </w:rPr>
          <w:t>Figura 1-Mapa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_Toc212043430 \h </w:instrText>
        </w:r>
        <w:r>
          <w:rPr>
            <w:noProof/>
            <w:webHidden/>
          </w:rPr>
        </w:r>
        <w:r>
          <w:rPr>
            <w:noProof/>
            <w:webHidden/>
          </w:rPr>
          <w:fldChar w:fldCharType="separate"/>
        </w:r>
        <w:r>
          <w:rPr>
            <w:noProof/>
            <w:webHidden/>
          </w:rPr>
          <w:t>4</w:t>
        </w:r>
        <w:r>
          <w:rPr>
            <w:noProof/>
            <w:webHidden/>
          </w:rPr>
          <w:fldChar w:fldCharType="end"/>
        </w:r>
      </w:hyperlink>
    </w:p>
    <w:p w14:paraId="67D5CCBE" w14:textId="245837FD" w:rsidR="007A3A9F" w:rsidRDefault="007A3A9F">
      <w:pPr>
        <w:pStyle w:val="ndicedeilustraes"/>
        <w:tabs>
          <w:tab w:val="right" w:leader="dot" w:pos="9350"/>
        </w:tabs>
        <w:rPr>
          <w:noProof/>
        </w:rPr>
      </w:pPr>
      <w:hyperlink w:anchor="_Toc212043431" w:history="1">
        <w:r w:rsidRPr="00A006EF">
          <w:rPr>
            <w:rStyle w:val="Hiperligao"/>
            <w:noProof/>
          </w:rPr>
          <w:t>Figura 2-Distância do porto de Salónica a várias cidades de relevo</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_Toc212043431 \h </w:instrText>
        </w:r>
        <w:r>
          <w:rPr>
            <w:noProof/>
            <w:webHidden/>
          </w:rPr>
        </w:r>
        <w:r>
          <w:rPr>
            <w:noProof/>
            <w:webHidden/>
          </w:rPr>
          <w:fldChar w:fldCharType="separate"/>
        </w:r>
        <w:r>
          <w:rPr>
            <w:noProof/>
            <w:webHidden/>
          </w:rPr>
          <w:t>5</w:t>
        </w:r>
        <w:r>
          <w:rPr>
            <w:noProof/>
            <w:webHidden/>
          </w:rPr>
          <w:fldChar w:fldCharType="end"/>
        </w:r>
      </w:hyperlink>
    </w:p>
    <w:p w14:paraId="101C7D7A" w14:textId="35FDB95B" w:rsidR="007A3A9F" w:rsidRDefault="007A3A9F">
      <w:pPr>
        <w:pStyle w:val="ndicedeilustraes"/>
        <w:tabs>
          <w:tab w:val="right" w:leader="dot" w:pos="9350"/>
        </w:tabs>
        <w:rPr>
          <w:noProof/>
        </w:rPr>
      </w:pPr>
      <w:hyperlink w:anchor="_Toc212043432" w:history="1">
        <w:r w:rsidRPr="00A006EF">
          <w:rPr>
            <w:rStyle w:val="Hiperligao"/>
            <w:noProof/>
          </w:rPr>
          <w:t>Figura 3-Área de influência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_Toc212043432 \h </w:instrText>
        </w:r>
        <w:r>
          <w:rPr>
            <w:noProof/>
            <w:webHidden/>
          </w:rPr>
        </w:r>
        <w:r>
          <w:rPr>
            <w:noProof/>
            <w:webHidden/>
          </w:rPr>
          <w:fldChar w:fldCharType="separate"/>
        </w:r>
        <w:r>
          <w:rPr>
            <w:noProof/>
            <w:webHidden/>
          </w:rPr>
          <w:t>6</w:t>
        </w:r>
        <w:r>
          <w:rPr>
            <w:noProof/>
            <w:webHidden/>
          </w:rPr>
          <w:fldChar w:fldCharType="end"/>
        </w:r>
      </w:hyperlink>
    </w:p>
    <w:p w14:paraId="30066CBD" w14:textId="201B498E" w:rsidR="007A3A9F" w:rsidRDefault="007A3A9F">
      <w:pPr>
        <w:pStyle w:val="ndicedeilustraes"/>
        <w:tabs>
          <w:tab w:val="right" w:leader="dot" w:pos="9350"/>
        </w:tabs>
        <w:rPr>
          <w:noProof/>
        </w:rPr>
      </w:pPr>
      <w:hyperlink w:anchor="_Toc212043433" w:history="1">
        <w:r w:rsidRPr="00A006EF">
          <w:rPr>
            <w:rStyle w:val="Hiperligao"/>
            <w:noProof/>
          </w:rPr>
          <w:t>Figura 4-Estrutura acionista do porto de Salónica (Thessaloniki)</w:t>
        </w:r>
        <w:r>
          <w:rPr>
            <w:noProof/>
            <w:webHidden/>
          </w:rPr>
          <w:tab/>
        </w:r>
        <w:r>
          <w:rPr>
            <w:noProof/>
            <w:webHidden/>
          </w:rPr>
          <w:fldChar w:fldCharType="begin"/>
        </w:r>
        <w:r>
          <w:rPr>
            <w:noProof/>
            <w:webHidden/>
          </w:rPr>
          <w:instrText xml:space="preserve"> PAGEREF _Toc212043433 \h </w:instrText>
        </w:r>
        <w:r>
          <w:rPr>
            <w:noProof/>
            <w:webHidden/>
          </w:rPr>
        </w:r>
        <w:r>
          <w:rPr>
            <w:noProof/>
            <w:webHidden/>
          </w:rPr>
          <w:fldChar w:fldCharType="separate"/>
        </w:r>
        <w:r>
          <w:rPr>
            <w:noProof/>
            <w:webHidden/>
          </w:rPr>
          <w:t>7</w:t>
        </w:r>
        <w:r>
          <w:rPr>
            <w:noProof/>
            <w:webHidden/>
          </w:rPr>
          <w:fldChar w:fldCharType="end"/>
        </w:r>
      </w:hyperlink>
    </w:p>
    <w:p w14:paraId="01866A14" w14:textId="55A118F6" w:rsidR="007A3A9F" w:rsidRDefault="007A3A9F">
      <w:pPr>
        <w:pStyle w:val="ndicedeilustraes"/>
        <w:tabs>
          <w:tab w:val="right" w:leader="dot" w:pos="9350"/>
        </w:tabs>
        <w:rPr>
          <w:noProof/>
        </w:rPr>
      </w:pPr>
      <w:hyperlink w:anchor="_Toc212043434" w:history="1">
        <w:r w:rsidRPr="00A006EF">
          <w:rPr>
            <w:rStyle w:val="Hiperligao"/>
            <w:noProof/>
          </w:rPr>
          <w:t>Figura 5-Organograma do Porto de Salónica (Thessaloniki, s.d.)</w:t>
        </w:r>
        <w:r>
          <w:rPr>
            <w:noProof/>
            <w:webHidden/>
          </w:rPr>
          <w:tab/>
        </w:r>
        <w:r>
          <w:rPr>
            <w:noProof/>
            <w:webHidden/>
          </w:rPr>
          <w:fldChar w:fldCharType="begin"/>
        </w:r>
        <w:r>
          <w:rPr>
            <w:noProof/>
            <w:webHidden/>
          </w:rPr>
          <w:instrText xml:space="preserve"> PAGEREF _Toc212043434 \h </w:instrText>
        </w:r>
        <w:r>
          <w:rPr>
            <w:noProof/>
            <w:webHidden/>
          </w:rPr>
        </w:r>
        <w:r>
          <w:rPr>
            <w:noProof/>
            <w:webHidden/>
          </w:rPr>
          <w:fldChar w:fldCharType="separate"/>
        </w:r>
        <w:r>
          <w:rPr>
            <w:noProof/>
            <w:webHidden/>
          </w:rPr>
          <w:t>9</w:t>
        </w:r>
        <w:r>
          <w:rPr>
            <w:noProof/>
            <w:webHidden/>
          </w:rPr>
          <w:fldChar w:fldCharType="end"/>
        </w:r>
      </w:hyperlink>
    </w:p>
    <w:p w14:paraId="216D43E6" w14:textId="1CA02575" w:rsidR="00B731BA" w:rsidRDefault="007A3A9F" w:rsidP="00B731BA">
      <w:pPr>
        <w:rPr>
          <w:lang w:bidi="pt-PT"/>
        </w:rPr>
      </w:pPr>
      <w:r>
        <w:rPr>
          <w:lang w:bidi="pt-PT"/>
        </w:rPr>
        <w:fldChar w:fldCharType="end"/>
      </w: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212025362"/>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212025363"/>
      <w:r>
        <w:t>I.1 Caracterização da organização</w:t>
      </w:r>
      <w:bookmarkEnd w:id="6"/>
    </w:p>
    <w:p w14:paraId="03EA9D5F" w14:textId="74AEAA3A" w:rsidR="00FF043E" w:rsidRPr="00FF043E" w:rsidRDefault="00FF043E" w:rsidP="00FF043E">
      <w:pPr>
        <w:rPr>
          <w:b/>
          <w:bCs/>
        </w:rPr>
      </w:pPr>
      <w:r w:rsidRPr="00FF043E">
        <w:rPr>
          <w:b/>
          <w:bCs/>
        </w:rPr>
        <w:t>1.1.1 Localização e Relevância Estratégica</w:t>
      </w:r>
    </w:p>
    <w:p w14:paraId="509E639E" w14:textId="7E76AA85"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sdt>
        <w:sdtPr>
          <w:rPr>
            <w:rFonts w:eastAsia="Calibri" w:cs="Calibri"/>
          </w:rPr>
          <w:id w:val="463547549"/>
          <w:citation/>
        </w:sdtPr>
        <w:sdtContent>
          <w:r w:rsidR="00A14FD6">
            <w:rPr>
              <w:rFonts w:eastAsia="Calibri" w:cs="Calibri"/>
            </w:rPr>
            <w:fldChar w:fldCharType="begin"/>
          </w:r>
          <w:r w:rsidR="00A14FD6">
            <w:rPr>
              <w:rFonts w:eastAsia="Calibri" w:cs="Calibri"/>
            </w:rPr>
            <w:instrText xml:space="preserve"> CITATION Por25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(Port of Thessaloniki, s.d.)</w:t>
          </w:r>
          <w:r w:rsidR="00A14FD6">
            <w:rPr>
              <w:rFonts w:eastAsia="Calibri" w:cs="Calibri"/>
            </w:rPr>
            <w:fldChar w:fldCharType="end"/>
          </w:r>
        </w:sdtContent>
      </w:sdt>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4DE02D93" w:rsidR="6E5E5677" w:rsidRDefault="00FA11C1" w:rsidP="00FA11C1">
      <w:pPr>
        <w:pStyle w:val="Legenda"/>
        <w:jc w:val="right"/>
        <w:rPr>
          <w:rFonts w:eastAsia="Calibri" w:cs="Calibri"/>
        </w:rPr>
      </w:pPr>
      <w:bookmarkStart w:id="7" w:name="_Toc212043430"/>
      <w:r>
        <w:t xml:space="preserve">Figura </w:t>
      </w:r>
      <w:fldSimple w:instr=" SEQ Figura \* ARABIC ">
        <w:r>
          <w:rPr>
            <w:noProof/>
          </w:rPr>
          <w:t>1</w:t>
        </w:r>
      </w:fldSimple>
      <w:r>
        <w:t>-Mapa do Porto de Salónica</w:t>
      </w:r>
      <w:sdt>
        <w:sdtPr>
          <w:rPr>
            <w:rFonts w:eastAsia="Calibri" w:cs="Calibri"/>
          </w:rPr>
          <w:id w:val="829020825"/>
          <w:citation/>
        </w:sdtPr>
        <w:sdtContent>
          <w:r w:rsidR="00D46172">
            <w:rPr>
              <w:rFonts w:eastAsia="Calibri" w:cs="Calibri"/>
            </w:rPr>
            <w:fldChar w:fldCharType="begin"/>
          </w:r>
          <w:r w:rsidR="00CC6EAA">
            <w:rPr>
              <w:rFonts w:eastAsia="Calibri" w:cs="Calibri"/>
            </w:rPr>
            <w:instrText xml:space="preserve">CITATION The252 \p 5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5)</w:t>
          </w:r>
          <w:r w:rsidR="00D46172">
            <w:rPr>
              <w:rFonts w:eastAsia="Calibri" w:cs="Calibri"/>
            </w:rPr>
            <w:fldChar w:fldCharType="end"/>
          </w:r>
        </w:sdtContent>
      </w:sdt>
      <w:bookmarkEnd w:id="7"/>
    </w:p>
    <w:p w14:paraId="03D01A8F" w14:textId="0C90D128" w:rsidR="6E5E5677" w:rsidRDefault="6E5E5677" w:rsidP="4228CE0F">
      <w:pPr>
        <w:rPr>
          <w:rFonts w:eastAsia="Calibri" w:cs="Calibri"/>
        </w:rPr>
      </w:pPr>
    </w:p>
    <w:p w14:paraId="640E8FA9" w14:textId="2E54FC5D" w:rsidR="6E5E5677" w:rsidRDefault="1EEE6C04" w:rsidP="4228CE0F">
      <w:pPr>
        <w:rPr>
          <w:rFonts w:eastAsia="Calibri" w:cs="Calibri"/>
        </w:rPr>
      </w:pPr>
      <w:r w:rsidRPr="4228CE0F">
        <w:rPr>
          <w:rFonts w:eastAsia="Calibri" w:cs="Calibri"/>
        </w:rPr>
        <w:t>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w:t>
      </w:r>
      <w:r w:rsidR="00A14FD6">
        <w:rPr>
          <w:rFonts w:eastAsia="Calibri" w:cs="Calibri"/>
        </w:rPr>
        <w:t>”</w:t>
      </w:r>
      <w:r w:rsidRPr="4228CE0F">
        <w:rPr>
          <w:rFonts w:eastAsia="Calibri" w:cs="Calibri"/>
        </w:rPr>
        <w:t xml:space="preserve"> de </w:t>
      </w:r>
      <w:proofErr w:type="spellStart"/>
      <w:r w:rsidRPr="4228CE0F">
        <w:rPr>
          <w:rFonts w:eastAsia="Calibri" w:cs="Calibri"/>
        </w:rPr>
        <w:t>Thessaloniki</w:t>
      </w:r>
      <w:proofErr w:type="spellEnd"/>
      <w:r w:rsidRPr="4228CE0F">
        <w:rPr>
          <w:rFonts w:eastAsia="Calibri" w:cs="Calibri"/>
        </w:rPr>
        <w:t>.</w:t>
      </w:r>
      <w:sdt>
        <w:sdtPr>
          <w:rPr>
            <w:rFonts w:eastAsia="Calibri" w:cs="Calibri"/>
          </w:rPr>
          <w:id w:val="511656112"/>
          <w:citation/>
        </w:sdtPr>
        <w:sdtContent>
          <w:r w:rsidR="00A14FD6">
            <w:rPr>
              <w:rFonts w:eastAsia="Calibri" w:cs="Calibri"/>
            </w:rPr>
            <w:fldChar w:fldCharType="begin"/>
          </w:r>
          <w:r w:rsidR="00A14FD6">
            <w:rPr>
              <w:rFonts w:eastAsia="Calibri" w:cs="Calibri"/>
            </w:rPr>
            <w:instrText xml:space="preserve"> CITATION Mis25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(Mister Ferry, s.d.)</w:t>
          </w:r>
          <w:r w:rsidR="00A14FD6">
            <w:rPr>
              <w:rFonts w:eastAsia="Calibri" w:cs="Calibri"/>
            </w:rPr>
            <w:fldChar w:fldCharType="end"/>
          </w:r>
        </w:sdtContent>
      </w:sdt>
    </w:p>
    <w:p w14:paraId="4328BC67" w14:textId="1D548BB9" w:rsidR="4228CE0F" w:rsidRDefault="4228CE0F" w:rsidP="4228CE0F">
      <w:pPr>
        <w:rPr>
          <w:rFonts w:eastAsia="Calibri" w:cs="Calibri"/>
        </w:rPr>
      </w:pPr>
    </w:p>
    <w:p w14:paraId="39144950" w14:textId="2CD61F54" w:rsidR="4259F59C" w:rsidRDefault="4259F59C" w:rsidP="4228CE0F">
      <w:r>
        <w:rPr>
          <w:noProof/>
        </w:rPr>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17370568" w:rsidR="4228CE0F" w:rsidRDefault="00FA11C1" w:rsidP="00FA11C1">
      <w:pPr>
        <w:pStyle w:val="Legenda"/>
        <w:jc w:val="right"/>
        <w:rPr>
          <w:rFonts w:eastAsia="Calibri" w:cs="Calibri"/>
        </w:rPr>
      </w:pPr>
      <w:bookmarkStart w:id="8" w:name="_Toc212043431"/>
      <w:r>
        <w:t xml:space="preserve">Figura </w:t>
      </w:r>
      <w:fldSimple w:instr=" SEQ Figura \* ARABIC ">
        <w:r>
          <w:rPr>
            <w:noProof/>
          </w:rPr>
          <w:t>2</w:t>
        </w:r>
      </w:fldSimple>
      <w:r>
        <w:t>-</w:t>
      </w:r>
      <w:r w:rsidRPr="00AF5805">
        <w:t>Distância do porto de Salónica a várias cidades de relevo</w:t>
      </w:r>
      <w:sdt>
        <w:sdtPr>
          <w:rPr>
            <w:rFonts w:eastAsia="Calibri" w:cs="Calibri"/>
          </w:rPr>
          <w:id w:val="-88314791"/>
          <w:citation/>
        </w:sdtPr>
        <w:sdtContent>
          <w:r w:rsidR="00D46172">
            <w:rPr>
              <w:rFonts w:eastAsia="Calibri" w:cs="Calibri"/>
            </w:rPr>
            <w:fldChar w:fldCharType="begin"/>
          </w:r>
          <w:r w:rsidR="00CC6EAA">
            <w:rPr>
              <w:rFonts w:eastAsia="Calibri" w:cs="Calibri"/>
            </w:rPr>
            <w:instrText xml:space="preserve">CITATION The252 \p 2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2)</w:t>
          </w:r>
          <w:r w:rsidR="00D46172">
            <w:rPr>
              <w:rFonts w:eastAsia="Calibri" w:cs="Calibri"/>
            </w:rPr>
            <w:fldChar w:fldCharType="end"/>
          </w:r>
        </w:sdtContent>
      </w:sdt>
      <w:bookmarkEnd w:id="8"/>
    </w:p>
    <w:p w14:paraId="591714DB" w14:textId="77777777" w:rsidR="002C1311" w:rsidRDefault="002C1311" w:rsidP="002C1311">
      <w:pPr>
        <w:jc w:val="right"/>
        <w:rPr>
          <w:rFonts w:eastAsia="Calibri" w:cs="Calibri"/>
        </w:rPr>
      </w:pPr>
    </w:p>
    <w:p w14:paraId="473636AF" w14:textId="21D74FC5" w:rsidR="00FF043E" w:rsidRPr="00FF043E" w:rsidRDefault="00FF043E" w:rsidP="5BAF54ED">
      <w:pPr>
        <w:rPr>
          <w:rFonts w:eastAsia="Calibri" w:cs="Calibri"/>
          <w:b/>
          <w:bCs/>
          <w:szCs w:val="22"/>
        </w:rPr>
      </w:pPr>
      <w:r w:rsidRPr="00FF043E">
        <w:rPr>
          <w:rFonts w:eastAsia="Calibri" w:cs="Calibri"/>
          <w:b/>
          <w:bCs/>
          <w:szCs w:val="22"/>
        </w:rPr>
        <w:t>1.1.2 Estrutura de Gestão e Natureza Jurídica</w:t>
      </w:r>
    </w:p>
    <w:p w14:paraId="4631D539" w14:textId="3699D968" w:rsidR="6E5E5677" w:rsidRDefault="6E5E5677" w:rsidP="5BAF54ED">
      <w:pPr>
        <w:rPr>
          <w:rFonts w:eastAsia="Calibri" w:cs="Calibri"/>
          <w:szCs w:val="22"/>
        </w:rPr>
      </w:pPr>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p>
    <w:p w14:paraId="18D705E1" w14:textId="77777777" w:rsidR="00FF043E" w:rsidRDefault="00FF043E" w:rsidP="5BAF54ED">
      <w:pPr>
        <w:rPr>
          <w:rFonts w:eastAsia="Calibri" w:cs="Calibri"/>
          <w:szCs w:val="22"/>
        </w:rPr>
      </w:pPr>
    </w:p>
    <w:p w14:paraId="586C2642" w14:textId="77777777" w:rsidR="00FF043E" w:rsidRDefault="00FF043E" w:rsidP="5BAF54ED"/>
    <w:p w14:paraId="7DC1A9AA" w14:textId="77777777" w:rsidR="00FF043E" w:rsidRDefault="00FF043E" w:rsidP="5BAF54ED">
      <w:pPr>
        <w:rPr>
          <w:rFonts w:eastAsia="Calibri" w:cs="Calibri"/>
        </w:rPr>
      </w:pPr>
    </w:p>
    <w:p w14:paraId="7E081D1C" w14:textId="3F0D5E67" w:rsidR="00FF043E" w:rsidRPr="00FF043E" w:rsidRDefault="00FF043E" w:rsidP="5BAF54ED">
      <w:pPr>
        <w:rPr>
          <w:rFonts w:eastAsia="Calibri" w:cs="Calibri"/>
          <w:b/>
          <w:bCs/>
          <w:szCs w:val="22"/>
        </w:rPr>
      </w:pPr>
      <w:r w:rsidRPr="00FF043E">
        <w:rPr>
          <w:rFonts w:eastAsia="Calibri" w:cs="Calibri"/>
          <w:b/>
          <w:bCs/>
          <w:szCs w:val="22"/>
        </w:rPr>
        <w:lastRenderedPageBreak/>
        <w:t>1.1.3 Importância Económica e Social</w:t>
      </w:r>
    </w:p>
    <w:p w14:paraId="697BC882" w14:textId="0996ECD3" w:rsidR="6E5E5677" w:rsidRDefault="1EEE6C04" w:rsidP="5BAF54ED">
      <w:pPr>
        <w:rPr>
          <w:rFonts w:eastAsia="Calibri" w:cs="Calibri"/>
        </w:rPr>
      </w:pPr>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direto aos países do Sudeste Europeu, consolidando a sua relevância como plataforma logística regional.</w:t>
      </w:r>
      <w:sdt>
        <w:sdtPr>
          <w:rPr>
            <w:rFonts w:eastAsia="Calibri" w:cs="Calibri"/>
          </w:rPr>
          <w:id w:val="-70744200"/>
          <w:citation/>
        </w:sdtPr>
        <w:sdtContent>
          <w:r w:rsidR="00427206">
            <w:rPr>
              <w:rFonts w:eastAsia="Calibri" w:cs="Calibri"/>
            </w:rPr>
            <w:fldChar w:fldCharType="begin"/>
          </w:r>
          <w:r w:rsidR="00427206">
            <w:rPr>
              <w:rFonts w:eastAsia="Calibri" w:cs="Calibri"/>
            </w:rPr>
            <w:instrText xml:space="preserve"> CITATION The251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(Thessaloniki)</w:t>
          </w:r>
          <w:r w:rsidR="00427206">
            <w:rPr>
              <w:rFonts w:eastAsia="Calibri" w:cs="Calibri"/>
            </w:rPr>
            <w:fldChar w:fldCharType="end"/>
          </w:r>
        </w:sdtContent>
      </w:sdt>
      <w:sdt>
        <w:sdtPr>
          <w:rPr>
            <w:rFonts w:eastAsia="Calibri" w:cs="Calibri"/>
          </w:rPr>
          <w:id w:val="374361944"/>
          <w:citation/>
        </w:sdtPr>
        <w:sdtContent>
          <w:r w:rsidR="00427206">
            <w:rPr>
              <w:rFonts w:eastAsia="Calibri" w:cs="Calibri"/>
            </w:rPr>
            <w:fldChar w:fldCharType="begin"/>
          </w:r>
          <w:r w:rsidR="00427206">
            <w:rPr>
              <w:rFonts w:eastAsia="Calibri" w:cs="Calibri"/>
            </w:rPr>
            <w:instrText xml:space="preserve"> CITATION Fun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(Fund, s.d.)</w:t>
          </w:r>
          <w:r w:rsidR="00427206">
            <w:rPr>
              <w:rFonts w:eastAsia="Calibri" w:cs="Calibri"/>
            </w:rPr>
            <w:fldChar w:fldCharType="end"/>
          </w:r>
        </w:sdtContent>
      </w:sdt>
      <w:sdt>
        <w:sdtPr>
          <w:rPr>
            <w:rFonts w:eastAsia="Calibri" w:cs="Calibri"/>
          </w:rPr>
          <w:id w:val="1767121040"/>
          <w:citation/>
        </w:sdtPr>
        <w:sdtContent>
          <w:r w:rsidR="00427206">
            <w:rPr>
              <w:rFonts w:eastAsia="Calibri" w:cs="Calibri"/>
            </w:rPr>
            <w:fldChar w:fldCharType="begin"/>
          </w:r>
          <w:r w:rsidR="00427206">
            <w:rPr>
              <w:rFonts w:eastAsia="Calibri" w:cs="Calibri"/>
            </w:rPr>
            <w:instrText xml:space="preserve"> CITATION Wik25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(Wikipedia, s.d.)</w:t>
          </w:r>
          <w:r w:rsidR="00427206">
            <w:rPr>
              <w:rFonts w:eastAsia="Calibri" w:cs="Calibri"/>
            </w:rPr>
            <w:fldChar w:fldCharType="end"/>
          </w:r>
        </w:sdtContent>
      </w:sdt>
    </w:p>
    <w:p w14:paraId="7EFB820A" w14:textId="77777777" w:rsidR="00D46172" w:rsidRDefault="00D46172" w:rsidP="5BAF54ED"/>
    <w:p w14:paraId="6B031788" w14:textId="5C209166" w:rsidR="259E4C2F" w:rsidRDefault="259E4C2F" w:rsidP="4228CE0F">
      <w:r>
        <w:rPr>
          <w:noProof/>
        </w:rPr>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11368E17" w:rsidR="39EEA74D" w:rsidRDefault="00FA11C1" w:rsidP="00FA11C1">
      <w:pPr>
        <w:pStyle w:val="Legenda"/>
        <w:jc w:val="right"/>
        <w:rPr>
          <w:rFonts w:eastAsia="Calibri" w:cs="Calibri"/>
        </w:rPr>
      </w:pPr>
      <w:bookmarkStart w:id="9" w:name="_Toc212043432"/>
      <w:r>
        <w:t xml:space="preserve">Figura </w:t>
      </w:r>
      <w:fldSimple w:instr=" SEQ Figura \* ARABIC ">
        <w:r>
          <w:rPr>
            <w:noProof/>
          </w:rPr>
          <w:t>3</w:t>
        </w:r>
      </w:fldSimple>
      <w:r>
        <w:t>-</w:t>
      </w:r>
      <w:r w:rsidRPr="00106FDD">
        <w:t>Área de influência do porto de Salónica</w:t>
      </w:r>
      <w:sdt>
        <w:sdtPr>
          <w:rPr>
            <w:rFonts w:eastAsia="Calibri" w:cs="Calibri"/>
          </w:rPr>
          <w:id w:val="-1930798778"/>
          <w:citation/>
        </w:sdtPr>
        <w:sdtContent>
          <w:r w:rsidR="00D46172">
            <w:rPr>
              <w:rFonts w:eastAsia="Calibri" w:cs="Calibri"/>
            </w:rPr>
            <w:fldChar w:fldCharType="begin"/>
          </w:r>
          <w:r w:rsidR="00CC6EAA">
            <w:rPr>
              <w:rFonts w:eastAsia="Calibri" w:cs="Calibri"/>
            </w:rPr>
            <w:instrText xml:space="preserve">CITATION The252 \p 3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3)</w:t>
          </w:r>
          <w:r w:rsidR="00D46172">
            <w:rPr>
              <w:rFonts w:eastAsia="Calibri" w:cs="Calibri"/>
            </w:rPr>
            <w:fldChar w:fldCharType="end"/>
          </w:r>
        </w:sdtContent>
      </w:sdt>
      <w:bookmarkEnd w:id="9"/>
    </w:p>
    <w:p w14:paraId="16733878" w14:textId="07F6422C" w:rsidR="4228CE0F" w:rsidRDefault="4228CE0F" w:rsidP="4228CE0F">
      <w:pPr>
        <w:rPr>
          <w:rFonts w:eastAsia="Calibri" w:cs="Calibri"/>
        </w:rPr>
      </w:pPr>
    </w:p>
    <w:p w14:paraId="25CCFAD2" w14:textId="71EB6483"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w:t>
      </w:r>
      <w:r w:rsidRPr="5BAF54ED">
        <w:rPr>
          <w:rFonts w:eastAsia="Calibri" w:cs="Calibri"/>
          <w:szCs w:val="22"/>
        </w:rPr>
        <w:lastRenderedPageBreak/>
        <w:t xml:space="preserve">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sdt>
        <w:sdtPr>
          <w:rPr>
            <w:rFonts w:eastAsia="Calibri" w:cs="Calibri"/>
            <w:szCs w:val="22"/>
          </w:rPr>
          <w:id w:val="980806570"/>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sidRPr="00D46172">
            <w:rPr>
              <w:rFonts w:eastAsia="Calibri" w:cs="Calibri"/>
              <w:noProof/>
              <w:szCs w:val="22"/>
            </w:rPr>
            <w:t>(Thessaloniki)</w:t>
          </w:r>
          <w:r w:rsidR="00D46172">
            <w:rPr>
              <w:rFonts w:eastAsia="Calibri" w:cs="Calibri"/>
              <w:szCs w:val="22"/>
            </w:rPr>
            <w:fldChar w:fldCharType="end"/>
          </w:r>
        </w:sdtContent>
      </w:sdt>
    </w:p>
    <w:p w14:paraId="3E2D6927" w14:textId="16C03A03" w:rsidR="6E5E5677" w:rsidRDefault="6E5E5677" w:rsidP="5BAF54ED">
      <w:r w:rsidRPr="5BAF54ED">
        <w:rPr>
          <w:rFonts w:eastAsia="Calibri" w:cs="Calibri"/>
          <w:szCs w:val="22"/>
        </w:rPr>
        <w:t xml:space="preserve"> </w:t>
      </w:r>
    </w:p>
    <w:p w14:paraId="0A05282E" w14:textId="2657E746" w:rsidR="6E5E5677" w:rsidRDefault="6E5E5677" w:rsidP="5BAF54ED">
      <w:r w:rsidRPr="5BAF54ED">
        <w:rPr>
          <w:rFonts w:eastAsia="Calibri" w:cs="Calibri"/>
          <w:szCs w:val="22"/>
        </w:rPr>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desenvolvimento imobiliário, áreas para eventos, estacionamento e transporte intermodal, integrando infraestruturas terrestres e marítimas para otimizar o fluxo de pessoas e mercadorias.</w:t>
      </w:r>
      <w:sdt>
        <w:sdtPr>
          <w:rPr>
            <w:rFonts w:eastAsia="Calibri" w:cs="Calibri"/>
            <w:szCs w:val="22"/>
          </w:rPr>
          <w:id w:val="-1226452036"/>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Pr>
              <w:rFonts w:eastAsia="Calibri" w:cs="Calibri"/>
              <w:noProof/>
              <w:szCs w:val="22"/>
            </w:rPr>
            <w:t xml:space="preserve"> </w:t>
          </w:r>
          <w:r w:rsidR="00D46172" w:rsidRPr="00D46172">
            <w:rPr>
              <w:rFonts w:eastAsia="Calibri" w:cs="Calibri"/>
              <w:noProof/>
              <w:szCs w:val="22"/>
            </w:rPr>
            <w:t>(Thessaloniki)</w:t>
          </w:r>
          <w:r w:rsidR="00D46172">
            <w:rPr>
              <w:rFonts w:eastAsia="Calibri" w:cs="Calibri"/>
              <w:szCs w:val="22"/>
            </w:rPr>
            <w:fldChar w:fldCharType="end"/>
          </w:r>
        </w:sdtContent>
      </w:sdt>
    </w:p>
    <w:p w14:paraId="31BE59F0" w14:textId="69E1922F" w:rsidR="6E5E5677" w:rsidRDefault="6E5E5677" w:rsidP="5BAF54ED">
      <w:pPr>
        <w:rPr>
          <w:rFonts w:eastAsia="Calibri" w:cs="Calibri"/>
          <w:szCs w:val="22"/>
        </w:rPr>
      </w:pPr>
      <w:r w:rsidRPr="5BAF54ED">
        <w:rPr>
          <w:rFonts w:eastAsia="Calibri" w:cs="Calibri"/>
          <w:szCs w:val="22"/>
        </w:rPr>
        <w:t xml:space="preserve"> </w:t>
      </w:r>
    </w:p>
    <w:p w14:paraId="28E44AFA" w14:textId="7B76657E" w:rsidR="00FF043E" w:rsidRPr="00FF043E" w:rsidRDefault="00FF043E" w:rsidP="5BAF54ED">
      <w:pPr>
        <w:rPr>
          <w:b/>
          <w:bCs/>
        </w:rPr>
      </w:pPr>
      <w:r w:rsidRPr="00FF043E">
        <w:rPr>
          <w:b/>
          <w:bCs/>
        </w:rPr>
        <w:t>1.1.4 Desempenho Financeiro e Estrutura Acionista</w:t>
      </w:r>
    </w:p>
    <w:p w14:paraId="7539CBE0" w14:textId="03070A62"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sdt>
        <w:sdtPr>
          <w:rPr>
            <w:rFonts w:eastAsia="Calibri" w:cs="Calibri"/>
            <w:szCs w:val="22"/>
          </w:rPr>
          <w:id w:val="-1239473403"/>
          <w:citation/>
        </w:sdtPr>
        <w:sdtContent>
          <w:r w:rsidR="00D46172">
            <w:rPr>
              <w:rFonts w:eastAsia="Calibri" w:cs="Calibri"/>
              <w:szCs w:val="22"/>
            </w:rPr>
            <w:fldChar w:fldCharType="begin"/>
          </w:r>
          <w:r w:rsidR="00D46172">
            <w:rPr>
              <w:rFonts w:eastAsia="Calibri" w:cs="Calibri"/>
              <w:szCs w:val="22"/>
            </w:rPr>
            <w:instrText xml:space="preserve"> CITATION The253 \l 2070 </w:instrText>
          </w:r>
          <w:r w:rsidR="00D46172">
            <w:rPr>
              <w:rFonts w:eastAsia="Calibri" w:cs="Calibri"/>
              <w:szCs w:val="22"/>
            </w:rPr>
            <w:fldChar w:fldCharType="separate"/>
          </w:r>
          <w:r w:rsidR="00D46172" w:rsidRPr="00D46172">
            <w:rPr>
              <w:rFonts w:eastAsia="Calibri" w:cs="Calibri"/>
              <w:noProof/>
              <w:szCs w:val="22"/>
            </w:rPr>
            <w:t>(Thessaloniki, s.d.)</w:t>
          </w:r>
          <w:r w:rsidR="00D46172">
            <w:rPr>
              <w:rFonts w:eastAsia="Calibri" w:cs="Calibri"/>
              <w:szCs w:val="22"/>
            </w:rPr>
            <w:fldChar w:fldCharType="end"/>
          </w:r>
        </w:sdtContent>
      </w:sdt>
    </w:p>
    <w:p w14:paraId="7B25D01E" w14:textId="031F10A4"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sdt>
        <w:sdtPr>
          <w:rPr>
            <w:rFonts w:eastAsia="Calibri" w:cs="Calibri"/>
          </w:rPr>
          <w:id w:val="-305000431"/>
          <w:citation/>
        </w:sdtPr>
        <w:sdtContent>
          <w:r w:rsidR="00D46172">
            <w:rPr>
              <w:rFonts w:eastAsia="Calibri" w:cs="Calibri"/>
            </w:rPr>
            <w:fldChar w:fldCharType="begin"/>
          </w:r>
          <w:r w:rsidR="00D46172">
            <w:rPr>
              <w:rFonts w:eastAsia="Calibri" w:cs="Calibri"/>
            </w:rPr>
            <w:instrText xml:space="preserve"> CITATION Wik25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(Wikipedia, s.d.)</w:t>
          </w:r>
          <w:r w:rsidR="00D46172">
            <w:rPr>
              <w:rFonts w:eastAsia="Calibri" w:cs="Calibri"/>
            </w:rPr>
            <w:fldChar w:fldCharType="end"/>
          </w:r>
        </w:sdtContent>
      </w:sdt>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2AF6FBE3" w:rsidR="5BAF54ED" w:rsidRDefault="00FA11C1" w:rsidP="00FA11C1">
      <w:pPr>
        <w:pStyle w:val="Legenda"/>
        <w:jc w:val="right"/>
      </w:pPr>
      <w:bookmarkStart w:id="10" w:name="_Toc212043433"/>
      <w:r>
        <w:lastRenderedPageBreak/>
        <w:t xml:space="preserve">Figura </w:t>
      </w:r>
      <w:fldSimple w:instr=" SEQ Figura \* ARABIC ">
        <w:r>
          <w:rPr>
            <w:noProof/>
          </w:rPr>
          <w:t>4</w:t>
        </w:r>
      </w:fldSimple>
      <w:r>
        <w:t>-</w:t>
      </w:r>
      <w:r w:rsidRPr="00505255">
        <w:t>Estrutura acionista do porto de Salónica</w:t>
      </w:r>
      <w:sdt>
        <w:sdtPr>
          <w:id w:val="-1058944134"/>
          <w:citation/>
        </w:sdtPr>
        <w:sdtContent>
          <w:r w:rsidR="00D46172">
            <w:fldChar w:fldCharType="begin"/>
          </w:r>
          <w:r w:rsidR="00CC6EAA">
            <w:instrText xml:space="preserve">CITATION The252 \p 3 \l 2070 </w:instrText>
          </w:r>
          <w:r w:rsidR="00D46172">
            <w:fldChar w:fldCharType="separate"/>
          </w:r>
          <w:r w:rsidR="00CC6EAA">
            <w:rPr>
              <w:noProof/>
            </w:rPr>
            <w:t xml:space="preserve"> (Thessaloniki, p. 3)</w:t>
          </w:r>
          <w:r w:rsidR="00D46172">
            <w:fldChar w:fldCharType="end"/>
          </w:r>
        </w:sdtContent>
      </w:sdt>
      <w:bookmarkEnd w:id="10"/>
    </w:p>
    <w:p w14:paraId="05A0FF8B" w14:textId="0C783BE9" w:rsidR="00CA01E1" w:rsidRDefault="00CA01E1" w:rsidP="00B731BA"/>
    <w:p w14:paraId="06108FD0" w14:textId="77777777" w:rsidR="001E79FC" w:rsidRDefault="001E79FC" w:rsidP="00CA01E1">
      <w:pPr>
        <w:pStyle w:val="Ttulo2"/>
      </w:pPr>
    </w:p>
    <w:p w14:paraId="28D9F042" w14:textId="77777777" w:rsidR="001E79FC" w:rsidRDefault="001E79FC" w:rsidP="00CA01E1">
      <w:pPr>
        <w:pStyle w:val="Ttulo2"/>
      </w:pPr>
    </w:p>
    <w:p w14:paraId="584964F2" w14:textId="77777777" w:rsidR="001E79FC" w:rsidRDefault="001E79FC" w:rsidP="00CA01E1">
      <w:pPr>
        <w:pStyle w:val="Ttulo2"/>
      </w:pPr>
    </w:p>
    <w:p w14:paraId="7B9F06E6" w14:textId="4BE2D670" w:rsidR="00CA01E1" w:rsidRDefault="00CA01E1" w:rsidP="00CA01E1">
      <w:pPr>
        <w:pStyle w:val="Ttulo2"/>
      </w:pPr>
      <w:bookmarkStart w:id="11" w:name="_Toc212025364"/>
      <w:r>
        <w:t>I.2 Fontes de informação</w:t>
      </w:r>
      <w:bookmarkEnd w:id="11"/>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12" w:name="_Toc212025365"/>
      <w:r>
        <w:lastRenderedPageBreak/>
        <w:t>Parte II – Desenvolvimento</w:t>
      </w:r>
      <w:bookmarkEnd w:id="12"/>
    </w:p>
    <w:p w14:paraId="4423C59D" w14:textId="77777777" w:rsidR="008B0E11" w:rsidRDefault="008B0E11" w:rsidP="00B731BA"/>
    <w:p w14:paraId="60036711" w14:textId="310ACDD3" w:rsidR="00B731BA" w:rsidRDefault="5777556E" w:rsidP="00B731BA">
      <w:pPr>
        <w:pStyle w:val="Ttulo2"/>
      </w:pPr>
      <w:bookmarkStart w:id="13" w:name="_Toc212025366"/>
      <w:r>
        <w:t>II.</w:t>
      </w:r>
      <w:r w:rsidR="4A84B111">
        <w:t>1</w:t>
      </w:r>
      <w:r>
        <w:t xml:space="preserve"> </w:t>
      </w:r>
      <w:r w:rsidR="4A84B111">
        <w:t>Organização</w:t>
      </w:r>
      <w:bookmarkEnd w:id="13"/>
      <w:r w:rsidR="4A84B111">
        <w:t xml:space="preserve"> </w:t>
      </w:r>
    </w:p>
    <w:p w14:paraId="07803B0F" w14:textId="77777777" w:rsidR="00FF043E" w:rsidRDefault="00FF043E" w:rsidP="4228CE0F">
      <w:pPr>
        <w:rPr>
          <w:b/>
          <w:bCs/>
        </w:rPr>
      </w:pPr>
      <w:r w:rsidRPr="00FF043E">
        <w:rPr>
          <w:b/>
          <w:bCs/>
        </w:rPr>
        <w:t>2.1.1 Estrutura Formal e Departamentalização</w:t>
      </w:r>
    </w:p>
    <w:p w14:paraId="374FD9A1" w14:textId="1688570D"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11B4916A" w:rsidR="00CC434D" w:rsidRDefault="00FA11C1" w:rsidP="00FA11C1">
      <w:pPr>
        <w:pStyle w:val="Legenda"/>
        <w:jc w:val="right"/>
        <w:rPr>
          <w:szCs w:val="22"/>
        </w:rPr>
      </w:pPr>
      <w:bookmarkStart w:id="14" w:name="_Toc212043434"/>
      <w:r>
        <w:t xml:space="preserve">Figura </w:t>
      </w:r>
      <w:fldSimple w:instr=" SEQ Figura \* ARABIC ">
        <w:r>
          <w:rPr>
            <w:noProof/>
          </w:rPr>
          <w:t>5</w:t>
        </w:r>
      </w:fldSimple>
      <w:r>
        <w:t>-</w:t>
      </w:r>
      <w:r w:rsidRPr="006324A9">
        <w:t>Organograma do Porto de Salónica</w:t>
      </w:r>
      <w:sdt>
        <w:sdtPr>
          <w:id w:val="800575177"/>
          <w:citation/>
        </w:sdtPr>
        <w:sdtContent>
          <w:r w:rsidR="00AD4B40">
            <w:fldChar w:fldCharType="begin"/>
          </w:r>
          <w:r w:rsidR="00AD4B40">
            <w:instrText xml:space="preserve"> CITATION The254 \l 2070 </w:instrText>
          </w:r>
          <w:r w:rsidR="00AD4B40">
            <w:fldChar w:fldCharType="separate"/>
          </w:r>
          <w:r w:rsidR="00AD4B40">
            <w:rPr>
              <w:noProof/>
            </w:rPr>
            <w:t xml:space="preserve"> (Thessaloniki, s.d.)</w:t>
          </w:r>
          <w:r w:rsidR="00AD4B40">
            <w:fldChar w:fldCharType="end"/>
          </w:r>
        </w:sdtContent>
      </w:sdt>
      <w:bookmarkEnd w:id="14"/>
    </w:p>
    <w:p w14:paraId="316B1BC0" w14:textId="23B9542D" w:rsidR="4228CE0F" w:rsidRDefault="4228CE0F" w:rsidP="4228CE0F">
      <w:pPr>
        <w:rPr>
          <w:szCs w:val="22"/>
        </w:rPr>
      </w:pPr>
    </w:p>
    <w:p w14:paraId="3B2979E2" w14:textId="05E47F09" w:rsidR="00FF043E" w:rsidRPr="00FF043E" w:rsidRDefault="00FF043E" w:rsidP="002038D4">
      <w:pPr>
        <w:rPr>
          <w:b/>
          <w:bCs/>
          <w:szCs w:val="22"/>
        </w:rPr>
      </w:pPr>
      <w:r w:rsidRPr="00FF043E">
        <w:rPr>
          <w:b/>
          <w:bCs/>
          <w:szCs w:val="22"/>
        </w:rPr>
        <w:t>2.1.2 Hierarquia e Processos de Decisão</w:t>
      </w:r>
    </w:p>
    <w:p w14:paraId="62004CC6" w14:textId="5D665DCD" w:rsidR="002038D4" w:rsidRDefault="002038D4" w:rsidP="002038D4">
      <w:pPr>
        <w:rPr>
          <w:szCs w:val="22"/>
        </w:rPr>
      </w:pPr>
      <w:r w:rsidRPr="002038D4">
        <w:rPr>
          <w:szCs w:val="22"/>
        </w:rPr>
        <w:t xml:space="preserve">Em termos de adaptação à mudança, estruturas funcionais como a da </w:t>
      </w:r>
      <w:proofErr w:type="spellStart"/>
      <w:r w:rsidRPr="002038D4">
        <w:rPr>
          <w:szCs w:val="22"/>
        </w:rPr>
        <w:t>ThPA</w:t>
      </w:r>
      <w:proofErr w:type="spellEnd"/>
      <w:r w:rsidRPr="002038D4">
        <w:rPr>
          <w:szCs w:val="22"/>
        </w:rPr>
        <w:t xml:space="preserve"> S.A. tendem a apresentar menor agilidade, uma vez que as decisões percorrem diferentes níveis de responsabilidade antes de serem implementadas. Esta hierarquia formal pode reduzir a rapidez de resposta a alterações do mercado ou a novos desafios operacionais. Ainda assim, a existência de departamentos de apoio, como os de Estratégia, Sustentabilidade ou Gestão de Projetos, reforça a capacidade da organização em monitorizar o ambiente externo e propor melhorias, mesmo que a sua implementação dependa da validação pela gestão de topo.</w:t>
      </w:r>
    </w:p>
    <w:p w14:paraId="6105EF26" w14:textId="77777777" w:rsidR="002038D4" w:rsidRPr="002038D4" w:rsidRDefault="002038D4" w:rsidP="002038D4">
      <w:pPr>
        <w:rPr>
          <w:szCs w:val="22"/>
        </w:rPr>
      </w:pPr>
    </w:p>
    <w:p w14:paraId="408E2165" w14:textId="5CF3F321" w:rsidR="002038D4" w:rsidRDefault="002038D4" w:rsidP="002038D4">
      <w:pPr>
        <w:rPr>
          <w:szCs w:val="22"/>
        </w:rPr>
      </w:pPr>
      <w:r w:rsidRPr="002038D4">
        <w:rPr>
          <w:szCs w:val="22"/>
        </w:rPr>
        <w:lastRenderedPageBreak/>
        <w:t xml:space="preserve">A </w:t>
      </w:r>
      <w:proofErr w:type="spellStart"/>
      <w:r w:rsidRPr="002038D4">
        <w:rPr>
          <w:szCs w:val="22"/>
        </w:rPr>
        <w:t>ThPA</w:t>
      </w:r>
      <w:proofErr w:type="spellEnd"/>
      <w:r w:rsidRPr="002038D4">
        <w:rPr>
          <w:szCs w:val="22"/>
        </w:rPr>
        <w:t xml:space="preserve"> S.A. apresenta uma estrutura funcional e formalmente definida, com linhas de autoridade claras e responsabilidades bem delimitadas. Embora existam níveis hierárquicos distintos, as principais divisões — Operações, Contentores, Comercial, Financeira e Administrativa — situam-se num mesmo patamar funcional, o que confere à estrutura um carácter relativamente horizontal dentro de cada área de atuação. Os departamentos de staff, como os de Assuntos Jurídicos, Segurança ou Planeamento, não intervêm diretamente nas operações portuárias, mas prestam suporte técnico e estratégico às divisões de linha, reforçando o controlo, a conformidade e a eficiência organizacional.</w:t>
      </w:r>
    </w:p>
    <w:p w14:paraId="21E8E38B" w14:textId="77777777" w:rsidR="002038D4" w:rsidRPr="002038D4" w:rsidRDefault="002038D4" w:rsidP="002038D4">
      <w:pPr>
        <w:rPr>
          <w:szCs w:val="22"/>
        </w:rPr>
      </w:pPr>
    </w:p>
    <w:p w14:paraId="27A3F4E3" w14:textId="77777777" w:rsidR="002038D4" w:rsidRDefault="002038D4" w:rsidP="002038D4">
      <w:pPr>
        <w:rPr>
          <w:szCs w:val="22"/>
        </w:rPr>
      </w:pPr>
      <w:r w:rsidRPr="002038D4">
        <w:rPr>
          <w:szCs w:val="22"/>
        </w:rPr>
        <w:t>O organograma evidencia, assim, uma estrutura composta por quatro níveis formais: o órgão máximo de governação (</w:t>
      </w:r>
      <w:proofErr w:type="spellStart"/>
      <w:r w:rsidRPr="002038D4">
        <w:rPr>
          <w:szCs w:val="22"/>
        </w:rPr>
        <w:t>Board</w:t>
      </w:r>
      <w:proofErr w:type="spellEnd"/>
      <w:r w:rsidRPr="002038D4">
        <w:rPr>
          <w:szCs w:val="22"/>
        </w:rPr>
        <w:t xml:space="preserve"> </w:t>
      </w:r>
      <w:proofErr w:type="spellStart"/>
      <w:r w:rsidRPr="002038D4">
        <w:rPr>
          <w:szCs w:val="22"/>
        </w:rPr>
        <w:t>of</w:t>
      </w:r>
      <w:proofErr w:type="spellEnd"/>
      <w:r w:rsidRPr="002038D4">
        <w:rPr>
          <w:szCs w:val="22"/>
        </w:rPr>
        <w:t xml:space="preserve"> </w:t>
      </w:r>
      <w:proofErr w:type="spellStart"/>
      <w:r w:rsidRPr="002038D4">
        <w:rPr>
          <w:szCs w:val="22"/>
        </w:rPr>
        <w:t>Directors</w:t>
      </w:r>
      <w:proofErr w:type="spellEnd"/>
      <w:r w:rsidRPr="002038D4">
        <w:rPr>
          <w:szCs w:val="22"/>
        </w:rPr>
        <w:t>), seguido da direção executiva e dos comités de apoio, das divisões funcionais responsáveis pelas principais áreas de atividade e, por fim, dos departamentos especializados de suporte. Esta configuração, embora hierarquicamente definida, combina características verticais e horizontais, assegurando coordenação e controlo sem comprometer totalmente a flexibilidade e a capacidade de resposta da organização.</w:t>
      </w:r>
    </w:p>
    <w:p w14:paraId="4552574A" w14:textId="77777777" w:rsidR="002038D4" w:rsidRPr="002038D4" w:rsidRDefault="002038D4" w:rsidP="002038D4">
      <w:pPr>
        <w:rPr>
          <w:szCs w:val="22"/>
        </w:rPr>
      </w:pPr>
    </w:p>
    <w:p w14:paraId="291D1803" w14:textId="10D4B4C2" w:rsidR="00FF043E" w:rsidRPr="00FF043E" w:rsidRDefault="00FF043E" w:rsidP="002038D4">
      <w:pPr>
        <w:rPr>
          <w:b/>
          <w:bCs/>
          <w:szCs w:val="22"/>
        </w:rPr>
      </w:pPr>
      <w:r w:rsidRPr="00FF043E">
        <w:rPr>
          <w:b/>
          <w:bCs/>
          <w:szCs w:val="22"/>
        </w:rPr>
        <w:t>2.1.3 Estruturas Formais e Informais</w:t>
      </w:r>
    </w:p>
    <w:p w14:paraId="57F67018" w14:textId="249CA971" w:rsidR="002038D4" w:rsidRDefault="002038D4" w:rsidP="002038D4">
      <w:pPr>
        <w:rPr>
          <w:szCs w:val="22"/>
        </w:rPr>
      </w:pPr>
      <w:r w:rsidRPr="002038D4">
        <w:rPr>
          <w:szCs w:val="22"/>
        </w:rPr>
        <w:t xml:space="preserve">No que respeita às estruturas formais e informais, observa-se que a </w:t>
      </w:r>
      <w:proofErr w:type="spellStart"/>
      <w:r w:rsidRPr="002038D4">
        <w:rPr>
          <w:szCs w:val="22"/>
        </w:rPr>
        <w:t>ThPA</w:t>
      </w:r>
      <w:proofErr w:type="spellEnd"/>
      <w:r w:rsidRPr="002038D4">
        <w:rPr>
          <w:szCs w:val="22"/>
        </w:rPr>
        <w:t xml:space="preserve"> S.A. opera com um elevado grau de formalização, refletido na existência de procedimentos padronizados, níveis hierárquicos definidos e canais de comunicação institucionais. A estrutura informal, embora possa manifestar-se em relações interpessoais entre colaboradores, aparenta ser limitada pela natureza regulada da organização e pelo controlo centralizado das decisões. Assim, o processo decisório revela-se predominantemente rígido e centralizado na gestão de topo, garantindo conformidade e estabilidade, mas restringindo a autonomia e a flexibilidade das áreas operacionais.</w:t>
      </w:r>
    </w:p>
    <w:p w14:paraId="0D271E53" w14:textId="77777777" w:rsidR="002038D4" w:rsidRDefault="002038D4" w:rsidP="002038D4">
      <w:pPr>
        <w:rPr>
          <w:szCs w:val="22"/>
        </w:rPr>
      </w:pPr>
    </w:p>
    <w:p w14:paraId="53642FC1" w14:textId="61099152" w:rsidR="00FF043E" w:rsidRPr="00FF043E" w:rsidRDefault="00FF043E" w:rsidP="002038D4">
      <w:pPr>
        <w:rPr>
          <w:b/>
          <w:bCs/>
          <w:szCs w:val="22"/>
        </w:rPr>
      </w:pPr>
      <w:r w:rsidRPr="00FF043E">
        <w:rPr>
          <w:b/>
          <w:bCs/>
          <w:szCs w:val="22"/>
        </w:rPr>
        <w:t>2.1.4 Dimensão Operacional e Execução</w:t>
      </w:r>
    </w:p>
    <w:p w14:paraId="24373B70" w14:textId="77777777" w:rsidR="002038D4" w:rsidRPr="002038D4" w:rsidRDefault="002038D4" w:rsidP="002038D4">
      <w:pPr>
        <w:rPr>
          <w:szCs w:val="22"/>
        </w:rPr>
      </w:pPr>
      <w:r w:rsidRPr="002038D4">
        <w:rPr>
          <w:szCs w:val="22"/>
        </w:rPr>
        <w:t xml:space="preserve">Ao analisar o organograma, constata-se que a estrutura se concentra predominantemente nos níveis de direção e coordenação, representando divisões responsáveis pela gestão estratégica, administrativa e operacional das atividades portuárias. Divisões como a </w:t>
      </w:r>
      <w:proofErr w:type="spellStart"/>
      <w:r w:rsidRPr="002038D4">
        <w:rPr>
          <w:szCs w:val="22"/>
        </w:rPr>
        <w:t>Operations</w:t>
      </w:r>
      <w:proofErr w:type="spellEnd"/>
      <w:r w:rsidRPr="002038D4">
        <w:rPr>
          <w:szCs w:val="22"/>
        </w:rPr>
        <w:t xml:space="preserve"> </w:t>
      </w:r>
      <w:proofErr w:type="spellStart"/>
      <w:r w:rsidRPr="002038D4">
        <w:rPr>
          <w:szCs w:val="22"/>
        </w:rPr>
        <w:t>Division</w:t>
      </w:r>
      <w:proofErr w:type="spellEnd"/>
      <w:r w:rsidRPr="002038D4">
        <w:rPr>
          <w:szCs w:val="22"/>
        </w:rPr>
        <w:t xml:space="preserve"> ou a Container Terminal </w:t>
      </w:r>
      <w:proofErr w:type="spellStart"/>
      <w:r w:rsidRPr="002038D4">
        <w:rPr>
          <w:szCs w:val="22"/>
        </w:rPr>
        <w:t>Division</w:t>
      </w:r>
      <w:proofErr w:type="spellEnd"/>
      <w:r w:rsidRPr="002038D4">
        <w:rPr>
          <w:szCs w:val="22"/>
        </w:rPr>
        <w:t xml:space="preserve"> evidenciam o foco na supervisão e controlo das operações, mas não representam diretamente as equipas que executam as tarefas no terreno. Assim, a dimensão operacional — composta por trabalhadores responsáveis pelo manuseamento de cargas, operação de equipamentos e apoio nas </w:t>
      </w:r>
      <w:r w:rsidRPr="002038D4">
        <w:rPr>
          <w:szCs w:val="22"/>
        </w:rPr>
        <w:lastRenderedPageBreak/>
        <w:t>atividades de cais — não se encontra representada no diagrama formal, permanecendo implícita enquanto nível de execução.</w:t>
      </w:r>
    </w:p>
    <w:p w14:paraId="5239501C" w14:textId="77777777" w:rsidR="00842340" w:rsidRDefault="00842340" w:rsidP="4228CE0F">
      <w:pPr>
        <w:rPr>
          <w:szCs w:val="22"/>
        </w:rPr>
      </w:pPr>
    </w:p>
    <w:p w14:paraId="5A7B1918" w14:textId="77777777" w:rsidR="00FF043E" w:rsidRDefault="00FF043E" w:rsidP="002038D4">
      <w:pPr>
        <w:rPr>
          <w:b/>
          <w:bCs/>
          <w:szCs w:val="22"/>
        </w:rPr>
      </w:pPr>
      <w:r w:rsidRPr="00FF043E">
        <w:rPr>
          <w:b/>
          <w:bCs/>
          <w:szCs w:val="22"/>
        </w:rPr>
        <w:t>2.1.5 Sugestões de Melhoria da Estrutura Organizacional</w:t>
      </w:r>
    </w:p>
    <w:p w14:paraId="1F392DCE" w14:textId="6207A613" w:rsidR="002038D4" w:rsidRDefault="002038D4" w:rsidP="002038D4">
      <w:pPr>
        <w:rPr>
          <w:szCs w:val="22"/>
        </w:rPr>
      </w:pPr>
      <w:r w:rsidRPr="002038D4">
        <w:rPr>
          <w:szCs w:val="22"/>
        </w:rPr>
        <w:t xml:space="preserve">Com base na análise estrutural realizada, identificam-se oportunidades de melhoria que podem reforçar a eficiência e a capacidade de adaptação do Porto de </w:t>
      </w:r>
      <w:proofErr w:type="spellStart"/>
      <w:r w:rsidRPr="002038D4">
        <w:rPr>
          <w:szCs w:val="22"/>
        </w:rPr>
        <w:t>Thessaloniki</w:t>
      </w:r>
      <w:proofErr w:type="spellEnd"/>
      <w:r w:rsidRPr="002038D4">
        <w:rPr>
          <w:szCs w:val="22"/>
        </w:rPr>
        <w:t xml:space="preserve"> (</w:t>
      </w:r>
      <w:proofErr w:type="spellStart"/>
      <w:r w:rsidRPr="002038D4">
        <w:rPr>
          <w:szCs w:val="22"/>
        </w:rPr>
        <w:t>ThPA</w:t>
      </w:r>
      <w:proofErr w:type="spellEnd"/>
      <w:r w:rsidRPr="002038D4">
        <w:rPr>
          <w:szCs w:val="22"/>
        </w:rPr>
        <w:t xml:space="preserve"> S.A.). As propostas concentram-se em três dimensões principais: simplificação hierárquica, fortalecimento da comunicação interna e valorização da autonomia operacional.</w:t>
      </w:r>
    </w:p>
    <w:p w14:paraId="3FA860AC" w14:textId="77777777" w:rsidR="002038D4" w:rsidRPr="002038D4" w:rsidRDefault="002038D4" w:rsidP="002038D4">
      <w:pPr>
        <w:rPr>
          <w:szCs w:val="22"/>
        </w:rPr>
      </w:pPr>
    </w:p>
    <w:p w14:paraId="1D0ECC2C" w14:textId="77777777" w:rsidR="002038D4" w:rsidRDefault="002038D4" w:rsidP="002038D4">
      <w:pPr>
        <w:rPr>
          <w:b/>
          <w:bCs/>
          <w:szCs w:val="22"/>
        </w:rPr>
      </w:pPr>
      <w:r w:rsidRPr="002038D4">
        <w:rPr>
          <w:b/>
          <w:bCs/>
          <w:szCs w:val="22"/>
        </w:rPr>
        <w:t>1. Estrutura Hierárquica e Autonomia</w:t>
      </w:r>
    </w:p>
    <w:p w14:paraId="6F9EF340" w14:textId="42E0E00B" w:rsidR="002038D4" w:rsidRDefault="001C1921" w:rsidP="002038D4">
      <w:pPr>
        <w:rPr>
          <w:szCs w:val="22"/>
        </w:rPr>
      </w:pPr>
      <w:r w:rsidRPr="001C1921">
        <w:rPr>
          <w:szCs w:val="22"/>
        </w:rPr>
        <w:t xml:space="preserve">Apesar de a </w:t>
      </w:r>
      <w:proofErr w:type="spellStart"/>
      <w:r w:rsidRPr="001C1921">
        <w:rPr>
          <w:szCs w:val="22"/>
        </w:rPr>
        <w:t>ThPA</w:t>
      </w:r>
      <w:proofErr w:type="spellEnd"/>
      <w:r w:rsidRPr="001C1921">
        <w:rPr>
          <w:szCs w:val="22"/>
        </w:rPr>
        <w:t xml:space="preserve"> S.A. apresentar uma estrutura sólida e funcional, o processo decisório tende a ser centralizado, uma vez que as principais decisões passam pelos níveis superiores da hierarquia. Essa concentração de autoridade pode reduzir a agilidade organizacional e atrasar a implementação de medidas operacionais. Recomenda-se o reforço da autonomia das chefias operacionais e departamentais, permitindo que resolvam questões de rotina de forma mais rápida e eficiente, sem comprometer o controlo da gestão de topo. Ao clarificar responsabilidades e limites de autoridade, a organização poderia melhorar a velocidade de resposta a imprevistos e a coordenação entre áreas.</w:t>
      </w:r>
    </w:p>
    <w:p w14:paraId="30D1F8C2" w14:textId="77777777" w:rsidR="002038D4" w:rsidRPr="002038D4" w:rsidRDefault="002038D4" w:rsidP="002038D4">
      <w:pPr>
        <w:rPr>
          <w:szCs w:val="22"/>
        </w:rPr>
      </w:pPr>
    </w:p>
    <w:p w14:paraId="21E73509" w14:textId="77777777" w:rsidR="002038D4" w:rsidRDefault="002038D4" w:rsidP="002038D4">
      <w:pPr>
        <w:rPr>
          <w:b/>
          <w:bCs/>
          <w:szCs w:val="22"/>
        </w:rPr>
      </w:pPr>
      <w:r w:rsidRPr="002038D4">
        <w:rPr>
          <w:b/>
          <w:bCs/>
          <w:szCs w:val="22"/>
        </w:rPr>
        <w:t>2. Comunicação e Coordenação Interna</w:t>
      </w:r>
    </w:p>
    <w:p w14:paraId="3FE6E007" w14:textId="47FFE9CD" w:rsidR="002038D4" w:rsidRDefault="002038D4" w:rsidP="002038D4">
      <w:pPr>
        <w:rPr>
          <w:szCs w:val="22"/>
        </w:rPr>
      </w:pPr>
      <w:r w:rsidRPr="002038D4">
        <w:rPr>
          <w:szCs w:val="22"/>
        </w:rPr>
        <w:t>O desempenho portuário depende fortemente da cooperação entre divisões funcionais. A criação de grupos de trabalho multidisciplinares — integrando representantes de Operações, Logística, Manutenção e Tecnologia — poderia facilitar a resolução diária de problemas e promover uma cultura de colaboração. Reuniões curtas e regulares entre gestores de diferentes áreas ajudariam a alinhar objetivos, reduzir falhas de comunicação e fomentar decisões mais coordenadas.</w:t>
      </w:r>
    </w:p>
    <w:p w14:paraId="3FCC241F" w14:textId="77777777" w:rsidR="002038D4" w:rsidRPr="002038D4" w:rsidRDefault="002038D4" w:rsidP="002038D4">
      <w:pPr>
        <w:rPr>
          <w:szCs w:val="22"/>
        </w:rPr>
      </w:pPr>
    </w:p>
    <w:p w14:paraId="64899DF5" w14:textId="77777777" w:rsidR="002038D4" w:rsidRDefault="002038D4" w:rsidP="002038D4">
      <w:pPr>
        <w:rPr>
          <w:b/>
          <w:bCs/>
          <w:szCs w:val="22"/>
        </w:rPr>
      </w:pPr>
      <w:r w:rsidRPr="002038D4">
        <w:rPr>
          <w:b/>
          <w:bCs/>
          <w:szCs w:val="22"/>
        </w:rPr>
        <w:t>3. Melhoria Contínua e Envolvimento das Equipas</w:t>
      </w:r>
    </w:p>
    <w:p w14:paraId="172D3719" w14:textId="3FB93537" w:rsidR="002038D4" w:rsidRDefault="002038D4" w:rsidP="002038D4">
      <w:pPr>
        <w:rPr>
          <w:szCs w:val="22"/>
        </w:rPr>
      </w:pPr>
      <w:r w:rsidRPr="002038D4">
        <w:rPr>
          <w:szCs w:val="22"/>
        </w:rPr>
        <w:t>A eficiência organizacional pode ser reforçada através da criação de mecanismos simples de melhoria contínua, permitindo que as equipas operacionais proponham ajustes e soluções com base na sua experiência direta. Esse modelo participativo favorece o compromisso com os resultados e estimula uma cultura de aprendizagem interna. Pequenas melhorias progressivas nos processos de trabalho poderiam gerar ganhos sustentáveis de produtividade e qualidade.</w:t>
      </w:r>
    </w:p>
    <w:p w14:paraId="62D2F518" w14:textId="77777777" w:rsidR="001C1921" w:rsidRPr="002038D4" w:rsidRDefault="001C1921" w:rsidP="002038D4">
      <w:pPr>
        <w:rPr>
          <w:szCs w:val="22"/>
        </w:rPr>
      </w:pPr>
    </w:p>
    <w:p w14:paraId="3CA789A8" w14:textId="77777777" w:rsidR="002038D4" w:rsidRPr="002038D4" w:rsidRDefault="002038D4" w:rsidP="002038D4">
      <w:pPr>
        <w:rPr>
          <w:szCs w:val="22"/>
        </w:rPr>
      </w:pPr>
      <w:r w:rsidRPr="002038D4">
        <w:rPr>
          <w:szCs w:val="22"/>
        </w:rPr>
        <w:t xml:space="preserve">Em síntese, as propostas apresentadas visam tornar a estrutura da </w:t>
      </w:r>
      <w:proofErr w:type="spellStart"/>
      <w:r w:rsidRPr="002038D4">
        <w:rPr>
          <w:szCs w:val="22"/>
        </w:rPr>
        <w:t>ThPA</w:t>
      </w:r>
      <w:proofErr w:type="spellEnd"/>
      <w:r w:rsidRPr="002038D4">
        <w:rPr>
          <w:szCs w:val="22"/>
        </w:rPr>
        <w:t xml:space="preserve"> S.A. mais ágil e colaborativa, sem comprometer a sua estabilidade institucional. O equilíbrio entre controlo e autonomia, aliado a uma comunicação mais fluida e à valorização do contributo das equipas, pode aumentar significativamente a capacidade de resposta e o desempenho global da organização.</w:t>
      </w:r>
    </w:p>
    <w:p w14:paraId="133EAC53" w14:textId="74C1A8C6" w:rsidR="00C811F8" w:rsidRDefault="00C811F8" w:rsidP="5BAF54ED"/>
    <w:p w14:paraId="2447987B" w14:textId="297FB6F9" w:rsidR="00B731BA" w:rsidRDefault="00B731BA" w:rsidP="00B731BA">
      <w:pPr>
        <w:pStyle w:val="Ttulo2"/>
      </w:pPr>
      <w:bookmarkStart w:id="15" w:name="_Toc212025367"/>
      <w:r>
        <w:t>II.</w:t>
      </w:r>
      <w:r w:rsidR="00AD196B">
        <w:t>2</w:t>
      </w:r>
      <w:r>
        <w:t xml:space="preserve"> </w:t>
      </w:r>
      <w:r w:rsidR="00AD196B">
        <w:t>Planeamento</w:t>
      </w:r>
      <w:bookmarkEnd w:id="15"/>
    </w:p>
    <w:p w14:paraId="5859A7C7" w14:textId="77777777" w:rsidR="00FF043E" w:rsidRDefault="00FF043E" w:rsidP="006F6E41">
      <w:pPr>
        <w:rPr>
          <w:b/>
          <w:bCs/>
        </w:rPr>
      </w:pPr>
      <w:r w:rsidRPr="00FF043E">
        <w:rPr>
          <w:b/>
          <w:bCs/>
        </w:rPr>
        <w:t>2.2.1 Missão</w:t>
      </w:r>
      <w:r w:rsidRPr="00FF043E">
        <w:rPr>
          <w:b/>
          <w:bCs/>
        </w:rPr>
        <w:t xml:space="preserve"> </w:t>
      </w:r>
    </w:p>
    <w:p w14:paraId="75C49C0B" w14:textId="2937AFA2" w:rsidR="00D105FA" w:rsidRDefault="001C1921" w:rsidP="006F6E41">
      <w:r>
        <w:t>“</w:t>
      </w:r>
      <w:r w:rsidRPr="001C1921">
        <w:t xml:space="preserve">To </w:t>
      </w:r>
      <w:proofErr w:type="spellStart"/>
      <w:r w:rsidRPr="001C1921">
        <w:t>provide</w:t>
      </w:r>
      <w:proofErr w:type="spellEnd"/>
      <w:r w:rsidRPr="001C1921">
        <w:t xml:space="preserve"> </w:t>
      </w:r>
      <w:proofErr w:type="spellStart"/>
      <w:r w:rsidRPr="001C1921">
        <w:t>an</w:t>
      </w:r>
      <w:proofErr w:type="spellEnd"/>
      <w:r w:rsidRPr="001C1921">
        <w:t xml:space="preserve"> </w:t>
      </w:r>
      <w:proofErr w:type="spellStart"/>
      <w:r w:rsidRPr="001C1921">
        <w:t>evolving</w:t>
      </w:r>
      <w:proofErr w:type="spellEnd"/>
      <w:r w:rsidRPr="001C1921">
        <w:t xml:space="preserve">, </w:t>
      </w:r>
      <w:proofErr w:type="spellStart"/>
      <w:r w:rsidRPr="001C1921">
        <w:t>efficient</w:t>
      </w:r>
      <w:proofErr w:type="spellEnd"/>
      <w:r w:rsidRPr="001C1921">
        <w:t xml:space="preserve"> </w:t>
      </w:r>
      <w:proofErr w:type="spellStart"/>
      <w:r w:rsidRPr="001C1921">
        <w:t>and</w:t>
      </w:r>
      <w:proofErr w:type="spellEnd"/>
      <w:r w:rsidRPr="001C1921">
        <w:t xml:space="preserve"> </w:t>
      </w:r>
      <w:proofErr w:type="spellStart"/>
      <w:r w:rsidRPr="001C1921">
        <w:t>reliable</w:t>
      </w:r>
      <w:proofErr w:type="spellEnd"/>
      <w:r w:rsidRPr="001C1921">
        <w:t xml:space="preserve"> intermodal network, </w:t>
      </w:r>
      <w:proofErr w:type="spellStart"/>
      <w:r w:rsidRPr="001C1921">
        <w:t>which</w:t>
      </w:r>
      <w:proofErr w:type="spellEnd"/>
      <w:r w:rsidRPr="001C1921">
        <w:t xml:space="preserve"> </w:t>
      </w:r>
      <w:proofErr w:type="spellStart"/>
      <w:r w:rsidRPr="001C1921">
        <w:t>safeguards</w:t>
      </w:r>
      <w:proofErr w:type="spellEnd"/>
      <w:r w:rsidRPr="001C1921">
        <w:t xml:space="preserve"> </w:t>
      </w:r>
      <w:proofErr w:type="spellStart"/>
      <w:r w:rsidRPr="001C1921">
        <w:t>and</w:t>
      </w:r>
      <w:proofErr w:type="spellEnd"/>
      <w:r w:rsidRPr="001C1921">
        <w:t xml:space="preserve"> upgrades </w:t>
      </w:r>
      <w:proofErr w:type="spellStart"/>
      <w:r w:rsidRPr="001C1921">
        <w:t>the</w:t>
      </w:r>
      <w:proofErr w:type="spellEnd"/>
      <w:r w:rsidRPr="001C1921">
        <w:t xml:space="preserve"> </w:t>
      </w:r>
      <w:proofErr w:type="spellStart"/>
      <w:r w:rsidRPr="001C1921">
        <w:t>supply</w:t>
      </w:r>
      <w:proofErr w:type="spellEnd"/>
      <w:r w:rsidRPr="001C1921">
        <w:t xml:space="preserve"> </w:t>
      </w:r>
      <w:proofErr w:type="spellStart"/>
      <w:r w:rsidRPr="001C1921">
        <w:t>chain</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w:t>
      </w:r>
      <w:proofErr w:type="spellStart"/>
      <w:r w:rsidRPr="001C1921">
        <w:t>broader</w:t>
      </w:r>
      <w:proofErr w:type="spellEnd"/>
      <w:r w:rsidRPr="001C1921">
        <w:t xml:space="preserve"> </w:t>
      </w:r>
      <w:proofErr w:type="spellStart"/>
      <w:r w:rsidRPr="001C1921">
        <w:t>region</w:t>
      </w:r>
      <w:proofErr w:type="spellEnd"/>
      <w:r w:rsidRPr="001C1921">
        <w:t xml:space="preserve">, </w:t>
      </w:r>
      <w:proofErr w:type="spellStart"/>
      <w:r w:rsidRPr="001C1921">
        <w:t>while</w:t>
      </w:r>
      <w:proofErr w:type="spellEnd"/>
      <w:r w:rsidRPr="001C1921">
        <w:t xml:space="preserve"> </w:t>
      </w:r>
      <w:proofErr w:type="spellStart"/>
      <w:r w:rsidRPr="001C1921">
        <w:t>actively</w:t>
      </w:r>
      <w:proofErr w:type="spellEnd"/>
      <w:r w:rsidRPr="001C1921">
        <w:t xml:space="preserve"> </w:t>
      </w:r>
      <w:proofErr w:type="spellStart"/>
      <w:r w:rsidRPr="001C1921">
        <w:t>contributing</w:t>
      </w:r>
      <w:proofErr w:type="spellEnd"/>
      <w:r w:rsidRPr="001C1921">
        <w:t xml:space="preserve"> to </w:t>
      </w:r>
      <w:proofErr w:type="spellStart"/>
      <w:r w:rsidRPr="001C1921">
        <w:t>the</w:t>
      </w:r>
      <w:proofErr w:type="spellEnd"/>
      <w:r w:rsidRPr="001C1921">
        <w:t xml:space="preserve"> </w:t>
      </w:r>
      <w:proofErr w:type="spellStart"/>
      <w:r w:rsidRPr="001C1921">
        <w:t>growth</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business </w:t>
      </w:r>
      <w:proofErr w:type="spellStart"/>
      <w:r w:rsidRPr="001C1921">
        <w:t>partners</w:t>
      </w:r>
      <w:proofErr w:type="spellEnd"/>
      <w:r w:rsidRPr="001C1921">
        <w:t xml:space="preserve">, </w:t>
      </w:r>
      <w:proofErr w:type="spellStart"/>
      <w:r w:rsidRPr="001C1921">
        <w:t>delivering</w:t>
      </w:r>
      <w:proofErr w:type="spellEnd"/>
      <w:r w:rsidRPr="001C1921">
        <w:t xml:space="preserve"> </w:t>
      </w:r>
      <w:proofErr w:type="spellStart"/>
      <w:r w:rsidRPr="001C1921">
        <w:t>value</w:t>
      </w:r>
      <w:proofErr w:type="spellEnd"/>
      <w:r w:rsidRPr="001C1921">
        <w:t xml:space="preserve"> to </w:t>
      </w:r>
      <w:proofErr w:type="spellStart"/>
      <w:r w:rsidRPr="001C1921">
        <w:t>all</w:t>
      </w:r>
      <w:proofErr w:type="spellEnd"/>
      <w:r w:rsidRPr="001C1921">
        <w:t xml:space="preserve"> </w:t>
      </w:r>
      <w:proofErr w:type="spellStart"/>
      <w:r w:rsidRPr="001C1921">
        <w:t>stakeholders</w:t>
      </w:r>
      <w:proofErr w:type="spellEnd"/>
      <w:r w:rsidRPr="001C1921">
        <w:t xml:space="preserve"> </w:t>
      </w:r>
      <w:proofErr w:type="spellStart"/>
      <w:r w:rsidRPr="001C1921">
        <w:t>and</w:t>
      </w:r>
      <w:proofErr w:type="spellEnd"/>
      <w:r w:rsidRPr="001C1921">
        <w:t xml:space="preserve"> </w:t>
      </w:r>
      <w:proofErr w:type="spellStart"/>
      <w:r w:rsidRPr="001C1921">
        <w:t>society</w:t>
      </w:r>
      <w:proofErr w:type="spellEnd"/>
      <w:r w:rsidRPr="001C1921">
        <w:t xml:space="preserve">, </w:t>
      </w:r>
      <w:proofErr w:type="spellStart"/>
      <w:r w:rsidRPr="001C1921">
        <w:t>while</w:t>
      </w:r>
      <w:proofErr w:type="spellEnd"/>
      <w:r w:rsidRPr="001C1921">
        <w:t xml:space="preserve"> </w:t>
      </w:r>
      <w:proofErr w:type="spellStart"/>
      <w:r w:rsidRPr="001C1921">
        <w:t>promoting</w:t>
      </w:r>
      <w:proofErr w:type="spellEnd"/>
      <w:r w:rsidRPr="001C1921">
        <w:t xml:space="preserve"> </w:t>
      </w:r>
      <w:proofErr w:type="spellStart"/>
      <w:proofErr w:type="gramStart"/>
      <w:r w:rsidRPr="001C1921">
        <w:t>sustainability.To</w:t>
      </w:r>
      <w:proofErr w:type="spellEnd"/>
      <w:proofErr w:type="gramEnd"/>
      <w:r w:rsidRPr="001C1921">
        <w:t xml:space="preserve">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912187403"/>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0360A388" w14:textId="18F68F4F" w:rsidR="00257DDB" w:rsidRDefault="006800DE" w:rsidP="006F6E41">
      <w:r w:rsidRPr="006800DE">
        <w:t xml:space="preserve">A missão da </w:t>
      </w:r>
      <w:proofErr w:type="spellStart"/>
      <w:r w:rsidRPr="006800DE">
        <w:t>ThPA</w:t>
      </w:r>
      <w:proofErr w:type="spellEnd"/>
      <w:r w:rsidRPr="006800DE">
        <w:t xml:space="preserve"> S.A. destaca o compromisso com a eficiência operacional, a fiabilidade e a sustentabilidade, associando o seu papel central à conetividade intermodal e à contribuição para o desenvolvimento económico da região. O texto reflete uma orientação clara para a criação de valor partilhado — económico, social e ambiental —, em linha com as tendências europeias de responsabilidade corporativa. A missão é operacionalmente relevante, pois relaciona diretamente o propósito da organização com o reforço da cadeia logística e a expansão das ligações ferroviárias internacionais, o que evidencia coerência entre o propósito institucional e as atividades-chave do porto.</w:t>
      </w:r>
    </w:p>
    <w:p w14:paraId="27F2AAF2" w14:textId="77777777" w:rsidR="001C1921" w:rsidRDefault="001C1921" w:rsidP="006F6E41"/>
    <w:p w14:paraId="07420AB5" w14:textId="77777777" w:rsidR="00FF043E" w:rsidRDefault="00FF043E" w:rsidP="006F6E41">
      <w:pPr>
        <w:rPr>
          <w:b/>
          <w:bCs/>
        </w:rPr>
      </w:pPr>
      <w:r w:rsidRPr="00FF043E">
        <w:rPr>
          <w:b/>
          <w:bCs/>
        </w:rPr>
        <w:t>2.2.2 Visão</w:t>
      </w:r>
      <w:r w:rsidRPr="00FF043E">
        <w:rPr>
          <w:b/>
          <w:bCs/>
        </w:rPr>
        <w:t xml:space="preserve"> </w:t>
      </w:r>
    </w:p>
    <w:p w14:paraId="03B45066" w14:textId="0F7B463B" w:rsidR="00AA4D06" w:rsidRDefault="001C1921" w:rsidP="006F6E41">
      <w:r>
        <w:t>“</w:t>
      </w:r>
      <w:proofErr w:type="spellStart"/>
      <w:r w:rsidRPr="001C1921">
        <w:t>We</w:t>
      </w:r>
      <w:proofErr w:type="spellEnd"/>
      <w:r w:rsidRPr="001C1921">
        <w:t xml:space="preserve"> aspire to </w:t>
      </w:r>
      <w:proofErr w:type="spellStart"/>
      <w:r w:rsidRPr="001C1921">
        <w:t>be</w:t>
      </w:r>
      <w:proofErr w:type="spellEnd"/>
      <w:r w:rsidRPr="001C1921">
        <w:t xml:space="preserve"> more </w:t>
      </w:r>
      <w:proofErr w:type="spellStart"/>
      <w:r w:rsidRPr="001C1921">
        <w:t>than</w:t>
      </w:r>
      <w:proofErr w:type="spellEnd"/>
      <w:r w:rsidRPr="001C1921">
        <w:t xml:space="preserve"> a </w:t>
      </w:r>
      <w:proofErr w:type="spellStart"/>
      <w:r w:rsidRPr="001C1921">
        <w:t>port</w:t>
      </w:r>
      <w:proofErr w:type="spellEnd"/>
      <w:r w:rsidRPr="001C1921">
        <w:t xml:space="preserve">, to </w:t>
      </w:r>
      <w:proofErr w:type="spellStart"/>
      <w:r w:rsidRPr="001C1921">
        <w:t>be</w:t>
      </w:r>
      <w:proofErr w:type="spellEnd"/>
      <w:r w:rsidRPr="001C1921">
        <w:t xml:space="preserve"> </w:t>
      </w:r>
      <w:proofErr w:type="spellStart"/>
      <w:r w:rsidRPr="001C1921">
        <w:t>the</w:t>
      </w:r>
      <w:proofErr w:type="spellEnd"/>
      <w:r w:rsidRPr="001C1921">
        <w:t xml:space="preserve"> </w:t>
      </w:r>
      <w:proofErr w:type="spellStart"/>
      <w:r w:rsidRPr="001C1921">
        <w:t>multi-gateway</w:t>
      </w:r>
      <w:proofErr w:type="spellEnd"/>
      <w:r w:rsidRPr="001C1921">
        <w:t xml:space="preserve"> intermodal network </w:t>
      </w:r>
      <w:proofErr w:type="spellStart"/>
      <w:r w:rsidRPr="001C1921">
        <w:t>and</w:t>
      </w:r>
      <w:proofErr w:type="spellEnd"/>
      <w:r w:rsidRPr="001C1921">
        <w:t xml:space="preserve"> </w:t>
      </w:r>
      <w:proofErr w:type="spellStart"/>
      <w:r w:rsidRPr="001C1921">
        <w:t>logistics</w:t>
      </w:r>
      <w:proofErr w:type="spellEnd"/>
      <w:r w:rsidRPr="001C1921">
        <w:t xml:space="preserve"> </w:t>
      </w:r>
      <w:proofErr w:type="spellStart"/>
      <w:r w:rsidRPr="001C1921">
        <w:t>solutions</w:t>
      </w:r>
      <w:proofErr w:type="spellEnd"/>
      <w:r w:rsidRPr="001C1921">
        <w:t xml:space="preserve"> </w:t>
      </w:r>
      <w:proofErr w:type="spellStart"/>
      <w:r w:rsidRPr="001C1921">
        <w:t>provider</w:t>
      </w:r>
      <w:proofErr w:type="spellEnd"/>
      <w:r w:rsidRPr="001C1921">
        <w:t xml:space="preserve"> for </w:t>
      </w:r>
      <w:proofErr w:type="spellStart"/>
      <w:r w:rsidRPr="001C1921">
        <w:t>the</w:t>
      </w:r>
      <w:proofErr w:type="spellEnd"/>
      <w:r w:rsidRPr="001C1921">
        <w:t xml:space="preserve"> </w:t>
      </w:r>
      <w:proofErr w:type="spellStart"/>
      <w:r w:rsidRPr="001C1921">
        <w:t>Balkans</w:t>
      </w:r>
      <w:proofErr w:type="spellEnd"/>
      <w:r w:rsidRPr="001C1921">
        <w:t xml:space="preserve"> </w:t>
      </w:r>
      <w:proofErr w:type="spellStart"/>
      <w:r w:rsidRPr="001C1921">
        <w:t>and</w:t>
      </w:r>
      <w:proofErr w:type="spellEnd"/>
      <w:r w:rsidRPr="001C1921">
        <w:t xml:space="preserve"> </w:t>
      </w:r>
      <w:proofErr w:type="spellStart"/>
      <w:r w:rsidRPr="001C1921">
        <w:t>the</w:t>
      </w:r>
      <w:proofErr w:type="spellEnd"/>
      <w:r w:rsidRPr="001C1921">
        <w:t xml:space="preserve"> </w:t>
      </w:r>
      <w:proofErr w:type="spellStart"/>
      <w:r w:rsidRPr="001C1921">
        <w:t>broader</w:t>
      </w:r>
      <w:proofErr w:type="spellEnd"/>
      <w:r w:rsidRPr="001C1921">
        <w:t xml:space="preserve"> </w:t>
      </w:r>
      <w:proofErr w:type="spellStart"/>
      <w:r w:rsidRPr="001C1921">
        <w:t>Southeast</w:t>
      </w:r>
      <w:proofErr w:type="spellEnd"/>
      <w:r w:rsidRPr="001C1921">
        <w:t xml:space="preserve">, Central </w:t>
      </w:r>
      <w:proofErr w:type="spellStart"/>
      <w:r w:rsidRPr="001C1921">
        <w:t>and</w:t>
      </w:r>
      <w:proofErr w:type="spellEnd"/>
      <w:r w:rsidRPr="001C1921">
        <w:t xml:space="preserve"> </w:t>
      </w:r>
      <w:proofErr w:type="spellStart"/>
      <w:r w:rsidRPr="001C1921">
        <w:t>Eastern</w:t>
      </w:r>
      <w:proofErr w:type="spellEnd"/>
      <w:r w:rsidRPr="001C1921">
        <w:t xml:space="preserve"> </w:t>
      </w:r>
      <w:proofErr w:type="spellStart"/>
      <w:r w:rsidRPr="001C1921">
        <w:t>European</w:t>
      </w:r>
      <w:proofErr w:type="spellEnd"/>
      <w:r w:rsidRPr="001C1921">
        <w:t xml:space="preserve"> </w:t>
      </w:r>
      <w:proofErr w:type="spellStart"/>
      <w:r w:rsidRPr="001C1921">
        <w:t>region</w:t>
      </w:r>
      <w:proofErr w:type="spellEnd"/>
      <w:r w:rsidRPr="001C1921">
        <w:t>.</w:t>
      </w:r>
      <w:r>
        <w:t>”</w:t>
      </w:r>
      <w:sdt>
        <w:sdtPr>
          <w:id w:val="871508084"/>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7AA1576F" w14:textId="45E7FD9B" w:rsidR="00257DDB" w:rsidRDefault="006800DE" w:rsidP="006F6E41">
      <w:r w:rsidRPr="006800DE">
        <w:t xml:space="preserve">A visão da </w:t>
      </w:r>
      <w:proofErr w:type="spellStart"/>
      <w:r w:rsidRPr="006800DE">
        <w:t>ThPA</w:t>
      </w:r>
      <w:proofErr w:type="spellEnd"/>
      <w:r w:rsidRPr="006800DE">
        <w:t xml:space="preserve"> S.A. apresenta uma perspetiva ambiciosa e transformadora, ao posicionar o porto como um polo logístico intermodal de referência regional. Ao afirmar o objetivo de ser “mais do que um porto”, a organização evidencia uma intenção estratégica de diversificação e integração de serviços logísticos e de transporte, indo além da tradicional movimentação de cargas. Esta visão é coerente com as dinâmicas do setor portuário europeu, que privilegiam soluções integradas e digitalizadas. Contudo, o seu cumprimento requer forte coordenação entre as divisões e investimento contínuo em tecnologia, parcerias e sustentabilidade — áreas já mencionadas na sua missão.</w:t>
      </w:r>
    </w:p>
    <w:p w14:paraId="076C8654" w14:textId="77777777" w:rsidR="001C1921" w:rsidRDefault="001C1921" w:rsidP="006F6E41"/>
    <w:p w14:paraId="191F126B" w14:textId="77777777" w:rsidR="00FF043E" w:rsidRDefault="00FF043E" w:rsidP="006F6E41">
      <w:pPr>
        <w:rPr>
          <w:b/>
          <w:bCs/>
        </w:rPr>
      </w:pPr>
      <w:r w:rsidRPr="00FF043E">
        <w:rPr>
          <w:b/>
          <w:bCs/>
        </w:rPr>
        <w:t>2.2.3 Valores e Princípios</w:t>
      </w:r>
      <w:r w:rsidRPr="00FF043E">
        <w:rPr>
          <w:b/>
          <w:bCs/>
        </w:rPr>
        <w:t xml:space="preserve"> </w:t>
      </w:r>
    </w:p>
    <w:p w14:paraId="6654B171" w14:textId="6A59FBD5" w:rsidR="00D105FA" w:rsidRDefault="001C1921" w:rsidP="006F6E41">
      <w:r>
        <w:t>“</w:t>
      </w:r>
      <w:r w:rsidRPr="001C1921">
        <w:t xml:space="preserve">To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270122328"/>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2AEA4995" w14:textId="17D00AF9" w:rsidR="00257DDB" w:rsidRDefault="006800DE" w:rsidP="006F6E41">
      <w:r w:rsidRPr="006800DE">
        <w:t xml:space="preserve">Embora a formulação apresentada como “valores” repita parcialmente a missão, é possível inferir que os princípios orientadores da </w:t>
      </w:r>
      <w:proofErr w:type="spellStart"/>
      <w:r w:rsidRPr="006800DE">
        <w:t>ThPA</w:t>
      </w:r>
      <w:proofErr w:type="spellEnd"/>
      <w:r w:rsidRPr="006800DE">
        <w:t xml:space="preserve"> S.A. se baseiam em três pilares fundamentais:</w:t>
      </w:r>
      <w:r w:rsidRPr="00F93958">
        <w:t xml:space="preserve"> sustentabilidade, eficiência operacional e colaboração regional. </w:t>
      </w:r>
      <w:r w:rsidRPr="006800DE">
        <w:t>Estes valores traduzem-se numa postura corporativa voltada para a melhoria contínua e para o equilíbrio entre competitividade económica e responsabilidade social. No entanto, a falta de uma declaração explícita de valores éticos, de inovação ou de foco no cliente limita a clareza cultural e o alinhamento comportamental interno, aspetos que poderiam reforçar a identidade organizacional e a coerência entre discurso e prática.</w:t>
      </w:r>
    </w:p>
    <w:p w14:paraId="53C45C9C" w14:textId="77777777" w:rsidR="006800DE" w:rsidRDefault="006800DE" w:rsidP="006F6E41"/>
    <w:p w14:paraId="696CEAD0" w14:textId="03504A80" w:rsidR="001C1921" w:rsidRPr="00FF043E" w:rsidRDefault="00FF043E" w:rsidP="006F6E41">
      <w:pPr>
        <w:rPr>
          <w:b/>
          <w:bCs/>
        </w:rPr>
      </w:pPr>
      <w:r w:rsidRPr="00FF043E">
        <w:rPr>
          <w:b/>
          <w:bCs/>
        </w:rPr>
        <w:t>2.2.4 Objetivos SMART por Nível de Gestão</w:t>
      </w:r>
    </w:p>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306C6C0A" w14:textId="77777777" w:rsidR="00C36D1A" w:rsidRPr="00C36D1A" w:rsidRDefault="00C36D1A" w:rsidP="00C36D1A">
      <w:r w:rsidRPr="00C36D1A">
        <w:t>Até ao final de 2027, implementar um sistema de relatórios trimestrais de desempenho ambiental em todos os terminais, consolidando indicadores de consumo energético, emissões e qualidade do ar, em coordenação com as Divisões de Operações, Planeamento Estratégico e HSEQ (Saúde, Segurança, Ambiente e Qualidade), de forma a apoiar a tomada de decisão interna.</w:t>
      </w:r>
    </w:p>
    <w:p w14:paraId="4A7984FD" w14:textId="77777777" w:rsidR="00C36D1A" w:rsidRPr="00C36D1A" w:rsidRDefault="00C36D1A" w:rsidP="00C36D1A">
      <w:r w:rsidRPr="00C36D1A">
        <w:t>Este objetivo integra-se no nível tático porque envolve a ação das chefias intermédias e a articulação entre diferentes áreas funcionais, transformando a orientação estratégica em procedimentos e mecanismos de controlo concretos.</w:t>
      </w:r>
    </w:p>
    <w:p w14:paraId="019422F8" w14:textId="77777777" w:rsidR="00D45D96" w:rsidRDefault="00D45D96" w:rsidP="006F6E41"/>
    <w:p w14:paraId="5A099E23" w14:textId="0469F143" w:rsidR="00D45D96" w:rsidRDefault="00D45D96" w:rsidP="006F6E41">
      <w:pPr>
        <w:rPr>
          <w:b/>
          <w:bCs/>
        </w:rPr>
      </w:pPr>
      <w:r w:rsidRPr="00D45D96">
        <w:rPr>
          <w:b/>
          <w:bCs/>
        </w:rPr>
        <w:lastRenderedPageBreak/>
        <w:t>Nível Operacional</w:t>
      </w:r>
    </w:p>
    <w:p w14:paraId="001FB674" w14:textId="77777777" w:rsidR="00A1737F" w:rsidRPr="00A1737F" w:rsidRDefault="00A1737F" w:rsidP="00A1737F">
      <w:r w:rsidRPr="00A1737F">
        <w:t>A partir do primeiro trimestre de 2027, garantir que 100% dos operadores de maquinaria portuária cumprem os novos procedimentos ecológicos de operação (como desligar motores em períodos de inatividade superiores a cinco minutos e utilizar modos económicos dos equipamentos), com monitorização semanal e registo de não conformidades, sob supervisão das chefias operacionais.</w:t>
      </w:r>
    </w:p>
    <w:p w14:paraId="5BA722E8" w14:textId="77777777" w:rsidR="00A1737F" w:rsidRPr="00A1737F" w:rsidRDefault="00A1737F" w:rsidP="00A1737F">
      <w:r w:rsidRPr="00A1737F">
        <w:t>Este objetivo enquadra-se no nível operacional porque foca a execução direta e diária das atividades no terreno. Depende da atuação dos trabalhadores operacionais, do cumprimento rigoroso de procedimentos e da aplicação prática das orientações definidas pelos gestores. A sua medição frequente permite ajustar comportamentos e garantir melhoria contínua no desempenho ambiental.</w:t>
      </w:r>
    </w:p>
    <w:p w14:paraId="7EED0D60" w14:textId="3CF2494E" w:rsidR="00B731BA" w:rsidRDefault="00B731BA" w:rsidP="00C811F8"/>
    <w:p w14:paraId="24A1335B" w14:textId="0A3905C3" w:rsidR="00FF043E" w:rsidRPr="00FF043E" w:rsidRDefault="00FF043E" w:rsidP="00C811F8">
      <w:pPr>
        <w:rPr>
          <w:b/>
          <w:bCs/>
        </w:rPr>
      </w:pPr>
      <w:r w:rsidRPr="00FF043E">
        <w:rPr>
          <w:b/>
          <w:bCs/>
        </w:rPr>
        <w:t>II.3 Análise SWOT</w:t>
      </w:r>
    </w:p>
    <w:p w14:paraId="467A6B54" w14:textId="4B978796" w:rsidR="00CC6EAA" w:rsidRPr="00CC6EAA" w:rsidRDefault="00FF043E" w:rsidP="00FF043E">
      <w:pPr>
        <w:jc w:val="center"/>
        <w:rPr>
          <w:b/>
          <w:bCs/>
        </w:rPr>
      </w:pPr>
      <w:r>
        <w:rPr>
          <w:b/>
          <w:bCs/>
        </w:rPr>
        <w:t xml:space="preserve">2.3.1 </w:t>
      </w:r>
      <w:r w:rsidR="00CC6EAA">
        <w:rPr>
          <w:b/>
          <w:bCs/>
        </w:rPr>
        <w:t>TABELA DE SWOT</w:t>
      </w:r>
    </w:p>
    <w:p w14:paraId="46A98DE4" w14:textId="77777777" w:rsidR="00CC6EAA" w:rsidRDefault="00CC6EAA" w:rsidP="00C811F8"/>
    <w:tbl>
      <w:tblPr>
        <w:tblStyle w:val="TabelacomGrelha"/>
        <w:tblW w:w="0" w:type="auto"/>
        <w:tblLook w:val="04A0" w:firstRow="1" w:lastRow="0" w:firstColumn="1" w:lastColumn="0" w:noHBand="0" w:noVBand="1"/>
      </w:tblPr>
      <w:tblGrid>
        <w:gridCol w:w="2337"/>
        <w:gridCol w:w="2337"/>
        <w:gridCol w:w="2338"/>
        <w:gridCol w:w="2338"/>
      </w:tblGrid>
      <w:tr w:rsidR="00CC6EAA" w14:paraId="5AA52580" w14:textId="77777777" w:rsidTr="00CC6EAA">
        <w:tc>
          <w:tcPr>
            <w:tcW w:w="2337" w:type="dxa"/>
          </w:tcPr>
          <w:p w14:paraId="154DC87A" w14:textId="5B0D9316" w:rsidR="00CC6EAA" w:rsidRDefault="00CC6EAA" w:rsidP="00CC6EAA">
            <w:pPr>
              <w:jc w:val="left"/>
            </w:pPr>
            <w:r w:rsidRPr="00FC2C28">
              <w:t>Forças</w:t>
            </w:r>
          </w:p>
        </w:tc>
        <w:tc>
          <w:tcPr>
            <w:tcW w:w="2337" w:type="dxa"/>
          </w:tcPr>
          <w:p w14:paraId="6410BDF2" w14:textId="1E3A838F" w:rsidR="00CC6EAA" w:rsidRDefault="00CC6EAA" w:rsidP="00C811F8">
            <w:r w:rsidRPr="00FC2C28">
              <w:t>Fraquezas</w:t>
            </w:r>
          </w:p>
        </w:tc>
        <w:tc>
          <w:tcPr>
            <w:tcW w:w="2338" w:type="dxa"/>
          </w:tcPr>
          <w:p w14:paraId="7153CDA5" w14:textId="672B13CC" w:rsidR="00CC6EAA" w:rsidRDefault="00CC6EAA" w:rsidP="00C811F8">
            <w:r w:rsidRPr="00FC2C28">
              <w:t>Oportunidades</w:t>
            </w:r>
          </w:p>
        </w:tc>
        <w:tc>
          <w:tcPr>
            <w:tcW w:w="2338" w:type="dxa"/>
          </w:tcPr>
          <w:p w14:paraId="37051FE3" w14:textId="364F7FF7" w:rsidR="00CC6EAA" w:rsidRDefault="00CC6EAA" w:rsidP="00C811F8">
            <w:r w:rsidRPr="00FC2C28">
              <w:t>Ameaças</w:t>
            </w:r>
          </w:p>
        </w:tc>
      </w:tr>
      <w:tr w:rsidR="00CC6EAA" w14:paraId="5413B50D" w14:textId="77777777" w:rsidTr="00CC6EAA">
        <w:tc>
          <w:tcPr>
            <w:tcW w:w="2337" w:type="dxa"/>
          </w:tcPr>
          <w:p w14:paraId="0C9C77C5" w14:textId="2FB2EC7C" w:rsidR="00CC6EAA" w:rsidRDefault="00CC6EAA" w:rsidP="00CC6EAA">
            <w:pPr>
              <w:jc w:val="left"/>
            </w:pPr>
            <w:r w:rsidRPr="00A5511E">
              <w:t>Localização geoestratégica no eixo do Mar Egeu, integrada nos corredores de transporte euro-asiáticos, facilitando o acesso a mercados do Sudeste Europeu e dos Balcãs.</w:t>
            </w:r>
            <w:r>
              <w:t xml:space="preserve"> (</w:t>
            </w:r>
            <w:r w:rsidRPr="00A00D11">
              <w:t>VRIO – vantagem rara e difícil de imitar</w:t>
            </w:r>
            <w:r>
              <w:t>)</w:t>
            </w:r>
            <w:sdt>
              <w:sdtPr>
                <w:id w:val="-1003665709"/>
                <w:citation/>
              </w:sdtPr>
              <w:sdtContent>
                <w:r>
                  <w:fldChar w:fldCharType="begin"/>
                </w:r>
                <w:r>
                  <w:instrText xml:space="preserve"> CITATION Fun \l 2070 </w:instrText>
                </w:r>
                <w:r>
                  <w:fldChar w:fldCharType="separate"/>
                </w:r>
                <w:r>
                  <w:rPr>
                    <w:noProof/>
                  </w:rPr>
                  <w:t xml:space="preserve"> (Fund, s.d.)</w:t>
                </w:r>
                <w:r>
                  <w:fldChar w:fldCharType="end"/>
                </w:r>
              </w:sdtContent>
            </w:sdt>
          </w:p>
        </w:tc>
        <w:tc>
          <w:tcPr>
            <w:tcW w:w="2337" w:type="dxa"/>
          </w:tcPr>
          <w:p w14:paraId="69AB72FE" w14:textId="290EC4C5" w:rsidR="00CC6EAA" w:rsidRDefault="00CC6EAA" w:rsidP="00CC6EAA">
            <w:pPr>
              <w:jc w:val="left"/>
            </w:pPr>
            <w:r w:rsidRPr="00FC2C28">
              <w:t>Burocracia administrativa e processos internos complexos, que podem gerar lentidão na tomada de decisão e atrasos operacionais.</w:t>
            </w:r>
            <w:r>
              <w:t xml:space="preserve"> (</w:t>
            </w:r>
            <w:proofErr w:type="spellStart"/>
            <w:r w:rsidRPr="00A00D11">
              <w:t>Value</w:t>
            </w:r>
            <w:proofErr w:type="spellEnd"/>
            <w:r w:rsidRPr="00A00D11">
              <w:t xml:space="preserve"> </w:t>
            </w:r>
            <w:proofErr w:type="spellStart"/>
            <w:r w:rsidRPr="00A00D11">
              <w:t>Chain</w:t>
            </w:r>
            <w:proofErr w:type="spellEnd"/>
            <w:r w:rsidRPr="00A00D11">
              <w:t xml:space="preserve"> – ineficiências nos processos internos</w:t>
            </w:r>
            <w:r>
              <w:t>)</w:t>
            </w:r>
            <w:sdt>
              <w:sdtPr>
                <w:id w:val="1457057988"/>
                <w:citation/>
              </w:sdtPr>
              <w:sdtContent>
                <w:r>
                  <w:fldChar w:fldCharType="begin"/>
                </w:r>
                <w:r>
                  <w:instrText xml:space="preserve"> CITATION Rep25 \l 2070 </w:instrText>
                </w:r>
                <w:r>
                  <w:fldChar w:fldCharType="separate"/>
                </w:r>
                <w:r>
                  <w:rPr>
                    <w:noProof/>
                  </w:rPr>
                  <w:t xml:space="preserve"> (Repository, s.d.)</w:t>
                </w:r>
                <w:r>
                  <w:fldChar w:fldCharType="end"/>
                </w:r>
              </w:sdtContent>
            </w:sdt>
          </w:p>
        </w:tc>
        <w:tc>
          <w:tcPr>
            <w:tcW w:w="2338" w:type="dxa"/>
          </w:tcPr>
          <w:p w14:paraId="71675D7A" w14:textId="271902EF" w:rsidR="00CC6EAA" w:rsidRDefault="00CC6EAA" w:rsidP="00CC6EAA">
            <w:pPr>
              <w:jc w:val="left"/>
            </w:pPr>
            <w:r w:rsidRPr="00FC2C28">
              <w:t>Expansão do comércio regional e integração nos corredores logísticos euro-asiáticos, potenciando fluxos de carga em trânsito.</w:t>
            </w:r>
            <w:r>
              <w:t xml:space="preserve"> (</w:t>
            </w:r>
            <w:proofErr w:type="spellStart"/>
            <w:r w:rsidRPr="00A00D11">
              <w:t>Porter</w:t>
            </w:r>
            <w:proofErr w:type="spellEnd"/>
            <w:r w:rsidRPr="00A00D11">
              <w:t xml:space="preserve"> – crescimento do mercado</w:t>
            </w:r>
            <w:r>
              <w:t>)</w:t>
            </w:r>
            <w:sdt>
              <w:sdtPr>
                <w:id w:val="-1404671887"/>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579FE0B" w14:textId="5089BF90" w:rsidR="00CC6EAA" w:rsidRDefault="00CC6EAA" w:rsidP="00CC6EAA">
            <w:pPr>
              <w:jc w:val="left"/>
            </w:pPr>
            <w:r w:rsidRPr="00FC2C28">
              <w:t>Forte concorrência de portos mediterrânicos, como o Porto de Pireu (Grécia) e Trieste (Itália), com maior capacidade e investimento.</w:t>
            </w:r>
            <w:r>
              <w:t xml:space="preserve"> (</w:t>
            </w:r>
            <w:proofErr w:type="spellStart"/>
            <w:r w:rsidRPr="00A00D11">
              <w:t>Porter</w:t>
            </w:r>
            <w:proofErr w:type="spellEnd"/>
            <w:r w:rsidRPr="00A00D11">
              <w:t xml:space="preserve"> – rivalidade entre concorrentes diretos</w:t>
            </w:r>
            <w:r>
              <w:t>)</w:t>
            </w:r>
            <w:sdt>
              <w:sdtPr>
                <w:id w:val="-458183391"/>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r>
      <w:tr w:rsidR="00CC6EAA" w14:paraId="2CECB915" w14:textId="77777777" w:rsidTr="00CC6EAA">
        <w:tc>
          <w:tcPr>
            <w:tcW w:w="2337" w:type="dxa"/>
          </w:tcPr>
          <w:p w14:paraId="13159163" w14:textId="243BF0D1" w:rsidR="00CC6EAA" w:rsidRDefault="00CC6EAA" w:rsidP="00CC6EAA">
            <w:pPr>
              <w:jc w:val="left"/>
            </w:pPr>
            <w:r w:rsidRPr="00FC2C28">
              <w:t>Conectividade intermodal (ferrovia e rodovia), favorecendo o transporte terrestre e a integração na cadeia logística regional.</w:t>
            </w:r>
            <w:r>
              <w:t xml:space="preserve"> </w:t>
            </w:r>
            <w:r>
              <w:lastRenderedPageBreak/>
              <w:t>(</w:t>
            </w:r>
            <w:proofErr w:type="spellStart"/>
            <w:r w:rsidRPr="00A00D11">
              <w:t>Porter</w:t>
            </w:r>
            <w:proofErr w:type="spellEnd"/>
            <w:r w:rsidRPr="00A00D11">
              <w:t xml:space="preserve"> – vantagem competitiva de acesso</w:t>
            </w:r>
            <w:r>
              <w:t>)</w:t>
            </w:r>
            <w:sdt>
              <w:sdtPr>
                <w:id w:val="-1029102846"/>
                <w:citation/>
              </w:sdtPr>
              <w:sdtContent>
                <w:r>
                  <w:fldChar w:fldCharType="begin"/>
                </w:r>
                <w:r>
                  <w:instrText xml:space="preserve"> CITATION The252 \l 2070 </w:instrText>
                </w:r>
                <w:r>
                  <w:fldChar w:fldCharType="separate"/>
                </w:r>
                <w:r>
                  <w:rPr>
                    <w:noProof/>
                  </w:rPr>
                  <w:t xml:space="preserve"> (Thessaloniki)</w:t>
                </w:r>
                <w:r>
                  <w:fldChar w:fldCharType="end"/>
                </w:r>
              </w:sdtContent>
            </w:sdt>
          </w:p>
        </w:tc>
        <w:tc>
          <w:tcPr>
            <w:tcW w:w="2337" w:type="dxa"/>
          </w:tcPr>
          <w:p w14:paraId="3D773864" w14:textId="040C9128" w:rsidR="00CC6EAA" w:rsidRDefault="00CC6EAA" w:rsidP="00CC6EAA">
            <w:pPr>
              <w:jc w:val="left"/>
            </w:pPr>
            <w:r w:rsidRPr="00DC2B62">
              <w:lastRenderedPageBreak/>
              <w:t xml:space="preserve">Dependência de cofinanciamento público e de parcerias privadas para projetos de modernização e expansão, refletindo </w:t>
            </w:r>
            <w:r w:rsidRPr="00DC2B62">
              <w:lastRenderedPageBreak/>
              <w:t>uma autonomia financeira limitada em grandes investimentos.</w:t>
            </w:r>
            <w:r>
              <w:t xml:space="preserve"> (</w:t>
            </w:r>
            <w:r w:rsidRPr="00A00D11">
              <w:t>PESTEL – dependência económica e política</w:t>
            </w:r>
            <w:r>
              <w:t>)</w:t>
            </w:r>
            <w:sdt>
              <w:sdtPr>
                <w:id w:val="-1948070554"/>
                <w:citation/>
              </w:sdtPr>
              <w:sdtContent>
                <w:r>
                  <w:fldChar w:fldCharType="begin"/>
                </w:r>
                <w:r>
                  <w:instrText xml:space="preserve"> CITATION The255 \l 2070 </w:instrText>
                </w:r>
                <w:r>
                  <w:fldChar w:fldCharType="separate"/>
                </w:r>
                <w:r>
                  <w:rPr>
                    <w:noProof/>
                  </w:rPr>
                  <w:t xml:space="preserve"> (Thessaloniki, s.d.)</w:t>
                </w:r>
                <w:r>
                  <w:fldChar w:fldCharType="end"/>
                </w:r>
              </w:sdtContent>
            </w:sdt>
          </w:p>
        </w:tc>
        <w:tc>
          <w:tcPr>
            <w:tcW w:w="2338" w:type="dxa"/>
          </w:tcPr>
          <w:p w14:paraId="21BB1B5D" w14:textId="03E51BC3" w:rsidR="00CC6EAA" w:rsidRDefault="00CC6EAA" w:rsidP="00CC6EAA">
            <w:pPr>
              <w:jc w:val="left"/>
            </w:pPr>
            <w:r w:rsidRPr="00FC2C28">
              <w:lastRenderedPageBreak/>
              <w:t xml:space="preserve">Crescente exigência de sustentabilidade ambiental na UE, que pode gerar vantagem competitiva para portos verdes e </w:t>
            </w:r>
            <w:proofErr w:type="spellStart"/>
            <w:r w:rsidRPr="00FC2C28">
              <w:t>eco</w:t>
            </w:r>
            <w:r>
              <w:t>-</w:t>
            </w:r>
            <w:r w:rsidRPr="00FC2C28">
              <w:lastRenderedPageBreak/>
              <w:t>eficientes</w:t>
            </w:r>
            <w:proofErr w:type="spellEnd"/>
            <w:r w:rsidRPr="00FC2C28">
              <w:t>.</w:t>
            </w:r>
            <w:r>
              <w:t xml:space="preserve"> (</w:t>
            </w:r>
            <w:r w:rsidRPr="00A00D11">
              <w:t>PESTEL – fator ambiental</w:t>
            </w:r>
            <w:r>
              <w:t>)</w:t>
            </w:r>
            <w:sdt>
              <w:sdtPr>
                <w:id w:val="1556356171"/>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21579C2" w14:textId="26631D24" w:rsidR="00CC6EAA" w:rsidRDefault="00CC6EAA" w:rsidP="00CC6EAA">
            <w:pPr>
              <w:jc w:val="left"/>
            </w:pPr>
            <w:r w:rsidRPr="00FC2C28">
              <w:lastRenderedPageBreak/>
              <w:t>Instabilidade geopolítica na região do Mar Egeu e dos Balcãs, que pode afetar rotas comerciais e fluxos internacionais.</w:t>
            </w:r>
            <w:r>
              <w:t xml:space="preserve"> </w:t>
            </w:r>
            <w:r>
              <w:lastRenderedPageBreak/>
              <w:t>(</w:t>
            </w:r>
            <w:r w:rsidRPr="00A00D11">
              <w:t>PESTEL – fatores políticos e de segurança</w:t>
            </w:r>
            <w:r>
              <w:t>)</w:t>
            </w:r>
            <w:sdt>
              <w:sdtPr>
                <w:id w:val="1752468767"/>
                <w:citation/>
              </w:sdtPr>
              <w:sdtContent>
                <w:r>
                  <w:fldChar w:fldCharType="begin"/>
                </w:r>
                <w:r>
                  <w:instrText xml:space="preserve"> CITATION Gro25 \l 2070 </w:instrText>
                </w:r>
                <w:r>
                  <w:fldChar w:fldCharType="separate"/>
                </w:r>
                <w:r>
                  <w:rPr>
                    <w:noProof/>
                  </w:rPr>
                  <w:t xml:space="preserve"> (Group)</w:t>
                </w:r>
                <w:r>
                  <w:fldChar w:fldCharType="end"/>
                </w:r>
              </w:sdtContent>
            </w:sdt>
          </w:p>
        </w:tc>
      </w:tr>
      <w:tr w:rsidR="00CC6EAA" w14:paraId="41ABB03C" w14:textId="77777777" w:rsidTr="00CC6EAA">
        <w:tc>
          <w:tcPr>
            <w:tcW w:w="2337" w:type="dxa"/>
          </w:tcPr>
          <w:p w14:paraId="1085178D" w14:textId="73C068D2" w:rsidR="00CC6EAA" w:rsidRDefault="00CC6EAA" w:rsidP="00CC6EAA">
            <w:pPr>
              <w:jc w:val="left"/>
            </w:pPr>
            <w:r w:rsidRPr="00FC2C28">
              <w:lastRenderedPageBreak/>
              <w:br/>
              <w:t>Reconhecimento como porto de entrada para os mercados balcânicos, garantindo uma posição estratégica no comércio regional.</w:t>
            </w:r>
            <w:r>
              <w:t xml:space="preserve"> (</w:t>
            </w:r>
            <w:proofErr w:type="spellStart"/>
            <w:r w:rsidRPr="00A00D11">
              <w:t>Porter</w:t>
            </w:r>
            <w:proofErr w:type="spellEnd"/>
            <w:r w:rsidRPr="00A00D11">
              <w:t xml:space="preserve"> – vantagem de localização</w:t>
            </w:r>
            <w:r>
              <w:t>)</w:t>
            </w:r>
            <w:sdt>
              <w:sdtPr>
                <w:id w:val="1960527826"/>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7" w:type="dxa"/>
          </w:tcPr>
          <w:p w14:paraId="5CE5232F" w14:textId="184BBB3F" w:rsidR="00CC6EAA" w:rsidRDefault="00CC6EAA" w:rsidP="00CC6EAA">
            <w:pPr>
              <w:jc w:val="left"/>
            </w:pPr>
            <w:r w:rsidRPr="00DC2B62">
              <w:t>Necessidade de acelerar a digitalização e integração de sistemas portuários, uma vez que os atuais processos e infraestruturas ainda enfrentam limitações administrativas e operacionais.</w:t>
            </w:r>
            <w:r>
              <w:t xml:space="preserve"> (</w:t>
            </w:r>
            <w:proofErr w:type="spellStart"/>
            <w:r w:rsidRPr="00A00D11">
              <w:t>Value</w:t>
            </w:r>
            <w:proofErr w:type="spellEnd"/>
            <w:r w:rsidRPr="00A00D11">
              <w:t xml:space="preserve"> </w:t>
            </w:r>
            <w:proofErr w:type="spellStart"/>
            <w:r w:rsidRPr="00A00D11">
              <w:t>Chain</w:t>
            </w:r>
            <w:proofErr w:type="spellEnd"/>
            <w:r w:rsidRPr="00A00D11">
              <w:t xml:space="preserve"> – limitação tecnológica</w:t>
            </w:r>
            <w:r>
              <w:t>)</w:t>
            </w:r>
            <w:sdt>
              <w:sdtPr>
                <w:id w:val="-975838392"/>
                <w:citation/>
              </w:sdtPr>
              <w:sdtContent>
                <w:r>
                  <w:fldChar w:fldCharType="begin"/>
                </w:r>
                <w:r>
                  <w:instrText xml:space="preserve"> CITATION Par25 \l 2070 </w:instrText>
                </w:r>
                <w:r>
                  <w:fldChar w:fldCharType="separate"/>
                </w:r>
                <w:r>
                  <w:rPr>
                    <w:noProof/>
                  </w:rPr>
                  <w:t xml:space="preserve"> (Parliament, s.d.)</w:t>
                </w:r>
                <w:r>
                  <w:fldChar w:fldCharType="end"/>
                </w:r>
              </w:sdtContent>
            </w:sdt>
          </w:p>
        </w:tc>
        <w:tc>
          <w:tcPr>
            <w:tcW w:w="2338" w:type="dxa"/>
          </w:tcPr>
          <w:p w14:paraId="5D83AD4C" w14:textId="510F2BD2" w:rsidR="00CC6EAA" w:rsidRDefault="00CC6EAA" w:rsidP="00CC6EAA">
            <w:pPr>
              <w:jc w:val="left"/>
            </w:pPr>
            <w:r w:rsidRPr="00FC2C28">
              <w:t>Evolução tecnológica em automação e sistemas portuários inteligentes (</w:t>
            </w:r>
            <w:proofErr w:type="spellStart"/>
            <w:r w:rsidRPr="00FC2C28">
              <w:t>Port</w:t>
            </w:r>
            <w:proofErr w:type="spellEnd"/>
            <w:r w:rsidRPr="00FC2C28">
              <w:t xml:space="preserve"> </w:t>
            </w:r>
            <w:proofErr w:type="spellStart"/>
            <w:r w:rsidRPr="00FC2C28">
              <w:t>Community</w:t>
            </w:r>
            <w:proofErr w:type="spellEnd"/>
            <w:r w:rsidRPr="00FC2C28">
              <w:t xml:space="preserve"> </w:t>
            </w:r>
            <w:proofErr w:type="spellStart"/>
            <w:r w:rsidRPr="00FC2C28">
              <w:t>Systems</w:t>
            </w:r>
            <w:proofErr w:type="spellEnd"/>
            <w:r w:rsidRPr="00FC2C28">
              <w:t>), promovendo maior eficiência operacional.</w:t>
            </w:r>
            <w:r>
              <w:t xml:space="preserve"> (</w:t>
            </w:r>
            <w:r w:rsidRPr="00A00D11">
              <w:t>VRIO – recurso tecnológico valioso e imitável com dificuldade</w:t>
            </w:r>
            <w:r>
              <w:t>)</w:t>
            </w:r>
            <w:sdt>
              <w:sdtPr>
                <w:id w:val="1373347990"/>
                <w:citation/>
              </w:sdtPr>
              <w:sdtContent>
                <w:r>
                  <w:fldChar w:fldCharType="begin"/>
                </w:r>
                <w:r>
                  <w:instrText xml:space="preserve"> CITATION The256 \l 2070 </w:instrText>
                </w:r>
                <w:r>
                  <w:fldChar w:fldCharType="separate"/>
                </w:r>
                <w:r>
                  <w:rPr>
                    <w:noProof/>
                  </w:rPr>
                  <w:t xml:space="preserve"> (Thessaloniki, s.d.)</w:t>
                </w:r>
                <w:r>
                  <w:fldChar w:fldCharType="end"/>
                </w:r>
              </w:sdtContent>
            </w:sdt>
          </w:p>
        </w:tc>
        <w:tc>
          <w:tcPr>
            <w:tcW w:w="2338" w:type="dxa"/>
          </w:tcPr>
          <w:p w14:paraId="1F9C13AE" w14:textId="6D886086" w:rsidR="00CC6EAA" w:rsidRDefault="00CC6EAA" w:rsidP="00CC6EAA">
            <w:pPr>
              <w:jc w:val="left"/>
            </w:pPr>
            <w:r w:rsidRPr="00FC2C28">
              <w:t>Aumento das regulamentações ambientais e fiscais, impondo custos adicionais às operações portuárias.</w:t>
            </w:r>
            <w:r>
              <w:t xml:space="preserve"> (</w:t>
            </w:r>
            <w:r w:rsidRPr="00A00D11">
              <w:t>PESTEL – fatores legais e ambientais</w:t>
            </w:r>
            <w:r>
              <w:t>)</w:t>
            </w:r>
            <w:sdt>
              <w:sdtPr>
                <w:id w:val="2064063745"/>
                <w:citation/>
              </w:sdtPr>
              <w:sdtContent>
                <w:r>
                  <w:fldChar w:fldCharType="begin"/>
                </w:r>
                <w:r>
                  <w:instrText xml:space="preserve"> CITATION The257 \l 2070 </w:instrText>
                </w:r>
                <w:r>
                  <w:fldChar w:fldCharType="separate"/>
                </w:r>
                <w:r>
                  <w:rPr>
                    <w:noProof/>
                  </w:rPr>
                  <w:t xml:space="preserve"> (Thessaloniki, s.d.)</w:t>
                </w:r>
                <w:r>
                  <w:fldChar w:fldCharType="end"/>
                </w:r>
              </w:sdtContent>
            </w:sdt>
          </w:p>
        </w:tc>
      </w:tr>
    </w:tbl>
    <w:p w14:paraId="4F28B085" w14:textId="77777777" w:rsidR="00CC6EAA" w:rsidRDefault="00CC6EAA" w:rsidP="00C811F8"/>
    <w:p w14:paraId="2A104EC4" w14:textId="380A2C84" w:rsidR="00FF043E" w:rsidRPr="00FF043E" w:rsidRDefault="00FF043E" w:rsidP="00FC2C28">
      <w:pPr>
        <w:jc w:val="left"/>
        <w:rPr>
          <w:b/>
          <w:bCs/>
        </w:rPr>
      </w:pPr>
      <w:r w:rsidRPr="00FF043E">
        <w:rPr>
          <w:b/>
          <w:bCs/>
        </w:rPr>
        <w:t>2.3.2 Interpretação e Conclusões da Análise</w:t>
      </w:r>
    </w:p>
    <w:p w14:paraId="5ED298B6" w14:textId="0F39737D" w:rsidR="00A71BC5" w:rsidRDefault="00A71BC5" w:rsidP="00FC2C28">
      <w:pPr>
        <w:jc w:val="left"/>
      </w:pPr>
      <w:r w:rsidRPr="00A71BC5">
        <w:t>A análise SWOT do Porto de Salónica (</w:t>
      </w:r>
      <w:proofErr w:type="spellStart"/>
      <w:r w:rsidRPr="00A71BC5">
        <w:t>ThPA</w:t>
      </w:r>
      <w:proofErr w:type="spellEnd"/>
      <w:r w:rsidRPr="00A71BC5">
        <w:t xml:space="preserve"> S.A.) evidencia uma organização com uma base geoestratégica favorável e um papel relevante nas ligações euro-asiáticas e balcânicas. As suas forças residem na localização, diversidade operacional e potencial de integração logística, enquanto as fraquezas refletem desafios internos de eficiência, digitalização e capacidade competitiva. As oportunidades decorrem sobretudo das dinâmicas europeias de investimento e transição verde, e das tendências de modernização do setor portuário. Contudo, o porto enfrenta ameaças significativas, nomeadamente a concorrência direta de grandes plataformas mediterrânicas, a volatilidade geopolítica e as exigências regulatórias. Assim, a capacidade de transformação tecnológica e organizacional será determinante para converter vantagens geográficas em vantagens competitivas sustentáveis.</w:t>
      </w:r>
    </w:p>
    <w:p w14:paraId="71471278" w14:textId="77777777" w:rsidR="004B72C6" w:rsidRDefault="004B72C6" w:rsidP="00FC2C28">
      <w:pPr>
        <w:jc w:val="left"/>
      </w:pPr>
    </w:p>
    <w:p w14:paraId="0BF1C5E2" w14:textId="77777777" w:rsidR="00FF043E" w:rsidRDefault="00FF043E" w:rsidP="00E66697">
      <w:pPr>
        <w:jc w:val="left"/>
        <w:rPr>
          <w:b/>
          <w:bCs/>
        </w:rPr>
      </w:pPr>
      <w:r w:rsidRPr="00FF043E">
        <w:rPr>
          <w:b/>
          <w:bCs/>
        </w:rPr>
        <w:lastRenderedPageBreak/>
        <w:t>II.4 Estratégia Proposta</w:t>
      </w:r>
    </w:p>
    <w:p w14:paraId="0AB85CD8" w14:textId="56AED36C" w:rsidR="00E66697" w:rsidRPr="00E66697" w:rsidRDefault="00E66697" w:rsidP="00E66697">
      <w:pPr>
        <w:jc w:val="left"/>
      </w:pPr>
      <w:r w:rsidRPr="00E66697">
        <w:t>Com base na análise SWOT efetuada, recomenda-se que o Porto de Salónica (</w:t>
      </w:r>
      <w:proofErr w:type="spellStart"/>
      <w:r w:rsidRPr="00E66697">
        <w:t>ThPA</w:t>
      </w:r>
      <w:proofErr w:type="spellEnd"/>
      <w:r w:rsidRPr="00E66697">
        <w:t xml:space="preserve"> S.A.) adote uma estratégia de desenvolvimento sustentável e transformação digital, orientada para reforçar a sua posição geoestratégica e assegurar uma vantagem competitiva duradoura no contexto portuário euro</w:t>
      </w:r>
      <w:r w:rsidR="00617CFB">
        <w:t>-</w:t>
      </w:r>
      <w:r w:rsidRPr="00E66697">
        <w:t>mediterrânico.</w:t>
      </w:r>
    </w:p>
    <w:p w14:paraId="5DCE8F67" w14:textId="77777777" w:rsidR="00E66697" w:rsidRPr="00E66697" w:rsidRDefault="00E66697" w:rsidP="00E66697">
      <w:pPr>
        <w:jc w:val="left"/>
      </w:pPr>
      <w:r w:rsidRPr="00E66697">
        <w:t>Esta estratégia deve capitalizar as suas forças — nomeadamente a localização privilegiada e a conectividade intermodal — e responder às fraquezas identificadas, como a burocracia administrativa e o ritmo ainda limitado de digitalização. Ao mesmo tempo, deve aproveitar as oportunidades externas associadas à transição verde e à inovação tecnológica, mitigando as ameaças provenientes da concorrência regional e do aumento das exigências regulatórias europeias.</w:t>
      </w:r>
    </w:p>
    <w:p w14:paraId="58604074" w14:textId="77777777" w:rsidR="00E66697" w:rsidRPr="00E66697" w:rsidRDefault="00E66697" w:rsidP="00E66697">
      <w:pPr>
        <w:jc w:val="left"/>
      </w:pPr>
      <w:r w:rsidRPr="00E66697">
        <w:t>Concretamente, propõe-se:</w:t>
      </w:r>
    </w:p>
    <w:p w14:paraId="7F957A67" w14:textId="77777777" w:rsidR="00E66697" w:rsidRPr="00E66697" w:rsidRDefault="00E66697" w:rsidP="00E66697">
      <w:pPr>
        <w:numPr>
          <w:ilvl w:val="0"/>
          <w:numId w:val="19"/>
        </w:numPr>
        <w:jc w:val="left"/>
      </w:pPr>
      <w:r w:rsidRPr="00E66697">
        <w:t xml:space="preserve">Transição ambiental e energética: investir em infraestruturas sustentáveis, eletrificação de equipamentos e sistemas de monitorização ambiental, alinhando-se com os programas de financiamento europeus (Green </w:t>
      </w:r>
      <w:proofErr w:type="spellStart"/>
      <w:r w:rsidRPr="00E66697">
        <w:t>Deal</w:t>
      </w:r>
      <w:proofErr w:type="spellEnd"/>
      <w:r w:rsidRPr="00E66697">
        <w:t xml:space="preserve"> e TEN-T).</w:t>
      </w:r>
    </w:p>
    <w:p w14:paraId="2485C093" w14:textId="77777777" w:rsidR="00E66697" w:rsidRPr="00E66697" w:rsidRDefault="00E66697" w:rsidP="00E66697">
      <w:pPr>
        <w:numPr>
          <w:ilvl w:val="0"/>
          <w:numId w:val="19"/>
        </w:numPr>
        <w:jc w:val="left"/>
      </w:pPr>
      <w:r w:rsidRPr="00E66697">
        <w:t xml:space="preserve">Economia circular e certificação ambiental: reforçar a gestão de resíduos e procurar certificações internacionais, como o </w:t>
      </w:r>
      <w:proofErr w:type="spellStart"/>
      <w:r w:rsidRPr="00E66697">
        <w:t>EcoPorts</w:t>
      </w:r>
      <w:proofErr w:type="spellEnd"/>
      <w:r w:rsidRPr="00E66697">
        <w:t xml:space="preserve">, para consolidar a credibilidade ambiental da </w:t>
      </w:r>
      <w:proofErr w:type="spellStart"/>
      <w:r w:rsidRPr="00E66697">
        <w:t>ThPA</w:t>
      </w:r>
      <w:proofErr w:type="spellEnd"/>
      <w:r w:rsidRPr="00E66697">
        <w:t xml:space="preserve"> S.A.</w:t>
      </w:r>
    </w:p>
    <w:p w14:paraId="3A398452" w14:textId="77777777" w:rsidR="00E66697" w:rsidRPr="00E66697" w:rsidRDefault="00E66697" w:rsidP="00E66697">
      <w:pPr>
        <w:numPr>
          <w:ilvl w:val="0"/>
          <w:numId w:val="19"/>
        </w:numPr>
        <w:jc w:val="left"/>
      </w:pPr>
      <w:r w:rsidRPr="00E66697">
        <w:t xml:space="preserve">Transformação digital: acelerar a digitalização operacional e administrativa através da implementação de </w:t>
      </w:r>
      <w:proofErr w:type="spellStart"/>
      <w:r w:rsidRPr="00E66697">
        <w:t>Port</w:t>
      </w:r>
      <w:proofErr w:type="spellEnd"/>
      <w:r w:rsidRPr="00E66697">
        <w:t xml:space="preserve"> </w:t>
      </w:r>
      <w:proofErr w:type="spellStart"/>
      <w:r w:rsidRPr="00E66697">
        <w:t>Community</w:t>
      </w:r>
      <w:proofErr w:type="spellEnd"/>
      <w:r w:rsidRPr="00E66697">
        <w:t xml:space="preserve"> </w:t>
      </w:r>
      <w:proofErr w:type="spellStart"/>
      <w:r w:rsidRPr="00E66697">
        <w:t>Systems</w:t>
      </w:r>
      <w:proofErr w:type="spellEnd"/>
      <w:r w:rsidRPr="00E66697">
        <w:t xml:space="preserve"> (PCS) e de processos automatizados de gestão logística e documental.</w:t>
      </w:r>
    </w:p>
    <w:p w14:paraId="4B960B1D" w14:textId="77777777" w:rsidR="00E66697" w:rsidRPr="00E66697" w:rsidRDefault="00E66697" w:rsidP="00E66697">
      <w:pPr>
        <w:numPr>
          <w:ilvl w:val="0"/>
          <w:numId w:val="19"/>
        </w:numPr>
        <w:jc w:val="left"/>
      </w:pPr>
      <w:r w:rsidRPr="00E66697">
        <w:t>Gestão organizacional ágil: simplificar fluxos decisórios e promover a formação contínua dos trabalhadores para garantir a adaptação tecnológica e cultural à nova fase de desenvolvimento.</w:t>
      </w:r>
    </w:p>
    <w:p w14:paraId="563542C2" w14:textId="77777777" w:rsidR="00E66697" w:rsidRPr="00E66697" w:rsidRDefault="00E66697" w:rsidP="00E66697">
      <w:pPr>
        <w:jc w:val="left"/>
      </w:pPr>
      <w:r w:rsidRPr="00E66697">
        <w:t>Esta abordagem é realista e executável, uma vez que aproveita investimentos já em curso e políticas europeias de apoio à sustentabilidade e inovação. A médio prazo, permitirá converter as atuais limitações internas em vetores de inovação, posicionando o Porto de Salónica como um porto verde e inteligente (</w:t>
      </w:r>
      <w:proofErr w:type="spellStart"/>
      <w:r w:rsidRPr="00E66697">
        <w:t>smart</w:t>
      </w:r>
      <w:proofErr w:type="spellEnd"/>
      <w:r w:rsidRPr="00E66697">
        <w:t xml:space="preserve"> green </w:t>
      </w:r>
      <w:proofErr w:type="spellStart"/>
      <w:r w:rsidRPr="00E66697">
        <w:t>port</w:t>
      </w:r>
      <w:proofErr w:type="spellEnd"/>
      <w:r w:rsidRPr="00E66697">
        <w:t>) — referência no Mediterrâneo pela eficiência, resiliência e compromisso ambiental.</w:t>
      </w:r>
    </w:p>
    <w:p w14:paraId="6677ECD6" w14:textId="77777777" w:rsidR="004B72C6" w:rsidRPr="00FC2C28" w:rsidRDefault="004B72C6" w:rsidP="00FC2C28">
      <w:pPr>
        <w:jc w:val="left"/>
      </w:pPr>
    </w:p>
    <w:p w14:paraId="0616536B" w14:textId="77777777" w:rsidR="00FC2C28" w:rsidRPr="0045284D" w:rsidRDefault="00FC2C28" w:rsidP="00C811F8">
      <w:pPr>
        <w:rPr>
          <w:b/>
          <w:bCs/>
        </w:rPr>
      </w:pPr>
    </w:p>
    <w:p w14:paraId="1E28158A" w14:textId="77777777" w:rsidR="00C811F8" w:rsidRDefault="00C811F8" w:rsidP="00C811F8"/>
    <w:p w14:paraId="02CF0503" w14:textId="15FAF6C1" w:rsidR="00C811F8" w:rsidRDefault="00C811F8" w:rsidP="00C811F8">
      <w:pPr>
        <w:pStyle w:val="Ttulo2"/>
      </w:pPr>
      <w:bookmarkStart w:id="16" w:name="_Toc212025368"/>
      <w:r>
        <w:t>II.</w:t>
      </w:r>
      <w:r w:rsidR="00AD196B">
        <w:t>3</w:t>
      </w:r>
      <w:r>
        <w:t xml:space="preserve"> Controlo</w:t>
      </w:r>
      <w:r w:rsidR="00A23FD3">
        <w:t xml:space="preserve"> e Sistemas de informação</w:t>
      </w:r>
      <w:bookmarkEnd w:id="16"/>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7" w:name="_Toc21202536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7"/>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8" w:name="_Toc212025370"/>
      <w:r>
        <w:t>II.5 Promoção da produtividade</w:t>
      </w:r>
      <w:bookmarkEnd w:id="18"/>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9" w:name="_Toc212025371"/>
      <w:r>
        <w:t>II.6 Economia circular</w:t>
      </w:r>
      <w:bookmarkEnd w:id="19"/>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20" w:name="_Toc212025372"/>
      <w:r>
        <w:t xml:space="preserve">II.7 </w:t>
      </w:r>
      <w:r w:rsidRPr="00CE43A7">
        <w:t>Marketing</w:t>
      </w:r>
      <w:bookmarkEnd w:id="20"/>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21" w:name="_Toc212025373"/>
      <w:r>
        <w:t>II.</w:t>
      </w:r>
      <w:r w:rsidR="00CA01E1" w:rsidRPr="00CA01E1">
        <w:t xml:space="preserve"> </w:t>
      </w:r>
      <w:r w:rsidR="00AD196B">
        <w:t>8</w:t>
      </w:r>
      <w:r w:rsidR="00CA01E1">
        <w:t xml:space="preserve"> </w:t>
      </w:r>
      <w:r w:rsidR="00A23FD3">
        <w:t xml:space="preserve">Gestão </w:t>
      </w:r>
      <w:r w:rsidR="00CA01E1">
        <w:t>Financeira</w:t>
      </w:r>
      <w:bookmarkEnd w:id="21"/>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22" w:name="_Toc212025374"/>
      <w:r>
        <w:t>II.</w:t>
      </w:r>
      <w:r w:rsidR="00AD196B">
        <w:t>9</w:t>
      </w:r>
      <w:r>
        <w:t xml:space="preserve"> </w:t>
      </w:r>
      <w:r w:rsidR="00A23FD3">
        <w:t>Gestão das Operações</w:t>
      </w:r>
      <w:r w:rsidR="008B0E11">
        <w:t xml:space="preserve"> e Indústria 4.0</w:t>
      </w:r>
      <w:bookmarkEnd w:id="22"/>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23" w:name="_Toc212025375"/>
      <w:r w:rsidRPr="00B731BA">
        <w:t>Parte III – Conclusão</w:t>
      </w:r>
      <w:bookmarkEnd w:id="23"/>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24" w:name="_Toc212025376"/>
      <w:r>
        <w:t>III.1 Conclusão</w:t>
      </w:r>
      <w:bookmarkEnd w:id="24"/>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5" w:name="_Toc212025377"/>
      <w:r>
        <w:t>III.2 Sugestões de melhoria</w:t>
      </w:r>
      <w:bookmarkEnd w:id="25"/>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6" w:name="_Toc471979356"/>
      <w:bookmarkStart w:id="27" w:name="_Toc212025378"/>
      <w:r w:rsidR="00E16B5D" w:rsidRPr="00B731BA">
        <w:lastRenderedPageBreak/>
        <w:t>Referências</w:t>
      </w:r>
      <w:bookmarkEnd w:id="26"/>
      <w:bookmarkEnd w:id="27"/>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8" w:name="_Toc471979357"/>
      <w:bookmarkStart w:id="29" w:name="_Toc212025379"/>
      <w:r w:rsidRPr="00B731BA">
        <w:rPr>
          <w:rFonts w:eastAsia="Arial Narrow"/>
        </w:rPr>
        <w:t>Anexos</w:t>
      </w:r>
      <w:bookmarkEnd w:id="28"/>
      <w:bookmarkEnd w:id="29"/>
      <w:r w:rsidR="00C7793C" w:rsidRPr="00B731BA">
        <w:rPr>
          <w:rFonts w:eastAsia="Arial Narrow"/>
        </w:rPr>
        <w:t xml:space="preserve"> </w:t>
      </w:r>
    </w:p>
    <w:p w14:paraId="42B429A9" w14:textId="3326A4E1" w:rsidR="00C71078" w:rsidRDefault="00C71078" w:rsidP="00C71078">
      <w:pPr>
        <w:pStyle w:val="BodyText1"/>
        <w:rPr>
          <w:rFonts w:eastAsia="Arial Narrow"/>
        </w:rPr>
      </w:pPr>
      <w:hyperlink r:id="rId18" w:history="1">
        <w:r w:rsidRPr="000971D8">
          <w:rPr>
            <w:rStyle w:val="Hiperligao"/>
            <w:rFonts w:eastAsia="Arial Narrow"/>
          </w:rPr>
          <w:t>https://www.espo.be/news/port-pro-of-the-month-ioannis-tsaras-gr</w:t>
        </w:r>
      </w:hyperlink>
    </w:p>
    <w:p w14:paraId="29EA166D" w14:textId="5C43C1B2" w:rsidR="00C71078" w:rsidRDefault="00C71078" w:rsidP="00C71078">
      <w:pPr>
        <w:pStyle w:val="BodyText1"/>
        <w:rPr>
          <w:rFonts w:eastAsia="Arial Narrow"/>
        </w:rPr>
      </w:pPr>
      <w:hyperlink r:id="rId19" w:history="1">
        <w:r w:rsidRPr="000971D8">
          <w:rPr>
            <w:rStyle w:val="Hiperligao"/>
            <w:rFonts w:eastAsia="Arial Narrow"/>
          </w:rPr>
          <w:t>https://www.cisco.com/site/us/en/about/case-studies-customer-stories/thessaloniki-port-authority.html</w:t>
        </w:r>
      </w:hyperlink>
    </w:p>
    <w:p w14:paraId="2E37C86B" w14:textId="252F1A99" w:rsidR="00C71078" w:rsidRDefault="00C71078" w:rsidP="00C71078">
      <w:pPr>
        <w:pStyle w:val="BodyText1"/>
        <w:rPr>
          <w:rFonts w:eastAsia="Arial Narrow"/>
        </w:rPr>
      </w:pPr>
      <w:hyperlink r:id="rId20" w:history="1">
        <w:r w:rsidRPr="000971D8">
          <w:rPr>
            <w:rStyle w:val="Hiperligao"/>
            <w:rFonts w:eastAsia="Arial Narrow"/>
          </w:rPr>
          <w:t>https://rightship.com/insights/port-thessaloniki-becomes-first-port-in-eu-mediterranean-pilot-ship-emissions-monitoring-under-helmepa-led-metavasea</w:t>
        </w:r>
      </w:hyperlink>
    </w:p>
    <w:p w14:paraId="213D2470" w14:textId="31680AB8" w:rsidR="00C71078" w:rsidRDefault="00AA4D06" w:rsidP="00C71078">
      <w:pPr>
        <w:pStyle w:val="BodyText1"/>
      </w:pPr>
      <w:hyperlink r:id="rId21" w:history="1">
        <w:r w:rsidRPr="005B7718">
          <w:rPr>
            <w:rStyle w:val="Hiperligao"/>
            <w:rFonts w:eastAsia="Arial Narrow"/>
          </w:rPr>
          <w:t>https://www.thpa.gr/our-vision</w:t>
        </w:r>
      </w:hyperlink>
    </w:p>
    <w:p w14:paraId="618025EE" w14:textId="652A3448" w:rsidR="00473C55" w:rsidRDefault="00473C55" w:rsidP="00C71078">
      <w:pPr>
        <w:pStyle w:val="BodyText1"/>
        <w:rPr>
          <w:rFonts w:eastAsia="Arial Narrow"/>
        </w:rPr>
      </w:pPr>
      <w:hyperlink r:id="rId22" w:history="1">
        <w:r w:rsidRPr="009E6A89">
          <w:rPr>
            <w:rStyle w:val="Hiperligao"/>
            <w:rFonts w:eastAsia="Arial Narrow"/>
          </w:rPr>
          <w:t>https://www.espo.be</w:t>
        </w:r>
      </w:hyperlink>
    </w:p>
    <w:p w14:paraId="20DD15F0" w14:textId="541106A5" w:rsidR="00473C55" w:rsidRDefault="00473C55" w:rsidP="00C71078">
      <w:pPr>
        <w:pStyle w:val="BodyText1"/>
        <w:rPr>
          <w:rFonts w:eastAsia="Arial Narrow"/>
        </w:rPr>
      </w:pPr>
      <w:hyperlink r:id="rId23" w:history="1">
        <w:r w:rsidRPr="009E6A89">
          <w:rPr>
            <w:rStyle w:val="Hiperligao"/>
            <w:rFonts w:eastAsia="Arial Narrow"/>
          </w:rPr>
          <w:t>https://www.porteconomics.eu/calls-connectivity-liners-and-alliances-at-thessaloniki-container-port</w:t>
        </w:r>
      </w:hyperlink>
    </w:p>
    <w:p w14:paraId="38D05A57" w14:textId="3CF89EC3" w:rsidR="00473C55" w:rsidRDefault="00473C55" w:rsidP="00C71078">
      <w:pPr>
        <w:pStyle w:val="BodyText1"/>
        <w:rPr>
          <w:rFonts w:eastAsia="Arial Narrow"/>
        </w:rPr>
      </w:pPr>
      <w:hyperlink r:id="rId24" w:history="1">
        <w:r w:rsidRPr="009E6A89">
          <w:rPr>
            <w:rStyle w:val="Hiperligao"/>
            <w:rFonts w:eastAsia="Arial Narrow"/>
          </w:rPr>
          <w:t>https://www.lloydslist.com</w:t>
        </w:r>
      </w:hyperlink>
    </w:p>
    <w:p w14:paraId="3CDD3CB1" w14:textId="7FE9D333" w:rsidR="00473C55" w:rsidRDefault="00473C55" w:rsidP="00C71078">
      <w:pPr>
        <w:pStyle w:val="BodyText1"/>
        <w:rPr>
          <w:rFonts w:eastAsia="Arial Narrow"/>
        </w:rPr>
      </w:pPr>
      <w:hyperlink r:id="rId25" w:history="1">
        <w:r w:rsidRPr="009E6A89">
          <w:rPr>
            <w:rStyle w:val="Hiperligao"/>
            <w:rFonts w:eastAsia="Arial Narrow"/>
          </w:rPr>
          <w:t>https://www.oecd.org/en/publications/market-access-trade-in-transport-services-and-trade-facilitation_9789282101476-en.html</w:t>
        </w:r>
      </w:hyperlink>
    </w:p>
    <w:p w14:paraId="484A8A6C" w14:textId="16406F9D" w:rsidR="00473C55" w:rsidRDefault="00473C55" w:rsidP="00C71078">
      <w:pPr>
        <w:pStyle w:val="BodyText1"/>
        <w:rPr>
          <w:rFonts w:eastAsia="Arial Narrow"/>
        </w:rPr>
      </w:pPr>
      <w:hyperlink r:id="rId26" w:history="1">
        <w:r w:rsidRPr="009E6A89">
          <w:rPr>
            <w:rStyle w:val="Hiperligao"/>
            <w:rFonts w:eastAsia="Arial Narrow"/>
          </w:rPr>
          <w:t>https://transport.ec.europa.eu/index_en</w:t>
        </w:r>
      </w:hyperlink>
    </w:p>
    <w:p w14:paraId="707984E0" w14:textId="45F0A869" w:rsidR="00473C55" w:rsidRDefault="004B72C6" w:rsidP="00C71078">
      <w:pPr>
        <w:pStyle w:val="BodyText1"/>
        <w:rPr>
          <w:rFonts w:eastAsia="Arial Narrow"/>
        </w:rPr>
      </w:pPr>
      <w:hyperlink r:id="rId27" w:history="1">
        <w:r w:rsidRPr="009E6A89">
          <w:rPr>
            <w:rStyle w:val="Hiperligao"/>
            <w:rFonts w:eastAsia="Arial Narrow"/>
          </w:rPr>
          <w:t>https://commission.europa.eu/strategy-and-policy/priorities-2019-2024/european-green-deal_en</w:t>
        </w:r>
      </w:hyperlink>
    </w:p>
    <w:p w14:paraId="4C4C6357" w14:textId="6E4BCD1B" w:rsidR="004B72C6" w:rsidRDefault="004B72C6" w:rsidP="00C71078">
      <w:pPr>
        <w:pStyle w:val="BodyText1"/>
      </w:pPr>
      <w:hyperlink r:id="rId28" w:history="1">
        <w:r w:rsidRPr="009E6A89">
          <w:rPr>
            <w:rStyle w:val="Hiperligao"/>
            <w:rFonts w:eastAsia="Arial Narrow"/>
          </w:rPr>
          <w:t>https://transport.ec.europa.eu/transport-themes/infrastructure-and-investment/trans-european-transport-network-ten-t_en</w:t>
        </w:r>
      </w:hyperlink>
    </w:p>
    <w:p w14:paraId="40C2DF27" w14:textId="62DC267C" w:rsidR="001456B2" w:rsidRDefault="001456B2" w:rsidP="00C71078">
      <w:pPr>
        <w:pStyle w:val="BodyText1"/>
        <w:rPr>
          <w:rFonts w:eastAsia="Arial Narrow"/>
        </w:rPr>
      </w:pPr>
      <w:hyperlink r:id="rId29" w:history="1">
        <w:r w:rsidRPr="00E92693">
          <w:rPr>
            <w:rStyle w:val="Hiperligao"/>
            <w:rFonts w:eastAsia="Arial Narrow"/>
          </w:rPr>
          <w:t>https://www.porttechnology.org/news/thessaloniki-port-reports-record-e100-million-revenue-in-2024</w:t>
        </w:r>
      </w:hyperlink>
    </w:p>
    <w:p w14:paraId="0B4AF07C" w14:textId="1A06CA48" w:rsidR="00EB7E77" w:rsidRDefault="00EB7E77" w:rsidP="00C71078">
      <w:pPr>
        <w:pStyle w:val="BodyText1"/>
        <w:rPr>
          <w:rFonts w:eastAsia="Arial Narrow"/>
        </w:rPr>
      </w:pPr>
      <w:hyperlink r:id="rId30" w:history="1">
        <w:r w:rsidRPr="00E92693">
          <w:rPr>
            <w:rStyle w:val="Hiperligao"/>
            <w:rFonts w:eastAsia="Arial Narrow"/>
          </w:rPr>
          <w:t>https://www.thpa.gr/files/financial/aok_31122023_en.pdf?x84359</w:t>
        </w:r>
      </w:hyperlink>
    </w:p>
    <w:p w14:paraId="144451C8" w14:textId="77777777" w:rsidR="00EB7E77" w:rsidRDefault="00EB7E77" w:rsidP="00C71078">
      <w:pPr>
        <w:pStyle w:val="BodyText1"/>
        <w:rPr>
          <w:rFonts w:eastAsia="Arial Narrow"/>
        </w:rPr>
      </w:pPr>
    </w:p>
    <w:p w14:paraId="79072380" w14:textId="77777777" w:rsidR="001456B2" w:rsidRDefault="001456B2" w:rsidP="00C71078">
      <w:pPr>
        <w:pStyle w:val="BodyText1"/>
        <w:rPr>
          <w:rFonts w:eastAsia="Arial Narrow"/>
        </w:rPr>
      </w:pPr>
    </w:p>
    <w:p w14:paraId="7D5A2AC3" w14:textId="77777777" w:rsidR="004B72C6" w:rsidRDefault="004B72C6" w:rsidP="00C71078">
      <w:pPr>
        <w:pStyle w:val="BodyText1"/>
        <w:rPr>
          <w:rFonts w:eastAsia="Arial Narrow"/>
        </w:rPr>
      </w:pPr>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31"/>
      <w:footerReference w:type="default" r:id="rId32"/>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C739C" w14:textId="77777777" w:rsidR="00D272B2" w:rsidRDefault="00D272B2">
      <w:r>
        <w:separator/>
      </w:r>
    </w:p>
  </w:endnote>
  <w:endnote w:type="continuationSeparator" w:id="0">
    <w:p w14:paraId="27F3EA21" w14:textId="77777777" w:rsidR="00D272B2" w:rsidRDefault="00D27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BE20" w14:textId="77777777" w:rsidR="00D272B2" w:rsidRDefault="00D272B2">
      <w:r>
        <w:separator/>
      </w:r>
    </w:p>
  </w:footnote>
  <w:footnote w:type="continuationSeparator" w:id="0">
    <w:p w14:paraId="16F5F39E" w14:textId="77777777" w:rsidR="00D272B2" w:rsidRDefault="00D272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7CC4EAE"/>
    <w:multiLevelType w:val="multilevel"/>
    <w:tmpl w:val="711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7"/>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 w:numId="19" w16cid:durableId="2541725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3137B"/>
    <w:rsid w:val="0005512A"/>
    <w:rsid w:val="000575D4"/>
    <w:rsid w:val="00063BFD"/>
    <w:rsid w:val="000A05E7"/>
    <w:rsid w:val="000C5D3E"/>
    <w:rsid w:val="000E46E0"/>
    <w:rsid w:val="000E55CE"/>
    <w:rsid w:val="000E5AAD"/>
    <w:rsid w:val="001456B2"/>
    <w:rsid w:val="0018214B"/>
    <w:rsid w:val="001C1921"/>
    <w:rsid w:val="001E1403"/>
    <w:rsid w:val="001E79FC"/>
    <w:rsid w:val="001F5F0C"/>
    <w:rsid w:val="002038D4"/>
    <w:rsid w:val="00205CE5"/>
    <w:rsid w:val="00220C63"/>
    <w:rsid w:val="00236C2C"/>
    <w:rsid w:val="0024535E"/>
    <w:rsid w:val="00257DDB"/>
    <w:rsid w:val="00264EC4"/>
    <w:rsid w:val="0028042A"/>
    <w:rsid w:val="00283DD3"/>
    <w:rsid w:val="00295531"/>
    <w:rsid w:val="002A11C4"/>
    <w:rsid w:val="002A494F"/>
    <w:rsid w:val="002A66DB"/>
    <w:rsid w:val="002C1311"/>
    <w:rsid w:val="002C608B"/>
    <w:rsid w:val="002E5BDD"/>
    <w:rsid w:val="002F6EF2"/>
    <w:rsid w:val="00327E9B"/>
    <w:rsid w:val="00333300"/>
    <w:rsid w:val="00337DAE"/>
    <w:rsid w:val="00354DC1"/>
    <w:rsid w:val="00363980"/>
    <w:rsid w:val="00386789"/>
    <w:rsid w:val="00397BE1"/>
    <w:rsid w:val="003B263F"/>
    <w:rsid w:val="003C77C4"/>
    <w:rsid w:val="0041201B"/>
    <w:rsid w:val="004263DD"/>
    <w:rsid w:val="00427206"/>
    <w:rsid w:val="00443D28"/>
    <w:rsid w:val="00445BE2"/>
    <w:rsid w:val="00451417"/>
    <w:rsid w:val="0045284D"/>
    <w:rsid w:val="00467091"/>
    <w:rsid w:val="004707AB"/>
    <w:rsid w:val="00472654"/>
    <w:rsid w:val="00473C55"/>
    <w:rsid w:val="00496F3D"/>
    <w:rsid w:val="004A6F4A"/>
    <w:rsid w:val="004B72C6"/>
    <w:rsid w:val="004C0FC6"/>
    <w:rsid w:val="004D36C5"/>
    <w:rsid w:val="004F4BD8"/>
    <w:rsid w:val="004F679A"/>
    <w:rsid w:val="00503A9C"/>
    <w:rsid w:val="00513861"/>
    <w:rsid w:val="00533052"/>
    <w:rsid w:val="005409EA"/>
    <w:rsid w:val="00581AFB"/>
    <w:rsid w:val="005867CF"/>
    <w:rsid w:val="00592A54"/>
    <w:rsid w:val="00594931"/>
    <w:rsid w:val="005A0F5B"/>
    <w:rsid w:val="005B5828"/>
    <w:rsid w:val="005C172C"/>
    <w:rsid w:val="005C4CA6"/>
    <w:rsid w:val="00617CFB"/>
    <w:rsid w:val="006218CD"/>
    <w:rsid w:val="006321DD"/>
    <w:rsid w:val="00662D60"/>
    <w:rsid w:val="00663640"/>
    <w:rsid w:val="00670979"/>
    <w:rsid w:val="006800DE"/>
    <w:rsid w:val="00683BEF"/>
    <w:rsid w:val="006E3127"/>
    <w:rsid w:val="006F6E41"/>
    <w:rsid w:val="00704603"/>
    <w:rsid w:val="00713463"/>
    <w:rsid w:val="00733530"/>
    <w:rsid w:val="00733ABE"/>
    <w:rsid w:val="007341FE"/>
    <w:rsid w:val="007502BB"/>
    <w:rsid w:val="00751F53"/>
    <w:rsid w:val="00762052"/>
    <w:rsid w:val="0078260E"/>
    <w:rsid w:val="00796136"/>
    <w:rsid w:val="007A3A9F"/>
    <w:rsid w:val="007D3805"/>
    <w:rsid w:val="007F7522"/>
    <w:rsid w:val="00810426"/>
    <w:rsid w:val="00812700"/>
    <w:rsid w:val="00814291"/>
    <w:rsid w:val="0081434C"/>
    <w:rsid w:val="0082638D"/>
    <w:rsid w:val="00842340"/>
    <w:rsid w:val="0085701E"/>
    <w:rsid w:val="00880B40"/>
    <w:rsid w:val="008B0E11"/>
    <w:rsid w:val="008C4775"/>
    <w:rsid w:val="008D4183"/>
    <w:rsid w:val="008E1C1A"/>
    <w:rsid w:val="00915D09"/>
    <w:rsid w:val="00930C1F"/>
    <w:rsid w:val="00964655"/>
    <w:rsid w:val="00980974"/>
    <w:rsid w:val="009E6E5D"/>
    <w:rsid w:val="009E79FE"/>
    <w:rsid w:val="00A00D11"/>
    <w:rsid w:val="00A14FD6"/>
    <w:rsid w:val="00A15A0C"/>
    <w:rsid w:val="00A1737F"/>
    <w:rsid w:val="00A23FD3"/>
    <w:rsid w:val="00A52644"/>
    <w:rsid w:val="00A5511E"/>
    <w:rsid w:val="00A64535"/>
    <w:rsid w:val="00A71BC5"/>
    <w:rsid w:val="00A92B19"/>
    <w:rsid w:val="00AA4D06"/>
    <w:rsid w:val="00AB30F8"/>
    <w:rsid w:val="00AB760B"/>
    <w:rsid w:val="00AC426C"/>
    <w:rsid w:val="00AD196B"/>
    <w:rsid w:val="00AD4B40"/>
    <w:rsid w:val="00AD7CB4"/>
    <w:rsid w:val="00B54AD5"/>
    <w:rsid w:val="00B731BA"/>
    <w:rsid w:val="00B92C9D"/>
    <w:rsid w:val="00B9748E"/>
    <w:rsid w:val="00BF5F29"/>
    <w:rsid w:val="00C02585"/>
    <w:rsid w:val="00C33DC6"/>
    <w:rsid w:val="00C36D1A"/>
    <w:rsid w:val="00C42052"/>
    <w:rsid w:val="00C52C43"/>
    <w:rsid w:val="00C62187"/>
    <w:rsid w:val="00C71078"/>
    <w:rsid w:val="00C7793C"/>
    <w:rsid w:val="00C811F8"/>
    <w:rsid w:val="00CA01E1"/>
    <w:rsid w:val="00CA0D5D"/>
    <w:rsid w:val="00CB0143"/>
    <w:rsid w:val="00CC434D"/>
    <w:rsid w:val="00CC6EAA"/>
    <w:rsid w:val="00CD2826"/>
    <w:rsid w:val="00CF4C1D"/>
    <w:rsid w:val="00D0371C"/>
    <w:rsid w:val="00D105FA"/>
    <w:rsid w:val="00D22AF9"/>
    <w:rsid w:val="00D272B2"/>
    <w:rsid w:val="00D45B4B"/>
    <w:rsid w:val="00D45D96"/>
    <w:rsid w:val="00D46172"/>
    <w:rsid w:val="00D9404D"/>
    <w:rsid w:val="00D95885"/>
    <w:rsid w:val="00DA2CDC"/>
    <w:rsid w:val="00DA360E"/>
    <w:rsid w:val="00DA4F89"/>
    <w:rsid w:val="00DB349E"/>
    <w:rsid w:val="00DB74E5"/>
    <w:rsid w:val="00DC2B62"/>
    <w:rsid w:val="00DC3AA2"/>
    <w:rsid w:val="00DD55C9"/>
    <w:rsid w:val="00E16B5D"/>
    <w:rsid w:val="00E21D17"/>
    <w:rsid w:val="00E2776B"/>
    <w:rsid w:val="00E32082"/>
    <w:rsid w:val="00E66697"/>
    <w:rsid w:val="00E73332"/>
    <w:rsid w:val="00E81BB4"/>
    <w:rsid w:val="00E9726C"/>
    <w:rsid w:val="00EA2D91"/>
    <w:rsid w:val="00EB7E77"/>
    <w:rsid w:val="00ED0231"/>
    <w:rsid w:val="00EE16CB"/>
    <w:rsid w:val="00F214D7"/>
    <w:rsid w:val="00F51CE4"/>
    <w:rsid w:val="00F55B30"/>
    <w:rsid w:val="00F72E75"/>
    <w:rsid w:val="00F7562C"/>
    <w:rsid w:val="00F916C3"/>
    <w:rsid w:val="00F93958"/>
    <w:rsid w:val="00FA11C1"/>
    <w:rsid w:val="00FC2C28"/>
    <w:rsid w:val="00FD0ECF"/>
    <w:rsid w:val="00FD3B30"/>
    <w:rsid w:val="00FE54DD"/>
    <w:rsid w:val="00FE7800"/>
    <w:rsid w:val="00FF043E"/>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C6EAA"/>
    <w:pPr>
      <w:spacing w:line="360" w:lineRule="auto"/>
      <w:jc w:val="both"/>
    </w:pPr>
    <w:rPr>
      <w:rFonts w:ascii="Calibri" w:hAnsi="Calibri" w:cs="Times , serif"/>
      <w:sz w:val="22"/>
      <w:szCs w:val="24"/>
    </w:rPr>
  </w:style>
  <w:style w:type="paragraph" w:styleId="Ttulo1">
    <w:name w:val="heading 1"/>
    <w:basedOn w:val="Normal"/>
    <w:next w:val="BodyText1"/>
    <w:link w:val="Ttulo1Carter"/>
    <w:uiPriority w:val="9"/>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uiPriority w:val="9"/>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 w:type="paragraph" w:styleId="Bibliografia">
    <w:name w:val="Bibliography"/>
    <w:basedOn w:val="Normal"/>
    <w:next w:val="Normal"/>
    <w:uiPriority w:val="37"/>
    <w:unhideWhenUsed/>
    <w:rsid w:val="00A52644"/>
  </w:style>
  <w:style w:type="paragraph" w:styleId="Legenda">
    <w:name w:val="caption"/>
    <w:basedOn w:val="Normal"/>
    <w:next w:val="Normal"/>
    <w:unhideWhenUsed/>
    <w:qFormat/>
    <w:rsid w:val="00FA11C1"/>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7A3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4524">
      <w:bodyDiv w:val="1"/>
      <w:marLeft w:val="0"/>
      <w:marRight w:val="0"/>
      <w:marTop w:val="0"/>
      <w:marBottom w:val="0"/>
      <w:divBdr>
        <w:top w:val="none" w:sz="0" w:space="0" w:color="auto"/>
        <w:left w:val="none" w:sz="0" w:space="0" w:color="auto"/>
        <w:bottom w:val="none" w:sz="0" w:space="0" w:color="auto"/>
        <w:right w:val="none" w:sz="0" w:space="0" w:color="auto"/>
      </w:divBdr>
    </w:div>
    <w:div w:id="33820539">
      <w:bodyDiv w:val="1"/>
      <w:marLeft w:val="0"/>
      <w:marRight w:val="0"/>
      <w:marTop w:val="0"/>
      <w:marBottom w:val="0"/>
      <w:divBdr>
        <w:top w:val="none" w:sz="0" w:space="0" w:color="auto"/>
        <w:left w:val="none" w:sz="0" w:space="0" w:color="auto"/>
        <w:bottom w:val="none" w:sz="0" w:space="0" w:color="auto"/>
        <w:right w:val="none" w:sz="0" w:space="0" w:color="auto"/>
      </w:divBdr>
    </w:div>
    <w:div w:id="59912039">
      <w:bodyDiv w:val="1"/>
      <w:marLeft w:val="0"/>
      <w:marRight w:val="0"/>
      <w:marTop w:val="0"/>
      <w:marBottom w:val="0"/>
      <w:divBdr>
        <w:top w:val="none" w:sz="0" w:space="0" w:color="auto"/>
        <w:left w:val="none" w:sz="0" w:space="0" w:color="auto"/>
        <w:bottom w:val="none" w:sz="0" w:space="0" w:color="auto"/>
        <w:right w:val="none" w:sz="0" w:space="0" w:color="auto"/>
      </w:divBdr>
    </w:div>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67272173">
      <w:bodyDiv w:val="1"/>
      <w:marLeft w:val="0"/>
      <w:marRight w:val="0"/>
      <w:marTop w:val="0"/>
      <w:marBottom w:val="0"/>
      <w:divBdr>
        <w:top w:val="none" w:sz="0" w:space="0" w:color="auto"/>
        <w:left w:val="none" w:sz="0" w:space="0" w:color="auto"/>
        <w:bottom w:val="none" w:sz="0" w:space="0" w:color="auto"/>
        <w:right w:val="none" w:sz="0" w:space="0" w:color="auto"/>
      </w:divBdr>
    </w:div>
    <w:div w:id="124548966">
      <w:bodyDiv w:val="1"/>
      <w:marLeft w:val="0"/>
      <w:marRight w:val="0"/>
      <w:marTop w:val="0"/>
      <w:marBottom w:val="0"/>
      <w:divBdr>
        <w:top w:val="none" w:sz="0" w:space="0" w:color="auto"/>
        <w:left w:val="none" w:sz="0" w:space="0" w:color="auto"/>
        <w:bottom w:val="none" w:sz="0" w:space="0" w:color="auto"/>
        <w:right w:val="none" w:sz="0" w:space="0" w:color="auto"/>
      </w:divBdr>
    </w:div>
    <w:div w:id="166680369">
      <w:bodyDiv w:val="1"/>
      <w:marLeft w:val="0"/>
      <w:marRight w:val="0"/>
      <w:marTop w:val="0"/>
      <w:marBottom w:val="0"/>
      <w:divBdr>
        <w:top w:val="none" w:sz="0" w:space="0" w:color="auto"/>
        <w:left w:val="none" w:sz="0" w:space="0" w:color="auto"/>
        <w:bottom w:val="none" w:sz="0" w:space="0" w:color="auto"/>
        <w:right w:val="none" w:sz="0" w:space="0" w:color="auto"/>
      </w:divBdr>
    </w:div>
    <w:div w:id="181939508">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42030634">
      <w:bodyDiv w:val="1"/>
      <w:marLeft w:val="0"/>
      <w:marRight w:val="0"/>
      <w:marTop w:val="0"/>
      <w:marBottom w:val="0"/>
      <w:divBdr>
        <w:top w:val="none" w:sz="0" w:space="0" w:color="auto"/>
        <w:left w:val="none" w:sz="0" w:space="0" w:color="auto"/>
        <w:bottom w:val="none" w:sz="0" w:space="0" w:color="auto"/>
        <w:right w:val="none" w:sz="0" w:space="0" w:color="auto"/>
      </w:divBdr>
    </w:div>
    <w:div w:id="250090194">
      <w:bodyDiv w:val="1"/>
      <w:marLeft w:val="0"/>
      <w:marRight w:val="0"/>
      <w:marTop w:val="0"/>
      <w:marBottom w:val="0"/>
      <w:divBdr>
        <w:top w:val="none" w:sz="0" w:space="0" w:color="auto"/>
        <w:left w:val="none" w:sz="0" w:space="0" w:color="auto"/>
        <w:bottom w:val="none" w:sz="0" w:space="0" w:color="auto"/>
        <w:right w:val="none" w:sz="0" w:space="0" w:color="auto"/>
      </w:divBdr>
    </w:div>
    <w:div w:id="265694223">
      <w:bodyDiv w:val="1"/>
      <w:marLeft w:val="0"/>
      <w:marRight w:val="0"/>
      <w:marTop w:val="0"/>
      <w:marBottom w:val="0"/>
      <w:divBdr>
        <w:top w:val="none" w:sz="0" w:space="0" w:color="auto"/>
        <w:left w:val="none" w:sz="0" w:space="0" w:color="auto"/>
        <w:bottom w:val="none" w:sz="0" w:space="0" w:color="auto"/>
        <w:right w:val="none" w:sz="0" w:space="0" w:color="auto"/>
      </w:divBdr>
    </w:div>
    <w:div w:id="268314413">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362172596">
      <w:bodyDiv w:val="1"/>
      <w:marLeft w:val="0"/>
      <w:marRight w:val="0"/>
      <w:marTop w:val="0"/>
      <w:marBottom w:val="0"/>
      <w:divBdr>
        <w:top w:val="none" w:sz="0" w:space="0" w:color="auto"/>
        <w:left w:val="none" w:sz="0" w:space="0" w:color="auto"/>
        <w:bottom w:val="none" w:sz="0" w:space="0" w:color="auto"/>
        <w:right w:val="none" w:sz="0" w:space="0" w:color="auto"/>
      </w:divBdr>
    </w:div>
    <w:div w:id="376592903">
      <w:bodyDiv w:val="1"/>
      <w:marLeft w:val="0"/>
      <w:marRight w:val="0"/>
      <w:marTop w:val="0"/>
      <w:marBottom w:val="0"/>
      <w:divBdr>
        <w:top w:val="none" w:sz="0" w:space="0" w:color="auto"/>
        <w:left w:val="none" w:sz="0" w:space="0" w:color="auto"/>
        <w:bottom w:val="none" w:sz="0" w:space="0" w:color="auto"/>
        <w:right w:val="none" w:sz="0" w:space="0" w:color="auto"/>
      </w:divBdr>
    </w:div>
    <w:div w:id="495459792">
      <w:bodyDiv w:val="1"/>
      <w:marLeft w:val="0"/>
      <w:marRight w:val="0"/>
      <w:marTop w:val="0"/>
      <w:marBottom w:val="0"/>
      <w:divBdr>
        <w:top w:val="none" w:sz="0" w:space="0" w:color="auto"/>
        <w:left w:val="none" w:sz="0" w:space="0" w:color="auto"/>
        <w:bottom w:val="none" w:sz="0" w:space="0" w:color="auto"/>
        <w:right w:val="none" w:sz="0" w:space="0" w:color="auto"/>
      </w:divBdr>
    </w:div>
    <w:div w:id="606038723">
      <w:bodyDiv w:val="1"/>
      <w:marLeft w:val="0"/>
      <w:marRight w:val="0"/>
      <w:marTop w:val="0"/>
      <w:marBottom w:val="0"/>
      <w:divBdr>
        <w:top w:val="none" w:sz="0" w:space="0" w:color="auto"/>
        <w:left w:val="none" w:sz="0" w:space="0" w:color="auto"/>
        <w:bottom w:val="none" w:sz="0" w:space="0" w:color="auto"/>
        <w:right w:val="none" w:sz="0" w:space="0" w:color="auto"/>
      </w:divBdr>
    </w:div>
    <w:div w:id="626281622">
      <w:bodyDiv w:val="1"/>
      <w:marLeft w:val="0"/>
      <w:marRight w:val="0"/>
      <w:marTop w:val="0"/>
      <w:marBottom w:val="0"/>
      <w:divBdr>
        <w:top w:val="none" w:sz="0" w:space="0" w:color="auto"/>
        <w:left w:val="none" w:sz="0" w:space="0" w:color="auto"/>
        <w:bottom w:val="none" w:sz="0" w:space="0" w:color="auto"/>
        <w:right w:val="none" w:sz="0" w:space="0" w:color="auto"/>
      </w:divBdr>
    </w:div>
    <w:div w:id="633026177">
      <w:bodyDiv w:val="1"/>
      <w:marLeft w:val="0"/>
      <w:marRight w:val="0"/>
      <w:marTop w:val="0"/>
      <w:marBottom w:val="0"/>
      <w:divBdr>
        <w:top w:val="none" w:sz="0" w:space="0" w:color="auto"/>
        <w:left w:val="none" w:sz="0" w:space="0" w:color="auto"/>
        <w:bottom w:val="none" w:sz="0" w:space="0" w:color="auto"/>
        <w:right w:val="none" w:sz="0" w:space="0" w:color="auto"/>
      </w:divBdr>
    </w:div>
    <w:div w:id="797917421">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 w:id="864712650">
      <w:bodyDiv w:val="1"/>
      <w:marLeft w:val="0"/>
      <w:marRight w:val="0"/>
      <w:marTop w:val="0"/>
      <w:marBottom w:val="0"/>
      <w:divBdr>
        <w:top w:val="none" w:sz="0" w:space="0" w:color="auto"/>
        <w:left w:val="none" w:sz="0" w:space="0" w:color="auto"/>
        <w:bottom w:val="none" w:sz="0" w:space="0" w:color="auto"/>
        <w:right w:val="none" w:sz="0" w:space="0" w:color="auto"/>
      </w:divBdr>
    </w:div>
    <w:div w:id="955063663">
      <w:bodyDiv w:val="1"/>
      <w:marLeft w:val="0"/>
      <w:marRight w:val="0"/>
      <w:marTop w:val="0"/>
      <w:marBottom w:val="0"/>
      <w:divBdr>
        <w:top w:val="none" w:sz="0" w:space="0" w:color="auto"/>
        <w:left w:val="none" w:sz="0" w:space="0" w:color="auto"/>
        <w:bottom w:val="none" w:sz="0" w:space="0" w:color="auto"/>
        <w:right w:val="none" w:sz="0" w:space="0" w:color="auto"/>
      </w:divBdr>
    </w:div>
    <w:div w:id="986737945">
      <w:bodyDiv w:val="1"/>
      <w:marLeft w:val="0"/>
      <w:marRight w:val="0"/>
      <w:marTop w:val="0"/>
      <w:marBottom w:val="0"/>
      <w:divBdr>
        <w:top w:val="none" w:sz="0" w:space="0" w:color="auto"/>
        <w:left w:val="none" w:sz="0" w:space="0" w:color="auto"/>
        <w:bottom w:val="none" w:sz="0" w:space="0" w:color="auto"/>
        <w:right w:val="none" w:sz="0" w:space="0" w:color="auto"/>
      </w:divBdr>
    </w:div>
    <w:div w:id="1004167149">
      <w:bodyDiv w:val="1"/>
      <w:marLeft w:val="0"/>
      <w:marRight w:val="0"/>
      <w:marTop w:val="0"/>
      <w:marBottom w:val="0"/>
      <w:divBdr>
        <w:top w:val="none" w:sz="0" w:space="0" w:color="auto"/>
        <w:left w:val="none" w:sz="0" w:space="0" w:color="auto"/>
        <w:bottom w:val="none" w:sz="0" w:space="0" w:color="auto"/>
        <w:right w:val="none" w:sz="0" w:space="0" w:color="auto"/>
      </w:divBdr>
    </w:div>
    <w:div w:id="1073813520">
      <w:bodyDiv w:val="1"/>
      <w:marLeft w:val="0"/>
      <w:marRight w:val="0"/>
      <w:marTop w:val="0"/>
      <w:marBottom w:val="0"/>
      <w:divBdr>
        <w:top w:val="none" w:sz="0" w:space="0" w:color="auto"/>
        <w:left w:val="none" w:sz="0" w:space="0" w:color="auto"/>
        <w:bottom w:val="none" w:sz="0" w:space="0" w:color="auto"/>
        <w:right w:val="none" w:sz="0" w:space="0" w:color="auto"/>
      </w:divBdr>
    </w:div>
    <w:div w:id="1143816059">
      <w:bodyDiv w:val="1"/>
      <w:marLeft w:val="0"/>
      <w:marRight w:val="0"/>
      <w:marTop w:val="0"/>
      <w:marBottom w:val="0"/>
      <w:divBdr>
        <w:top w:val="none" w:sz="0" w:space="0" w:color="auto"/>
        <w:left w:val="none" w:sz="0" w:space="0" w:color="auto"/>
        <w:bottom w:val="none" w:sz="0" w:space="0" w:color="auto"/>
        <w:right w:val="none" w:sz="0" w:space="0" w:color="auto"/>
      </w:divBdr>
    </w:div>
    <w:div w:id="1211839497">
      <w:bodyDiv w:val="1"/>
      <w:marLeft w:val="0"/>
      <w:marRight w:val="0"/>
      <w:marTop w:val="0"/>
      <w:marBottom w:val="0"/>
      <w:divBdr>
        <w:top w:val="none" w:sz="0" w:space="0" w:color="auto"/>
        <w:left w:val="none" w:sz="0" w:space="0" w:color="auto"/>
        <w:bottom w:val="none" w:sz="0" w:space="0" w:color="auto"/>
        <w:right w:val="none" w:sz="0" w:space="0" w:color="auto"/>
      </w:divBdr>
    </w:div>
    <w:div w:id="1251738398">
      <w:bodyDiv w:val="1"/>
      <w:marLeft w:val="0"/>
      <w:marRight w:val="0"/>
      <w:marTop w:val="0"/>
      <w:marBottom w:val="0"/>
      <w:divBdr>
        <w:top w:val="none" w:sz="0" w:space="0" w:color="auto"/>
        <w:left w:val="none" w:sz="0" w:space="0" w:color="auto"/>
        <w:bottom w:val="none" w:sz="0" w:space="0" w:color="auto"/>
        <w:right w:val="none" w:sz="0" w:space="0" w:color="auto"/>
      </w:divBdr>
    </w:div>
    <w:div w:id="1283998573">
      <w:bodyDiv w:val="1"/>
      <w:marLeft w:val="0"/>
      <w:marRight w:val="0"/>
      <w:marTop w:val="0"/>
      <w:marBottom w:val="0"/>
      <w:divBdr>
        <w:top w:val="none" w:sz="0" w:space="0" w:color="auto"/>
        <w:left w:val="none" w:sz="0" w:space="0" w:color="auto"/>
        <w:bottom w:val="none" w:sz="0" w:space="0" w:color="auto"/>
        <w:right w:val="none" w:sz="0" w:space="0" w:color="auto"/>
      </w:divBdr>
    </w:div>
    <w:div w:id="1449088389">
      <w:bodyDiv w:val="1"/>
      <w:marLeft w:val="0"/>
      <w:marRight w:val="0"/>
      <w:marTop w:val="0"/>
      <w:marBottom w:val="0"/>
      <w:divBdr>
        <w:top w:val="none" w:sz="0" w:space="0" w:color="auto"/>
        <w:left w:val="none" w:sz="0" w:space="0" w:color="auto"/>
        <w:bottom w:val="none" w:sz="0" w:space="0" w:color="auto"/>
        <w:right w:val="none" w:sz="0" w:space="0" w:color="auto"/>
      </w:divBdr>
    </w:div>
    <w:div w:id="1456093496">
      <w:bodyDiv w:val="1"/>
      <w:marLeft w:val="0"/>
      <w:marRight w:val="0"/>
      <w:marTop w:val="0"/>
      <w:marBottom w:val="0"/>
      <w:divBdr>
        <w:top w:val="none" w:sz="0" w:space="0" w:color="auto"/>
        <w:left w:val="none" w:sz="0" w:space="0" w:color="auto"/>
        <w:bottom w:val="none" w:sz="0" w:space="0" w:color="auto"/>
        <w:right w:val="none" w:sz="0" w:space="0" w:color="auto"/>
      </w:divBdr>
    </w:div>
    <w:div w:id="1494907499">
      <w:bodyDiv w:val="1"/>
      <w:marLeft w:val="0"/>
      <w:marRight w:val="0"/>
      <w:marTop w:val="0"/>
      <w:marBottom w:val="0"/>
      <w:divBdr>
        <w:top w:val="none" w:sz="0" w:space="0" w:color="auto"/>
        <w:left w:val="none" w:sz="0" w:space="0" w:color="auto"/>
        <w:bottom w:val="none" w:sz="0" w:space="0" w:color="auto"/>
        <w:right w:val="none" w:sz="0" w:space="0" w:color="auto"/>
      </w:divBdr>
    </w:div>
    <w:div w:id="1511484472">
      <w:bodyDiv w:val="1"/>
      <w:marLeft w:val="0"/>
      <w:marRight w:val="0"/>
      <w:marTop w:val="0"/>
      <w:marBottom w:val="0"/>
      <w:divBdr>
        <w:top w:val="none" w:sz="0" w:space="0" w:color="auto"/>
        <w:left w:val="none" w:sz="0" w:space="0" w:color="auto"/>
        <w:bottom w:val="none" w:sz="0" w:space="0" w:color="auto"/>
        <w:right w:val="none" w:sz="0" w:space="0" w:color="auto"/>
      </w:divBdr>
    </w:div>
    <w:div w:id="1564019735">
      <w:bodyDiv w:val="1"/>
      <w:marLeft w:val="0"/>
      <w:marRight w:val="0"/>
      <w:marTop w:val="0"/>
      <w:marBottom w:val="0"/>
      <w:divBdr>
        <w:top w:val="none" w:sz="0" w:space="0" w:color="auto"/>
        <w:left w:val="none" w:sz="0" w:space="0" w:color="auto"/>
        <w:bottom w:val="none" w:sz="0" w:space="0" w:color="auto"/>
        <w:right w:val="none" w:sz="0" w:space="0" w:color="auto"/>
      </w:divBdr>
    </w:div>
    <w:div w:id="1577393701">
      <w:bodyDiv w:val="1"/>
      <w:marLeft w:val="0"/>
      <w:marRight w:val="0"/>
      <w:marTop w:val="0"/>
      <w:marBottom w:val="0"/>
      <w:divBdr>
        <w:top w:val="none" w:sz="0" w:space="0" w:color="auto"/>
        <w:left w:val="none" w:sz="0" w:space="0" w:color="auto"/>
        <w:bottom w:val="none" w:sz="0" w:space="0" w:color="auto"/>
        <w:right w:val="none" w:sz="0" w:space="0" w:color="auto"/>
      </w:divBdr>
    </w:div>
    <w:div w:id="1693605799">
      <w:bodyDiv w:val="1"/>
      <w:marLeft w:val="0"/>
      <w:marRight w:val="0"/>
      <w:marTop w:val="0"/>
      <w:marBottom w:val="0"/>
      <w:divBdr>
        <w:top w:val="none" w:sz="0" w:space="0" w:color="auto"/>
        <w:left w:val="none" w:sz="0" w:space="0" w:color="auto"/>
        <w:bottom w:val="none" w:sz="0" w:space="0" w:color="auto"/>
        <w:right w:val="none" w:sz="0" w:space="0" w:color="auto"/>
      </w:divBdr>
    </w:div>
    <w:div w:id="1749885492">
      <w:bodyDiv w:val="1"/>
      <w:marLeft w:val="0"/>
      <w:marRight w:val="0"/>
      <w:marTop w:val="0"/>
      <w:marBottom w:val="0"/>
      <w:divBdr>
        <w:top w:val="none" w:sz="0" w:space="0" w:color="auto"/>
        <w:left w:val="none" w:sz="0" w:space="0" w:color="auto"/>
        <w:bottom w:val="none" w:sz="0" w:space="0" w:color="auto"/>
        <w:right w:val="none" w:sz="0" w:space="0" w:color="auto"/>
      </w:divBdr>
    </w:div>
    <w:div w:id="1784762931">
      <w:bodyDiv w:val="1"/>
      <w:marLeft w:val="0"/>
      <w:marRight w:val="0"/>
      <w:marTop w:val="0"/>
      <w:marBottom w:val="0"/>
      <w:divBdr>
        <w:top w:val="none" w:sz="0" w:space="0" w:color="auto"/>
        <w:left w:val="none" w:sz="0" w:space="0" w:color="auto"/>
        <w:bottom w:val="none" w:sz="0" w:space="0" w:color="auto"/>
        <w:right w:val="none" w:sz="0" w:space="0" w:color="auto"/>
      </w:divBdr>
    </w:div>
    <w:div w:id="1805001334">
      <w:bodyDiv w:val="1"/>
      <w:marLeft w:val="0"/>
      <w:marRight w:val="0"/>
      <w:marTop w:val="0"/>
      <w:marBottom w:val="0"/>
      <w:divBdr>
        <w:top w:val="none" w:sz="0" w:space="0" w:color="auto"/>
        <w:left w:val="none" w:sz="0" w:space="0" w:color="auto"/>
        <w:bottom w:val="none" w:sz="0" w:space="0" w:color="auto"/>
        <w:right w:val="none" w:sz="0" w:space="0" w:color="auto"/>
      </w:divBdr>
    </w:div>
    <w:div w:id="1834486720">
      <w:bodyDiv w:val="1"/>
      <w:marLeft w:val="0"/>
      <w:marRight w:val="0"/>
      <w:marTop w:val="0"/>
      <w:marBottom w:val="0"/>
      <w:divBdr>
        <w:top w:val="none" w:sz="0" w:space="0" w:color="auto"/>
        <w:left w:val="none" w:sz="0" w:space="0" w:color="auto"/>
        <w:bottom w:val="none" w:sz="0" w:space="0" w:color="auto"/>
        <w:right w:val="none" w:sz="0" w:space="0" w:color="auto"/>
      </w:divBdr>
    </w:div>
    <w:div w:id="1841236122">
      <w:bodyDiv w:val="1"/>
      <w:marLeft w:val="0"/>
      <w:marRight w:val="0"/>
      <w:marTop w:val="0"/>
      <w:marBottom w:val="0"/>
      <w:divBdr>
        <w:top w:val="none" w:sz="0" w:space="0" w:color="auto"/>
        <w:left w:val="none" w:sz="0" w:space="0" w:color="auto"/>
        <w:bottom w:val="none" w:sz="0" w:space="0" w:color="auto"/>
        <w:right w:val="none" w:sz="0" w:space="0" w:color="auto"/>
      </w:divBdr>
    </w:div>
    <w:div w:id="1881085770">
      <w:bodyDiv w:val="1"/>
      <w:marLeft w:val="0"/>
      <w:marRight w:val="0"/>
      <w:marTop w:val="0"/>
      <w:marBottom w:val="0"/>
      <w:divBdr>
        <w:top w:val="none" w:sz="0" w:space="0" w:color="auto"/>
        <w:left w:val="none" w:sz="0" w:space="0" w:color="auto"/>
        <w:bottom w:val="none" w:sz="0" w:space="0" w:color="auto"/>
        <w:right w:val="none" w:sz="0" w:space="0" w:color="auto"/>
      </w:divBdr>
    </w:div>
    <w:div w:id="1902015616">
      <w:bodyDiv w:val="1"/>
      <w:marLeft w:val="0"/>
      <w:marRight w:val="0"/>
      <w:marTop w:val="0"/>
      <w:marBottom w:val="0"/>
      <w:divBdr>
        <w:top w:val="none" w:sz="0" w:space="0" w:color="auto"/>
        <w:left w:val="none" w:sz="0" w:space="0" w:color="auto"/>
        <w:bottom w:val="none" w:sz="0" w:space="0" w:color="auto"/>
        <w:right w:val="none" w:sz="0" w:space="0" w:color="auto"/>
      </w:divBdr>
    </w:div>
    <w:div w:id="1937131109">
      <w:bodyDiv w:val="1"/>
      <w:marLeft w:val="0"/>
      <w:marRight w:val="0"/>
      <w:marTop w:val="0"/>
      <w:marBottom w:val="0"/>
      <w:divBdr>
        <w:top w:val="none" w:sz="0" w:space="0" w:color="auto"/>
        <w:left w:val="none" w:sz="0" w:space="0" w:color="auto"/>
        <w:bottom w:val="none" w:sz="0" w:space="0" w:color="auto"/>
        <w:right w:val="none" w:sz="0" w:space="0" w:color="auto"/>
      </w:divBdr>
    </w:div>
    <w:div w:id="211185279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espo.be/news/port-pro-of-the-month-ioannis-tsaras-gr" TargetMode="External"/><Relationship Id="rId26" Type="http://schemas.openxmlformats.org/officeDocument/2006/relationships/hyperlink" Target="https://transport.ec.europa.eu/index_en" TargetMode="External"/><Relationship Id="rId3" Type="http://schemas.openxmlformats.org/officeDocument/2006/relationships/customXml" Target="../customXml/item3.xml"/><Relationship Id="rId21" Type="http://schemas.openxmlformats.org/officeDocument/2006/relationships/hyperlink" Target="https://www.thpa.gr/our-vision"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hyperlink" Target="https://www.oecd.org/en/publications/market-access-trade-in-transport-services-and-trade-facilitation_9789282101476-en.html"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rightship.com/insights/port-thessaloniki-becomes-first-port-in-eu-mediterranean-pilot-ship-emissions-monitoring-under-helmepa-led-metavasea" TargetMode="External"/><Relationship Id="rId29" Type="http://schemas.openxmlformats.org/officeDocument/2006/relationships/hyperlink" Target="https://www.porttechnology.org/news/thessaloniki-port-reports-record-e100-million-revenue-in-202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lloydslist.com"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porteconomics.eu/calls-connectivity-liners-and-alliances-at-thessaloniki-container-port" TargetMode="External"/><Relationship Id="rId28" Type="http://schemas.openxmlformats.org/officeDocument/2006/relationships/hyperlink" Target="https://transport.ec.europa.eu/transport-themes/infrastructure-and-investment/trans-european-transport-network-ten-t_en" TargetMode="External"/><Relationship Id="rId10" Type="http://schemas.openxmlformats.org/officeDocument/2006/relationships/endnotes" Target="endnotes.xml"/><Relationship Id="rId19" Type="http://schemas.openxmlformats.org/officeDocument/2006/relationships/hyperlink" Target="https://www.cisco.com/site/us/en/about/case-studies-customer-stories/thessaloniki-port-authority.html"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espo.be" TargetMode="External"/><Relationship Id="rId27" Type="http://schemas.openxmlformats.org/officeDocument/2006/relationships/hyperlink" Target="https://commission.europa.eu/strategy-and-policy/priorities-2019-2024/european-green-deal_en" TargetMode="External"/><Relationship Id="rId30" Type="http://schemas.openxmlformats.org/officeDocument/2006/relationships/hyperlink" Target="https://www.thpa.gr/files/financial/aok_31122023_en.pdf?x84359" TargetMode="Externa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b:Source>
    <b:Tag>Por25</b:Tag>
    <b:SourceType>InternetSite</b:SourceType>
    <b:Guid>{9A3CB6B0-49EE-4CC1-9B89-EFAFF070D39D}</b:Guid>
    <b:Title>Port of Thessaloniki</b:Title>
    <b:URL>https://www.thpa.gr</b:URL>
    <b:YearAccessed>2025</b:YearAccessed>
    <b:MonthAccessed>10</b:MonthAccessed>
    <b:DayAccessed>22</b:DayAccessed>
    <b:RefOrder>1</b:RefOrder>
  </b:Source>
  <b:Source>
    <b:Tag>Mis25</b:Tag>
    <b:SourceType>InternetSite</b:SourceType>
    <b:Guid>{C917616C-6DD2-420B-A19A-39253EAA8D55}</b:Guid>
    <b:Title>Mister Ferry</b:Title>
    <b:URL>https://www.misterferry.com/en/ports/ferry-salonicco.aspx</b:URL>
    <b:YearAccessed>2025</b:YearAccessed>
    <b:MonthAccessed>10</b:MonthAccessed>
    <b:DayAccessed>22</b:DayAccessed>
    <b:RefOrder>3</b:RefOrder>
  </b:Source>
  <b:Source>
    <b:Tag>The25</b:Tag>
    <b:SourceType>DocumentFromInternetSite</b:SourceType>
    <b:Guid>{0AE562C7-9557-4636-ABB7-77434C9E9A22}</b:Guid>
    <b:URL>https://hradf.com/en/thessaloniki-port-authority-s-a-thpa-s-a</b:URL>
    <b:Author>
      <b:Author>
        <b:NameList>
          <b:Person>
            <b:Last>Thessaloniki</b:Last>
            <b:First>Port</b:First>
            <b:Middle>of</b:Middle>
          </b:Person>
        </b:NameList>
      </b:Author>
    </b:Author>
    <b:YearAccessed>2025</b:YearAccessed>
    <b:MonthAccessed>10</b:MonthAccessed>
    <b:DayAccessed>22</b:DayAccessed>
    <b:RefOrder>16</b:RefOrder>
  </b:Source>
  <b:Source>
    <b:Tag>The251</b:Tag>
    <b:SourceType>DocumentFromInternetSite</b:SourceType>
    <b:Guid>{6DE1A6CC-D44E-494C-9558-2142EB5EA965}</b:Guid>
    <b:Author>
      <b:Author>
        <b:NameList>
          <b:Person>
            <b:Last>Thessaloniki</b:Last>
            <b:First>Port</b:First>
            <b:Middle>of</b:Middle>
          </b:Person>
        </b:NameList>
      </b:Author>
    </b:Author>
    <b:URL>https://www.thpa.gr/files/general/ThPA_S.A._Corporate_Brochure_en.pdf</b:URL>
    <b:YearAccessed>2025</b:YearAccessed>
    <b:MonthAccessed>10</b:MonthAccessed>
    <b:DayAccessed>22</b:DayAccessed>
    <b:RefOrder>4</b:RefOrder>
  </b:Source>
  <b:Source>
    <b:Tag>Fun</b:Tag>
    <b:SourceType>InternetSite</b:SourceType>
    <b:Guid>{DDCA736C-0FE7-4AA1-AEFF-F2525D4FF825}</b:Guid>
    <b:URL>https://hradf.com/en/thessaloniki-port-authority-s-a-thpa-s-a</b:URL>
    <b:Author>
      <b:Author>
        <b:NameList>
          <b:Person>
            <b:Last>Fund</b:Last>
            <b:First>Hellenic</b:First>
            <b:Middle>Republic Asset Development</b:Middle>
          </b:Person>
        </b:NameList>
      </b:Author>
    </b:Author>
    <b:RefOrder>5</b:RefOrder>
  </b:Source>
  <b:Source>
    <b:Tag>Wik25</b:Tag>
    <b:SourceType>InternetSite</b:SourceType>
    <b:Guid>{B87D0CE3-1490-4CD6-905D-A355DDD8DDD0}</b:Guid>
    <b:Author>
      <b:Author>
        <b:NameList>
          <b:Person>
            <b:Last>Wikipedia</b:Last>
          </b:Person>
        </b:NameList>
      </b:Author>
    </b:Author>
    <b:Title>Wikipedia</b:Title>
    <b:URL>en.wikipedia.org/wiki/Port_of_Thessaloniki</b:URL>
    <b:YearAccessed>2025</b:YearAccessed>
    <b:MonthAccessed>10</b:MonthAccessed>
    <b:DayAccessed>22</b:DayAccessed>
    <b:RefOrder>6</b:RefOrder>
  </b:Source>
  <b:Source>
    <b:Tag>The252</b:Tag>
    <b:SourceType>DocumentFromInternetSite</b:SourceType>
    <b:Guid>{50968920-0FDE-4D43-BC49-D1950492B83E}</b:Guid>
    <b:URL>https://www.thpa.gr/files/general/ThPA_S.A._Corporate_Brochure_en.pdf</b:URL>
    <b:Author>
      <b:Author>
        <b:NameList>
          <b:Person>
            <b:Last>Thessaloniki</b:Last>
            <b:First>Port</b:First>
            <b:Middle>of</b:Middle>
          </b:Person>
        </b:NameList>
      </b:Author>
    </b:Author>
    <b:YearAccessed>2025</b:YearAccessed>
    <b:MonthAccessed>10</b:MonthAccessed>
    <b:DayAccessed>22</b:DayAccessed>
    <b:RefOrder>2</b:RefOrder>
  </b:Source>
  <b:Source>
    <b:Tag>The253</b:Tag>
    <b:SourceType>InternetSite</b:SourceType>
    <b:Guid>{5DFB6C1F-16CD-447A-B8E2-6530EFD72258}</b:Guid>
    <b:URL>www.thpa.gr/financial-performance-for-2024-a-historic-high-in-revenue-and-profitability-for-the-group</b:URL>
    <b:Author>
      <b:Author>
        <b:NameList>
          <b:Person>
            <b:Last>Thessaloniki</b:Last>
            <b:First>Port</b:First>
            <b:Middle>of</b:Middle>
          </b:Person>
        </b:NameList>
      </b:Author>
    </b:Author>
    <b:YearAccessed>2025</b:YearAccessed>
    <b:MonthAccessed>10</b:MonthAccessed>
    <b:DayAccessed>22</b:DayAccessed>
    <b:RefOrder>7</b:RefOrder>
  </b:Source>
  <b:Source>
    <b:Tag>The254</b:Tag>
    <b:SourceType>InternetSite</b:SourceType>
    <b:Guid>{C0649A14-C540-4952-8663-9F76189CBDDF}</b:Guid>
    <b:Author>
      <b:Author>
        <b:NameList>
          <b:Person>
            <b:Last>Thessaloniki</b:Last>
            <b:First>Port</b:First>
            <b:Middle>of</b:Middle>
          </b:Person>
        </b:NameList>
      </b:Author>
    </b:Author>
    <b:URL>https://www.thpa.gr/organizational-structure</b:URL>
    <b:YearAccessed>2025</b:YearAccessed>
    <b:MonthAccessed>10</b:MonthAccessed>
    <b:DayAccessed>22</b:DayAccessed>
    <b:RefOrder>8</b:RefOrder>
  </b:Source>
  <b:Source>
    <b:Tag>Org25</b:Tag>
    <b:SourceType>InternetSite</b:SourceType>
    <b:Guid>{9CA4F510-1A01-4880-BE23-BC37026AE22C}</b:Guid>
    <b:Author>
      <b:Author>
        <b:NameList>
          <b:Person>
            <b:Last>Organization</b:Last>
            <b:First>European</b:First>
            <b:Middle>Sea Ports</b:Middle>
          </b:Person>
        </b:NameList>
      </b:Author>
    </b:Author>
    <b:URL>www.espo.be/news/port-of-the-month-port-of-thessaloniki</b:URL>
    <b:YearAccessed>2025</b:YearAccessed>
    <b:MonthAccessed>10</b:MonthAccessed>
    <b:DayAccessed>22</b:DayAccessed>
    <b:RefOrder>9</b:RefOrder>
  </b:Source>
  <b:Source>
    <b:Tag>Rep25</b:Tag>
    <b:SourceType>InternetSite</b:SourceType>
    <b:Guid>{73DFEEE3-AFF2-4B35-831C-1F47746D2DC3}</b:Guid>
    <b:Author>
      <b:Author>
        <b:NameList>
          <b:Person>
            <b:Last>Repository</b:Last>
            <b:First>Erasmus</b:First>
            <b:Middle>University Thesis</b:Middle>
          </b:Person>
        </b:NameList>
      </b:Author>
    </b:Author>
    <b:URL>https://thesis.eur.nl/pub/53990</b:URL>
    <b:YearAccessed>2025</b:YearAccessed>
    <b:MonthAccessed>10</b:MonthAccessed>
    <b:DayAccessed>22</b:DayAccessed>
    <b:RefOrder>10</b:RefOrder>
  </b:Source>
  <b:Source>
    <b:Tag>The255</b:Tag>
    <b:SourceType>InternetSite</b:SourceType>
    <b:Guid>{66930E14-8111-4ECC-A8B8-0DCD0AF214A9}</b:Guid>
    <b:Author>
      <b:Author>
        <b:NameList>
          <b:Person>
            <b:Last>Thessaloniki</b:Last>
            <b:First>Port</b:First>
            <b:Middle>of</b:Middle>
          </b:Person>
        </b:NameList>
      </b:Author>
    </b:Author>
    <b:URL>https://www.thpa.gr/dt-170424-en</b:URL>
    <b:YearAccessed>2025</b:YearAccessed>
    <b:MonthAccessed>10</b:MonthAccessed>
    <b:DayAccessed>22</b:DayAccessed>
    <b:RefOrder>11</b:RefOrder>
  </b:Source>
  <b:Source>
    <b:Tag>Par25</b:Tag>
    <b:SourceType>InternetSite</b:SourceType>
    <b:Guid>{E479B25E-5B76-4D08-8904-74384B39B6AA}</b:Guid>
    <b:Author>
      <b:Author>
        <b:NameList>
          <b:Person>
            <b:Last>Parliament</b:Last>
            <b:First>European</b:First>
          </b:Person>
        </b:NameList>
      </b:Author>
    </b:Author>
    <b:URL>https://www.europarl.europa.eu/doceo/document/E-9-2022-001553_EN.html</b:URL>
    <b:YearAccessed>2025</b:YearAccessed>
    <b:MonthAccessed>10</b:MonthAccessed>
    <b:DayAccessed>22</b:DayAccessed>
    <b:RefOrder>12</b:RefOrder>
  </b:Source>
  <b:Source>
    <b:Tag>Por251</b:Tag>
    <b:SourceType>InternetSite</b:SourceType>
    <b:Guid>{FC85956B-C4F0-44A6-8769-9B722B449ACB}</b:Guid>
    <b:Title>Port of Thessaloniki</b:Title>
    <b:URL>https://www.thpa.gr/dt_02122021_en</b:URL>
    <b:YearAccessed>2025</b:YearAccessed>
    <b:MonthAccessed>10</b:MonthAccessed>
    <b:DayAccessed>22</b:DayAccessed>
    <b:RefOrder>17</b:RefOrder>
  </b:Source>
  <b:Source>
    <b:Tag>The256</b:Tag>
    <b:SourceType>InternetSite</b:SourceType>
    <b:Guid>{4A013491-3E47-4FB5-BEAF-9717F177C14A}</b:Guid>
    <b:Author>
      <b:Author>
        <b:NameList>
          <b:Person>
            <b:Last>Thessaloniki</b:Last>
            <b:First>Port</b:First>
            <b:Middle>of</b:Middle>
          </b:Person>
        </b:NameList>
      </b:Author>
    </b:Author>
    <b:URL>https://www.thpa.gr/dt_02122021_en</b:URL>
    <b:YearAccessed>2025</b:YearAccessed>
    <b:MonthAccessed>10</b:MonthAccessed>
    <b:DayAccessed>22</b:DayAccessed>
    <b:RefOrder>13</b:RefOrder>
  </b:Source>
  <b:Source>
    <b:Tag>Gro25</b:Tag>
    <b:SourceType>DocumentFromInternetSite</b:SourceType>
    <b:Guid>{97BCD87B-5929-49BC-89DA-5B87C56A4DDA}</b:Guid>
    <b:URL>https://documents1.worldbank.org/curated/en/099100625100539134/pdf/P512916-fe1dc2c8-b236-4cfe-ad18-88303a06122e.pdf</b:URL>
    <b:Author>
      <b:Author>
        <b:NameList>
          <b:Person>
            <b:Last>Group</b:Last>
            <b:First>World</b:First>
            <b:Middle>Bank</b:Middle>
          </b:Person>
        </b:NameList>
      </b:Author>
    </b:Author>
    <b:YearAccessed>2025</b:YearAccessed>
    <b:MonthAccessed>10</b:MonthAccessed>
    <b:DayAccessed>22</b:DayAccessed>
    <b:RefOrder>14</b:RefOrder>
  </b:Source>
  <b:Source>
    <b:Tag>The257</b:Tag>
    <b:SourceType>InternetSite</b:SourceType>
    <b:Guid>{D2EECD74-E84A-4FAF-929D-A169FF827EDD}</b:Guid>
    <b:URL>https://www.thpa.gr/files/general/ThPA_Sustainability_Report_2023_en.pdf</b:URL>
    <b:Author>
      <b:Author>
        <b:NameList>
          <b:Person>
            <b:Last>Thessaloniki</b:Last>
            <b:First>Port</b:First>
            <b:Middle>of</b:Middle>
          </b:Person>
        </b:NameList>
      </b:Author>
    </b:Author>
    <b:YearAccessed>2025</b:YearAccessed>
    <b:MonthAccessed>10</b:MonthAccessed>
    <b:DayAccessed>22</b:DayAccessed>
    <b:RefOrder>15</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926C3C61-161C-4906-8FDA-08330A450A15}">
  <ds:schemaRefs>
    <ds:schemaRef ds:uri="http://schemas.openxmlformats.org/officeDocument/2006/bibliography"/>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942</TotalTime>
  <Pages>18</Pages>
  <Words>4353</Words>
  <Characters>23508</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27806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30</cp:revision>
  <cp:lastPrinted>2020-09-23T18:56:00Z</cp:lastPrinted>
  <dcterms:created xsi:type="dcterms:W3CDTF">2025-10-19T16:46:00Z</dcterms:created>
  <dcterms:modified xsi:type="dcterms:W3CDTF">2025-10-22T15:58:00Z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