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1FF8" w14:textId="77777777" w:rsidR="00E932E3" w:rsidRDefault="00000000">
      <w:pPr>
        <w:spacing w:after="160"/>
        <w:jc w:val="center"/>
      </w:pPr>
      <w:r>
        <w:rPr>
          <w:rFonts w:eastAsia="Times New Roman" w:cs="Times New Roman"/>
          <w:b/>
          <w:bCs/>
          <w:sz w:val="30"/>
          <w:szCs w:val="30"/>
        </w:rPr>
        <w:t>Stage-Stratified Explainable Machine Learning Identifies a Reproducible Transcriptomic Classifier with Stage-Dependent Feature Importance in Colorectal Cancer: A Multi-Cohort Study with Saudi Population Contextualisation</w:t>
      </w:r>
    </w:p>
    <w:p w14:paraId="75912942" w14:textId="77777777" w:rsidR="00E932E3" w:rsidRDefault="00000000">
      <w:pPr>
        <w:spacing w:after="60"/>
        <w:jc w:val="center"/>
      </w:pPr>
      <w:r>
        <w:rPr>
          <w:rFonts w:eastAsia="Times New Roman" w:cs="Times New Roman"/>
        </w:rPr>
        <w:t xml:space="preserve">Asif Hassan Syed </w:t>
      </w:r>
      <w:r>
        <w:rPr>
          <w:rFonts w:eastAsia="Times New Roman" w:cs="Times New Roman"/>
          <w:vertAlign w:val="superscript"/>
        </w:rPr>
        <w:t>1,*</w:t>
      </w:r>
      <w:r>
        <w:rPr>
          <w:rFonts w:eastAsia="Times New Roman" w:cs="Times New Roman"/>
        </w:rPr>
        <w:t xml:space="preserve"> and Sultan Alhayyani </w:t>
      </w:r>
      <w:r>
        <w:rPr>
          <w:rFonts w:eastAsia="Times New Roman" w:cs="Times New Roman"/>
          <w:vertAlign w:val="superscript"/>
        </w:rPr>
        <w:t>2</w:t>
      </w:r>
    </w:p>
    <w:p w14:paraId="5CE8C3B5" w14:textId="77777777" w:rsidR="00E932E3" w:rsidRDefault="00000000">
      <w:pPr>
        <w:spacing w:after="30"/>
        <w:jc w:val="center"/>
      </w:pPr>
      <w:r>
        <w:rPr>
          <w:rFonts w:eastAsia="Times New Roman" w:cs="Times New Roman"/>
          <w:sz w:val="18"/>
          <w:szCs w:val="18"/>
        </w:rPr>
        <w:t>1 Department of Computer Science, Faculty of Computing and Information Technology in Rabigh, King Abdulaziz University, Jeddah, Saudi Arabia</w:t>
      </w:r>
    </w:p>
    <w:p w14:paraId="68A8E4F9" w14:textId="77777777" w:rsidR="00E932E3" w:rsidRDefault="00000000">
      <w:pPr>
        <w:spacing w:after="30"/>
        <w:jc w:val="center"/>
      </w:pPr>
      <w:r>
        <w:rPr>
          <w:rFonts w:eastAsia="Times New Roman" w:cs="Times New Roman"/>
          <w:sz w:val="18"/>
          <w:szCs w:val="18"/>
        </w:rPr>
        <w:t>2 Department of Chemistry, Faculty of Sciences and Arts in Rabigh, King Abdulaziz University, Jeddah, Saudi Arabia</w:t>
      </w:r>
    </w:p>
    <w:p w14:paraId="326505B7" w14:textId="77777777" w:rsidR="00E932E3" w:rsidRDefault="00000000">
      <w:pPr>
        <w:jc w:val="center"/>
      </w:pPr>
      <w:r>
        <w:rPr>
          <w:rFonts w:eastAsia="Times New Roman" w:cs="Times New Roman"/>
          <w:sz w:val="18"/>
          <w:szCs w:val="18"/>
        </w:rPr>
        <w:t>* Correspondence: shassan1@kau.edu.sa</w:t>
      </w:r>
    </w:p>
    <w:p w14:paraId="68990E7A" w14:textId="77777777" w:rsidR="00E932E3" w:rsidRDefault="00000000">
      <w:pPr>
        <w:pStyle w:val="Heading1"/>
        <w:spacing w:before="280" w:after="140"/>
      </w:pPr>
      <w:r>
        <w:rPr>
          <w:rFonts w:ascii="Times New Roman" w:eastAsia="Times New Roman" w:hAnsi="Times New Roman" w:cs="Times New Roman"/>
        </w:rPr>
        <w:t>Abstract</w:t>
      </w:r>
    </w:p>
    <w:p w14:paraId="52CD45B8" w14:textId="77777777" w:rsidR="00E932E3" w:rsidRDefault="00000000">
      <w:pPr>
        <w:spacing w:after="160"/>
        <w:jc w:val="both"/>
      </w:pPr>
      <w:r>
        <w:rPr>
          <w:rFonts w:eastAsia="Times New Roman" w:cs="Times New Roman"/>
          <w:b/>
          <w:bCs/>
        </w:rPr>
        <w:t xml:space="preserve">Background: </w:t>
      </w:r>
      <w:r>
        <w:rPr>
          <w:rFonts w:eastAsia="Times New Roman" w:cs="Times New Roman"/>
        </w:rPr>
        <w:t>Colorectal cancer (CRC) is molecularly heterogeneous across stage, yet most transcriptomic classifiers treat it as static and rarely test whether the importance of their genes changes with disease stage.</w:t>
      </w:r>
    </w:p>
    <w:p w14:paraId="27F89729" w14:textId="77777777" w:rsidR="00E932E3" w:rsidRDefault="00000000">
      <w:pPr>
        <w:spacing w:after="160"/>
        <w:jc w:val="both"/>
      </w:pPr>
      <w:r>
        <w:rPr>
          <w:rFonts w:eastAsia="Times New Roman" w:cs="Times New Roman"/>
          <w:b/>
          <w:bCs/>
        </w:rPr>
        <w:t xml:space="preserve">Methods: </w:t>
      </w:r>
      <w:r>
        <w:rPr>
          <w:rFonts w:eastAsia="Times New Roman" w:cs="Times New Roman"/>
        </w:rPr>
        <w:t>A stage-stratified explainable machine-learning pipeline was applied to The Cancer Genome Atlas colon adenocarcinoma cohort (286 tumour, 41 normal). A ten-gene panel was derived by cross-validated stability selection; six classifiers were benchmarked under a leakage-free protocol; and exact SHapley Additive exPlanations (SHAP) were computed within each American Joint Committee on Cancer (AJCC) stage. Findings were tested in three independent cohorts (GSE50760, GSE39582, GSE17536) and corroborated by literature, GEPIA2, and four-platform pathway enrichment.</w:t>
      </w:r>
    </w:p>
    <w:p w14:paraId="06CBC847" w14:textId="77777777" w:rsidR="00E932E3" w:rsidRDefault="00000000">
      <w:pPr>
        <w:spacing w:after="160"/>
        <w:jc w:val="both"/>
      </w:pPr>
      <w:r>
        <w:rPr>
          <w:rFonts w:eastAsia="Times New Roman" w:cs="Times New Roman"/>
          <w:b/>
          <w:bCs/>
        </w:rPr>
        <w:t xml:space="preserve">Results: </w:t>
      </w:r>
      <w:r>
        <w:rPr>
          <w:rFonts w:eastAsia="Times New Roman" w:cs="Times New Roman"/>
        </w:rPr>
        <w:t>The ten-gene panel classified tumour versus normal tissue with internal AUC up to 1.000 and external AUC 0.969 (95% CI 0.896-1.000; AUPRC 0.980), robust to class imbalance. Stage-stratified SHAP showed a monotonic shift in feature importance across stages (cross-stage Spearman rho 0.66-0.93) that replicated at three of four stages in an independent cohort (rho up to 0.94); ESM1 rose to top-two late-stage importance in both cohorts, consistent with its role in CRC angiogenesis. The panel recovered known cancer biology, nominated novel candidates, proved complementary to network-hub genes, and its enriched pathways matched four of five frequently altered Saudi CRC pathways. Survival discrimination was at chance (C-index 0.50-0.58), defining the panel as a classifier rather than a prognostic model.</w:t>
      </w:r>
    </w:p>
    <w:p w14:paraId="52CF111A" w14:textId="77777777" w:rsidR="00E932E3" w:rsidRDefault="00000000">
      <w:pPr>
        <w:spacing w:after="160"/>
        <w:jc w:val="both"/>
      </w:pPr>
      <w:r>
        <w:rPr>
          <w:rFonts w:eastAsia="Times New Roman" w:cs="Times New Roman"/>
          <w:b/>
          <w:bCs/>
        </w:rPr>
        <w:t xml:space="preserve">Conclusions: </w:t>
      </w:r>
      <w:r>
        <w:rPr>
          <w:rFonts w:eastAsia="Times New Roman" w:cs="Times New Roman"/>
        </w:rPr>
        <w:t>This is, to our knowledge, the first evidence in CRC that an explainable classifier's feature-importance structure is itself stage-dependent and externally replicable. Coupling exact interpretability with reproducible, transparently scoped validation, the panel generalises as a classifier but not a prognostic model, and its convergence with Saudi CRC alterations defines conditions for prospective population-specific validation. Code and processed data are publicly available.</w:t>
      </w:r>
    </w:p>
    <w:p w14:paraId="6CCFECF5" w14:textId="77777777" w:rsidR="00E932E3" w:rsidRDefault="00000000">
      <w:pPr>
        <w:spacing w:before="140"/>
        <w:jc w:val="both"/>
      </w:pPr>
      <w:r>
        <w:rPr>
          <w:rFonts w:eastAsia="Times New Roman" w:cs="Times New Roman"/>
          <w:b/>
          <w:bCs/>
        </w:rPr>
        <w:t xml:space="preserve">Keywords: </w:t>
      </w:r>
      <w:r>
        <w:rPr>
          <w:rFonts w:eastAsia="Times New Roman" w:cs="Times New Roman"/>
        </w:rPr>
        <w:t>colorectal cancer; explainable artificial intelligence; SHapley Additive exPlanations; transcriptomics; machine learning; stage stratification; feature importance; differential expression; external validation; ESM1</w:t>
      </w:r>
    </w:p>
    <w:p w14:paraId="7FC25D06" w14:textId="77777777" w:rsidR="00E932E3" w:rsidRDefault="00000000">
      <w:pPr>
        <w:pStyle w:val="Heading1"/>
        <w:spacing w:before="0" w:after="160"/>
      </w:pPr>
      <w:r>
        <w:rPr>
          <w:rFonts w:ascii="Calibri" w:eastAsia="Calibri" w:hAnsi="Calibri" w:cs="Calibri"/>
        </w:rPr>
        <w:lastRenderedPageBreak/>
        <w:t>1. Introduction</w:t>
      </w:r>
    </w:p>
    <w:p w14:paraId="5E77B048" w14:textId="77777777" w:rsidR="00E932E3" w:rsidRDefault="00000000">
      <w:pPr>
        <w:pStyle w:val="Heading2"/>
        <w:spacing w:before="260" w:after="100"/>
      </w:pPr>
      <w:r>
        <w:rPr>
          <w:rFonts w:ascii="Calibri" w:eastAsia="Calibri" w:hAnsi="Calibri" w:cs="Calibri"/>
          <w:i/>
          <w:iCs/>
          <w:color w:val="111111"/>
          <w:sz w:val="24"/>
          <w:szCs w:val="24"/>
        </w:rPr>
        <w:t>1.1 The Clinical and Computational Burden of Colorectal Cancer</w:t>
      </w:r>
    </w:p>
    <w:p w14:paraId="30B292CC" w14:textId="77777777" w:rsidR="00E932E3" w:rsidRDefault="00000000">
      <w:pPr>
        <w:spacing w:after="160"/>
        <w:jc w:val="both"/>
      </w:pPr>
      <w:r>
        <w:rPr>
          <w:rFonts w:ascii="Calibri" w:eastAsia="Calibri" w:hAnsi="Calibri" w:cs="Calibri"/>
        </w:rPr>
        <w:t>Colorectal cancer (CRC) is one of the most common malignancies worldwide and the second leading cause of cancer-related death, with GLOBOCAN 2022 estimates reporting 1,926,425 new cases and 904,019 deaths globally in a single year [1,2]. The burden is projected to rise substantially through 2050, driven largely by demographic ageing and the adoption of Westernised dietary and lifestyle patterns in transitioning economies [1,3]. Within Saudi Arabia specifically, CRC is the most prevalent cancer among men and the third most prevalent among women, with the national age-standardised incidence rate rising sharply over the past two decades and regional rates varying more than six-fold, from 3.2 per 100,000 in Jouf to 21.8 per 100,000 in Riyadh [4,5]. Approximately one-third of Saudi CRC patients are diagnosed at an advanced stage [6], with some registry-based estimates placing the proportion of late-stage presentation with regional or distal metastasis as high as 50% [7]. National colonoscopy screening uptake for the recommended 45–75-year age band remains below 10%, and fewer than 1% of older adults undergo the procedure annually [5]. This combination of rising incidence, late-stage presentation, and low screening uptake creates a measurable and quantifiable gap between the disease burden and the diagnostic and prognostic tools currently available to Saudi clinicians — a gap that is computational and translational in nature, not merely a question of healthcare access.</w:t>
      </w:r>
    </w:p>
    <w:p w14:paraId="4DB67161" w14:textId="77777777" w:rsidR="00E932E3" w:rsidRDefault="00000000">
      <w:pPr>
        <w:spacing w:after="160"/>
        <w:jc w:val="both"/>
      </w:pPr>
      <w:r>
        <w:rPr>
          <w:rFonts w:ascii="Calibri" w:eastAsia="Calibri" w:hAnsi="Calibri" w:cs="Calibri"/>
        </w:rPr>
        <w:t>Histopathological staging (TNM) remains the dominant prognostic framework in routine CRC practice, yet it captures anatomical extent of disease without resolving the underlying molecular heterogeneity that drives markedly different clinical trajectories among patients sharing the same stage [8]. Molecular subtyping efforts, including consensus molecular subtypes (CMS) derived from gene expression, have demonstrated that transcriptomic state carries prognostic information beyond TNM stage alone [10], motivating a substantial and ongoing research effort to identify transcriptomic biomarkers capable of refining diagnosis, prognosis, and treatment stratification in CRC. Large public repositories — principally The Cancer Genome Atlas (TCGA-COAD) and the National Center for Biotechnology Information Gene Expression Omnibus (NCBI GEO) — have made tens of thousands of CRC transcriptomic profiles freely available, creating the data substrate for this effort but also exposing a persistent methodological problem: differential expression analysis alone identifies long, often unstable, gene lists with limited mechanistic interpretability and inconsistent reproducibility across cohorts [11,12]. TCGA-COAD itself includes AJCC pathologic stage annotation for the substantial majority of its cohort, with documented per-stage sample counts (Stage I, n=44; Stage II, n=110; Stage III, n=83; Stage IV, n=40 in representative curated subsets), providing sufficient per-stage depth for stage-resolved computational analysis.</w:t>
      </w:r>
    </w:p>
    <w:p w14:paraId="6B2864D6" w14:textId="77777777" w:rsidR="00E932E3" w:rsidRDefault="00000000">
      <w:pPr>
        <w:pStyle w:val="Heading2"/>
        <w:spacing w:before="260" w:after="100"/>
      </w:pPr>
      <w:r>
        <w:rPr>
          <w:rFonts w:ascii="Calibri" w:eastAsia="Calibri" w:hAnsi="Calibri" w:cs="Calibri"/>
          <w:i/>
          <w:iCs/>
          <w:color w:val="111111"/>
          <w:sz w:val="24"/>
          <w:szCs w:val="24"/>
        </w:rPr>
        <w:t>1.2 The Rise of Explainable AI in Transcriptomic Biomarker Discovery, and its Unresolved Limitations</w:t>
      </w:r>
    </w:p>
    <w:p w14:paraId="07B15457" w14:textId="77777777" w:rsidR="00E932E3" w:rsidRDefault="00000000">
      <w:pPr>
        <w:spacing w:after="160"/>
        <w:jc w:val="both"/>
      </w:pPr>
      <w:r>
        <w:rPr>
          <w:rFonts w:ascii="Calibri" w:eastAsia="Calibri" w:hAnsi="Calibri" w:cs="Calibri"/>
        </w:rPr>
        <w:t>Machine learning models, and gradient-boosted tree ensembles such as XGBoost in particular, have become the dominant approach for transcriptomic biomarker classification because of their capacity to model non-linear, high-order interactions among thousands of candidate genes while resisting overfitting through regularisation [12,13]. A representative recent study combining differential expression analysis with two-sample Mendelian randomisation and nine machine learning algorithms on TCGA and GEO (GSE87211) CRC data reported that XGBoost achieved an AUC of 0.990 in distinguishing CRC from normal tissue, with SHAP (SHapley Additive exPlanations) analysis subsequently identifying IFITM1 and DBNDD1 as the most influential genes driving model predictions [14]. A separate machine learning study integrating four feature-selection algorithms with four classifiers on TCGA and GEO RNA-seq data similarly used SHAP-derived co-predictive networks, visualised via VisuNet and cross-referenced against the STRING protein-protein interaction (PPI) database, to interpret which genes most strongly informed CRC tumour micro-environment classification [15]. Beyond tissue transcriptomics, SHAP has also been applied to circulating proteomic data: a 2025 UK Biobank study using LASSO, XGBoost, and LightGBM classifiers identified TFF3, LCN2, and CEACAM5 as SHAP-prioritised plasma biomarkers linked to cell adhesion and inflammatory signalling pathways [16]. Collectively, these studies establish SHAP-based explainability as the prevailing standard for rendering gradient-boosted CRC classifiers interpretable at the global, cohort-average level.</w:t>
      </w:r>
      <w:r>
        <w:rPr>
          <w:rFonts w:ascii="Calibri" w:eastAsia="Calibri" w:hAnsi="Calibri" w:cs="Calibri"/>
        </w:rPr>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p>
    <w:p w14:paraId="38FD44FA" w14:textId="77777777" w:rsidR="00E932E3" w:rsidRDefault="00000000">
      <w:pPr>
        <w:spacing w:after="160"/>
        <w:jc w:val="both"/>
      </w:pPr>
      <w:r>
        <w:rPr>
          <w:rFonts w:ascii="Calibri" w:eastAsia="Calibri" w:hAnsi="Calibri" w:cs="Calibri"/>
        </w:rPr>
        <w:t>However, a global SHAP ranking computed across an entire cohort, irrespective of tumour stage, implicitly assumes that the biological drivers of malignancy remain constant across the natural history of the disease — an assumption that recent stage-resolved explainability work directly contradicts for clinical and demographic features. A 2026 multi-cancer survival study applying SHAP and LIME to CatBoost models trained separately on localised, regional, and distant-stage colorectal, stomach, and liver cancer cohorts found that the top-ranked predictors shift substantially by stage: tumour size and surgical code dominate at the localised stage, nodal indicators and radiation become prominent at the regional stage, and histologic subtype codes emerge as dominant only at the distant-metastatic stage [17]. This finding, while compelling, was derived entirely from registry-level clinical and demographic covariates (age, tumour extension, nodal counts, treatment codes) rather than from molecular transcriptomic features, leaving open the question of whether an analogous stage-dependent reordering of importance occurs at the gene-expression level. Independently, a 2025 whole-transcriptome study of formalin-fixed paraffin-embedded tissue across the adenoma, carcinoma in-situ, and adenocarcinoma progression sequence confirmed, via gene-set enrichment and RT-qPCR validation, that distinct transcriptomic profiles characterise each stage of CRC progression [18], and earlier stage-specific network and differential-expression studies identified distinct sets of driver genes associated with progression to stage II, III, and IV disease using centrality and co-expression methods [19], with real-time PCR validation confirming that genes such as FOXM1, hTERT, and MCTP1 display stage-dependent expression patterns across the adenoma-to-carcinoma sequence [20]. None of these stage-specific transcriptomic studies, however, applied a SHAP-based explainable-AI framework that quantifies, within a single trained predictive model, how gene-level importance redistributes across Stage I through Stage IV — the precise analytical step that would bridge the clinical-covariate stage-explainability literature [17] with the stage-specific transcriptomic literature [18,19,20].</w:t>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p>
    <w:p w14:paraId="674C0D93" w14:textId="77777777" w:rsidR="00E932E3" w:rsidRDefault="00000000">
      <w:pPr>
        <w:pStyle w:val="Heading2"/>
        <w:spacing w:before="260" w:after="100"/>
      </w:pPr>
      <w:r>
        <w:rPr>
          <w:rFonts w:ascii="Calibri" w:eastAsia="Calibri" w:hAnsi="Calibri" w:cs="Calibri"/>
          <w:i/>
          <w:iCs/>
          <w:color w:val="111111"/>
          <w:sz w:val="24"/>
          <w:szCs w:val="24"/>
        </w:rPr>
        <w:t>1.3 Multi-Omics Integration and the Saudi Context: What is Available, and What is Not</w:t>
      </w:r>
    </w:p>
    <w:p w14:paraId="6BB1A9AD" w14:textId="77777777" w:rsidR="00E932E3" w:rsidRDefault="00000000">
      <w:pPr>
        <w:spacing w:after="160"/>
        <w:jc w:val="both"/>
      </w:pPr>
      <w:r>
        <w:rPr>
          <w:rFonts w:ascii="Calibri" w:eastAsia="Calibri" w:hAnsi="Calibri" w:cs="Calibri"/>
        </w:rPr>
        <w:t>The broader push toward multi-omics integration in CRC — combining transcriptomic, proteomic, metagenomic, and radiomic layers — has been proposed as the route toward a more complete, dynamic understanding of tumour heterogeneity that single-omics, gene-centric models cannot capture [21]. In practice, however, the great majority of published CRC transcriptomic biomarker and SHAP-explainability studies draw exclusively on TCGA and Western or East Asian GEO cohorts [14,15,16], a pattern consistent with the broader under-representation of Middle Eastern and North African populations in large-scale cancer genomics research. This is a substantive limitation rather than a cosmetic one: Saudi CRC epidemiology differs materially from the Western populations underlying most public reference cohorts, with a markedly younger median age at diagnosis, a high proportion of early-onset disease, and the late-stage presentation pattern noted above [4,5,6,7]. A biomarker panel and an associated explainability profile derived without any consideration of a population with this distinct epidemiological signature leaves an open question about contextual relevance that a purely TCGA/GEO-trained study cannot itself answer.</w:t>
      </w:r>
      <w:r>
        <w:rPr>
          <w:rFonts w:ascii="Calibri" w:eastAsia="Calibri" w:hAnsi="Calibri" w:cs="Calibri"/>
        </w:rPr>
      </w:r>
    </w:p>
    <w:p w14:paraId="19C7338F" w14:textId="77777777" w:rsidR="00E932E3" w:rsidRDefault="00000000">
      <w:pPr>
        <w:spacing w:after="160"/>
        <w:jc w:val="both"/>
      </w:pPr>
      <w:r>
        <w:rPr>
          <w:rFonts w:ascii="Calibri" w:eastAsia="Calibri" w:hAnsi="Calibri" w:cs="Calibri"/>
        </w:rPr>
        <w:t xml:space="preserve">It is important to state plainly what is, and is not, publicly available to address this question. No large-scale, freely downloadable transcriptomic (gene-expression) dataset from a confirmed Saudi-national CRC patient cohort currently exists in NCBI GEO, ArrayExpress, or comparable repositories; the present authors verified this directly rather than assuming it, after an earlier accession number considered for this purpose (GSE22598) was confirmed on inspection to derive from a Japanese cohort study of UNC5B expression in colorectal cancer, unrelated to the Saudi population. What does exist publicly is a dedicated, peer-reviewed targeted next-generation sequencing study of 107 Saudi Arabian CRC patients without family history of disease, recruited from King Fahad Medical City and King Abdullah University Hospital, reporting actionable mutation frequencies including </w:t>
      </w:r>
      <w:r>
        <w:rPr>
          <w:rFonts w:ascii="Calibri" w:eastAsia="Calibri" w:hAnsi="Calibri" w:cs="Calibri"/>
          <w:i/>
          <w:iCs/>
        </w:rPr>
        <w:t>BRCA2</w:t>
      </w:r>
      <w:r>
        <w:rPr>
          <w:rFonts w:ascii="Calibri" w:eastAsia="Calibri" w:hAnsi="Calibri" w:cs="Calibri"/>
        </w:rPr>
        <w:t xml:space="preserve"> (79%), </w:t>
      </w:r>
      <w:r>
        <w:rPr>
          <w:rFonts w:ascii="Calibri" w:eastAsia="Calibri" w:hAnsi="Calibri" w:cs="Calibri"/>
          <w:i/>
          <w:iCs/>
        </w:rPr>
        <w:t>CHEK1</w:t>
      </w:r>
      <w:r>
        <w:rPr>
          <w:rFonts w:ascii="Calibri" w:eastAsia="Calibri" w:hAnsi="Calibri" w:cs="Calibri"/>
        </w:rPr>
        <w:t xml:space="preserve"> (78%), </w:t>
      </w:r>
      <w:r>
        <w:rPr>
          <w:rFonts w:ascii="Calibri" w:eastAsia="Calibri" w:hAnsi="Calibri" w:cs="Calibri"/>
          <w:i/>
          <w:iCs/>
        </w:rPr>
        <w:t>ATM</w:t>
      </w:r>
      <w:r>
        <w:rPr>
          <w:rFonts w:ascii="Calibri" w:eastAsia="Calibri" w:hAnsi="Calibri" w:cs="Calibri"/>
        </w:rPr>
        <w:t xml:space="preserve"> (76%), </w:t>
      </w:r>
      <w:r>
        <w:rPr>
          <w:rFonts w:ascii="Calibri" w:eastAsia="Calibri" w:hAnsi="Calibri" w:cs="Calibri"/>
          <w:i/>
          <w:iCs/>
        </w:rPr>
        <w:t>PMS2</w:t>
      </w:r>
      <w:r>
        <w:rPr>
          <w:rFonts w:ascii="Calibri" w:eastAsia="Calibri" w:hAnsi="Calibri" w:cs="Calibri"/>
        </w:rPr>
        <w:t xml:space="preserve"> (76%), </w:t>
      </w:r>
      <w:r>
        <w:rPr>
          <w:rFonts w:ascii="Calibri" w:eastAsia="Calibri" w:hAnsi="Calibri" w:cs="Calibri"/>
          <w:i/>
          <w:iCs/>
        </w:rPr>
        <w:t>ATR</w:t>
      </w:r>
      <w:r>
        <w:rPr>
          <w:rFonts w:ascii="Calibri" w:eastAsia="Calibri" w:hAnsi="Calibri" w:cs="Calibri"/>
        </w:rPr>
        <w:t xml:space="preserve"> (74%), and </w:t>
      </w:r>
      <w:r>
        <w:rPr>
          <w:rFonts w:ascii="Calibri" w:eastAsia="Calibri" w:hAnsi="Calibri" w:cs="Calibri"/>
          <w:i/>
          <w:iCs/>
        </w:rPr>
        <w:t>MYCL</w:t>
      </w:r>
      <w:r>
        <w:rPr>
          <w:rFonts w:ascii="Calibri" w:eastAsia="Calibri" w:hAnsi="Calibri" w:cs="Calibri"/>
        </w:rPr>
        <w:t xml:space="preserve"> (73%) [9]. This is mutational (DNA-level) data, not transcriptomic (RNA expression) data, and it cannot be merged into a transcriptomic training pipeline; treating it as interchangeable with expression data would itself be a methodological error. It can, however, serve a different and legitimate purpose: as an independent, population-specific point of biological comparison against which the genes prioritised by the present study's SHAP-based transcriptomic model can be checked for pathway-level convergence, without any claim that the model was trained on, or validated against, Saudi expression data. This distinction is maintained explicitly throughout the present study.</w:t>
      </w:r>
    </w:p>
    <w:p w14:paraId="0A11A309" w14:textId="77777777" w:rsidR="00E932E3" w:rsidRDefault="00000000">
      <w:pPr>
        <w:spacing w:after="160"/>
        <w:jc w:val="both"/>
      </w:pPr>
      <w:r>
        <w:rPr>
          <w:rFonts w:ascii="Calibri" w:eastAsia="Calibri" w:hAnsi="Calibri" w:cs="Calibri"/>
        </w:rPr>
        <w:t>A further limitation common to the SHAP-explainability literature in CRC concerns survival modelling. Most studies in this space report classification metrics (AUC, accuracy) for a binary tumour-versus-normal or stage-versus-stage task [14,15,16], but stop short of benchmarking modern survival-specific architectures — such as DeepSurv or Random Survival Forests — against the conventional Cox proportional hazards model using the same SHAP-prioritised gene panel, nor do they externally validate the resulting risk score on a fully independent cohort using concordance index and time-dependent AUC with formal statistical comparison (DeLong's test) against a baseline. Reporting standards bodies, including the TRIPOD-AI initiative for clinical prediction models, increasingly regard bootstrapped confidence intervals, external cohort validation, and explicit calibration assessment as minimum requirements for a clinically credible AI-based prognostic tool [22], yet these elements remain inconsistently applied across the CRC transcriptomic SHAP literature reviewed above.</w:t>
      </w:r>
    </w:p>
    <w:p w14:paraId="61A83894" w14:textId="77777777" w:rsidR="00E932E3" w:rsidRDefault="00000000">
      <w:pPr>
        <w:pStyle w:val="Heading2"/>
        <w:spacing w:before="260" w:after="100"/>
      </w:pPr>
      <w:r>
        <w:rPr>
          <w:rFonts w:ascii="Calibri" w:eastAsia="Calibri" w:hAnsi="Calibri" w:cs="Calibri"/>
          <w:i/>
          <w:iCs/>
          <w:color w:val="111111"/>
          <w:sz w:val="24"/>
          <w:szCs w:val="24"/>
        </w:rPr>
        <w:lastRenderedPageBreak/>
        <w:t>1.4 Gaps in the Existing Evidence Base</w:t>
      </w:r>
    </w:p>
    <w:p w14:paraId="0D8F7B55" w14:textId="77777777" w:rsidR="00E932E3" w:rsidRDefault="00000000">
      <w:pPr>
        <w:spacing w:after="160"/>
        <w:jc w:val="both"/>
      </w:pPr>
      <w:r>
        <w:rPr>
          <w:rFonts w:ascii="Calibri" w:eastAsia="Calibri" w:hAnsi="Calibri" w:cs="Calibri"/>
        </w:rPr>
        <w:t>Table 1 functions not as a conventional literature summary but as a structured checklist of methodological gaps in the field. Each of the studies included here was chosen because it bears directly on one of the methodological decisions made in this paper, whether that is how features were selected, how the model was interpreted, which biological pathways were implicated, or how results were validated. For each study, the table records strengths, methodological shortcomings, and potential sources of bias; the final column, the most directly relevant to this work, identifies the specific question left open by each study that the present stage-stratified XAI pipeline was designed to address. A narrative summary follows for readers preferring a condensed overview; the table provides the complete paper-by-paper reasoning.</w:t>
      </w:r>
    </w:p>
    <w:p w14:paraId="547B1F21" w14:textId="77777777" w:rsidR="00E932E3" w:rsidRDefault="00000000">
      <w:pPr>
        <w:spacing w:after="160"/>
        <w:jc w:val="both"/>
      </w:pPr>
      <w:r>
        <w:rPr>
          <w:rFonts w:ascii="Calibri" w:eastAsia="Calibri" w:hAnsi="Calibri" w:cs="Calibri"/>
        </w:rPr>
        <w:t>Collectively, the literature review reveals four convergent conclusions. First, SHAP-based explainability has been applied successfully to CRC transcriptomic and proteomic classifiers, but always as a single, cohort-averaged ranking rather than one resolved by tumour stage [14,15,16]. Second, stage-dependent shifts in predictive feature importance have been demonstrated for clinical and demographic covariates in CRC survival models, and stage-dependent transcriptional patterns have been confirmed independently at the gene-set and individual-gene level by gene-set enrichment, qRT-PCR, and network analysis — but none of these literatures has been joined with SHAP-based explainable modelling [17,18,19,20]. Third, no publicly available transcriptomic dataset exists from a confirmed Saudi CRC patient cohort; the dedicated Saudi CRC molecular resource that does exist publicly is a targeted mutation (NGS) panel, not an expression dataset, and the present study uses it only as an independent point of pathway-level comparison rather than as training data [9]. Fourth, survival-model benchmarking and external validation following current reporting standards remain inconsistently applied across this literature [22], leaving open the comparison between conventional Cox proportional hazards modelling and modern survival-specific architectures on a SHAP-prioritised gene panel.</w:t>
      </w:r>
    </w:p>
    <w:p w14:paraId="1266181F" w14:textId="77777777" w:rsidR="00E932E3" w:rsidRDefault="00000000">
      <w:pPr>
        <w:spacing w:before="100" w:after="80"/>
      </w:pPr>
      <w:r>
        <w:rPr>
          <w:rFonts w:ascii="Calibri" w:eastAsia="Calibri" w:hAnsi="Calibri" w:cs="Calibri"/>
          <w:b/>
          <w:bCs/>
          <w:sz w:val="20"/>
          <w:szCs w:val="20"/>
        </w:rPr>
        <w:t>Table 1. Critical evaluation of representative prior literature on colorectal cancer transcriptomic biomarkers, explainable AI methodology, stage-specific molecular progression, and Saudi population data. Studies assessed on topic area, key strengths, weaknesses and limitations, potential sources of bias, and the specific gap each leaves unaddressed. The rightmost column identifies which gap is addressed by the present study. Studies are ordered by methodological relevance to the present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2452"/>
        <w:gridCol w:w="1452"/>
        <w:gridCol w:w="1877"/>
        <w:gridCol w:w="1419"/>
        <w:gridCol w:w="1201"/>
      </w:tblGrid>
      <w:tr w:rsidR="00E932E3" w14:paraId="1B1B6AA2" w14:textId="77777777">
        <w:tc>
          <w:tcPr>
            <w:tcW w:w="1500"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71B81CA6" w14:textId="77777777" w:rsidR="00E932E3" w:rsidRDefault="00000000">
            <w:pPr>
              <w:jc w:val="center"/>
            </w:pPr>
            <w:r>
              <w:rPr>
                <w:rFonts w:ascii="Calibri" w:eastAsia="Calibri" w:hAnsi="Calibri" w:cs="Calibri"/>
                <w:b/>
                <w:bCs/>
                <w:sz w:val="17"/>
                <w:szCs w:val="17"/>
              </w:rPr>
              <w:t>Study / Year</w:t>
            </w:r>
          </w:p>
        </w:tc>
        <w:tc>
          <w:tcPr>
            <w:tcW w:w="1100"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3F2FFFC5" w14:textId="77777777" w:rsidR="00E932E3" w:rsidRDefault="00000000">
            <w:pPr>
              <w:jc w:val="center"/>
            </w:pPr>
            <w:r>
              <w:rPr>
                <w:rFonts w:ascii="Calibri" w:eastAsia="Calibri" w:hAnsi="Calibri" w:cs="Calibri"/>
                <w:b/>
                <w:bCs/>
                <w:sz w:val="17"/>
                <w:szCs w:val="17"/>
              </w:rPr>
              <w:t>Topic Area</w:t>
            </w:r>
          </w:p>
        </w:tc>
        <w:tc>
          <w:tcPr>
            <w:tcW w:w="1450"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2F73FEF6" w14:textId="77777777" w:rsidR="00E932E3" w:rsidRDefault="00000000">
            <w:pPr>
              <w:jc w:val="center"/>
            </w:pPr>
            <w:r>
              <w:rPr>
                <w:rFonts w:ascii="Calibri" w:eastAsia="Calibri" w:hAnsi="Calibri" w:cs="Calibri"/>
                <w:b/>
                <w:bCs/>
                <w:sz w:val="17"/>
                <w:szCs w:val="17"/>
              </w:rPr>
              <w:t>Strengths</w:t>
            </w:r>
          </w:p>
        </w:tc>
        <w:tc>
          <w:tcPr>
            <w:tcW w:w="1700"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1008E768" w14:textId="77777777" w:rsidR="00E932E3" w:rsidRDefault="00000000">
            <w:pPr>
              <w:jc w:val="center"/>
            </w:pPr>
            <w:r>
              <w:rPr>
                <w:rFonts w:ascii="Calibri" w:eastAsia="Calibri" w:hAnsi="Calibri" w:cs="Calibri"/>
                <w:b/>
                <w:bCs/>
                <w:sz w:val="17"/>
                <w:szCs w:val="17"/>
              </w:rPr>
              <w:t>Weaknesses / Limitations</w:t>
            </w:r>
          </w:p>
        </w:tc>
        <w:tc>
          <w:tcPr>
            <w:tcW w:w="1326"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40A2318F" w14:textId="77777777" w:rsidR="00E932E3" w:rsidRDefault="00000000">
            <w:pPr>
              <w:jc w:val="center"/>
            </w:pPr>
            <w:r>
              <w:rPr>
                <w:rFonts w:ascii="Calibri" w:eastAsia="Calibri" w:hAnsi="Calibri" w:cs="Calibri"/>
                <w:b/>
                <w:bCs/>
                <w:sz w:val="17"/>
                <w:szCs w:val="17"/>
              </w:rPr>
              <w:t>Potential Bias</w:t>
            </w:r>
          </w:p>
        </w:tc>
        <w:tc>
          <w:tcPr>
            <w:tcW w:w="1950" w:type="dxa"/>
            <w:tcBorders>
              <w:top w:val="single" w:sz="1" w:space="0" w:color="1F5C99"/>
              <w:left w:val="single" w:sz="1" w:space="0" w:color="1F5C99"/>
              <w:bottom w:val="single" w:sz="1" w:space="0" w:color="1F5C99"/>
              <w:right w:val="single" w:sz="1" w:space="0" w:color="1F5C99"/>
            </w:tcBorders>
            <w:shd w:val="clear" w:color="auto" w:fill="D0E4F5"/>
            <w:tcMar>
              <w:top w:w="70" w:type="dxa"/>
              <w:left w:w="90" w:type="dxa"/>
              <w:bottom w:w="70" w:type="dxa"/>
              <w:right w:w="90" w:type="dxa"/>
            </w:tcMar>
          </w:tcPr>
          <w:p w14:paraId="29541E4E" w14:textId="77777777" w:rsidR="00E932E3" w:rsidRDefault="00000000">
            <w:pPr>
              <w:jc w:val="center"/>
            </w:pPr>
            <w:r>
              <w:rPr>
                <w:rFonts w:ascii="Calibri" w:eastAsia="Calibri" w:hAnsi="Calibri" w:cs="Calibri"/>
                <w:b/>
                <w:bCs/>
                <w:sz w:val="17"/>
                <w:szCs w:val="17"/>
              </w:rPr>
              <w:t>Gap Addressed by Present Study</w:t>
            </w:r>
          </w:p>
        </w:tc>
      </w:tr>
      <w:tr w:rsidR="00E932E3" w14:paraId="23C647C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5D68998" w14:textId="77777777" w:rsidR="00E932E3" w:rsidRDefault="00000000">
            <w:r>
              <w:rPr>
                <w:rFonts w:ascii="Calibri" w:eastAsia="Calibri" w:hAnsi="Calibri" w:cs="Calibri"/>
                <w:sz w:val="16"/>
                <w:szCs w:val="16"/>
              </w:rPr>
              <w:t>Bray et al. 2024 [2] / Wu et al. 2025 [1]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2693D4D" w14:textId="77777777" w:rsidR="00E932E3" w:rsidRDefault="00000000">
            <w:r>
              <w:rPr>
                <w:rFonts w:ascii="Calibri" w:eastAsia="Calibri" w:hAnsi="Calibri" w:cs="Calibri"/>
                <w:sz w:val="16"/>
                <w:szCs w:val="16"/>
              </w:rPr>
              <w:t>Global CRC epidemiology (GLOBOCAN)</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A616579" w14:textId="77777777" w:rsidR="00E932E3" w:rsidRDefault="00000000">
            <w:r>
              <w:rPr>
                <w:rFonts w:ascii="Calibri" w:eastAsia="Calibri" w:hAnsi="Calibri" w:cs="Calibri"/>
                <w:sz w:val="16"/>
                <w:szCs w:val="16"/>
              </w:rPr>
              <w:t>Comprehensive incidence/mortality estimates across 185 countries; projections to 2050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57EBD22" w14:textId="77777777" w:rsidR="00E932E3" w:rsidRDefault="00000000">
            <w:r>
              <w:rPr>
                <w:rFonts w:ascii="Calibri" w:eastAsia="Calibri" w:hAnsi="Calibri" w:cs="Calibri"/>
                <w:sz w:val="16"/>
                <w:szCs w:val="16"/>
              </w:rPr>
              <w:t>Aggregate registry data; no molecular or transcriptomic dimension; regional under-sampling in MENA</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A2A8396" w14:textId="77777777" w:rsidR="00E932E3" w:rsidRDefault="00000000">
            <w:r>
              <w:rPr>
                <w:rFonts w:ascii="Calibri" w:eastAsia="Calibri" w:hAnsi="Calibri" w:cs="Calibri"/>
                <w:sz w:val="16"/>
                <w:szCs w:val="16"/>
              </w:rPr>
              <w:t>Reporting bias toward high-income-country registries with mature data infrastructure</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C070136" w14:textId="77777777" w:rsidR="00E932E3" w:rsidRDefault="00000000">
            <w:r>
              <w:rPr>
                <w:rFonts w:ascii="Calibri" w:eastAsia="Calibri" w:hAnsi="Calibri" w:cs="Calibri"/>
                <w:sz w:val="16"/>
                <w:szCs w:val="16"/>
              </w:rPr>
              <w:t>No transcriptomic or population-specific biomarker dimension; motivates the present multi-cohort design</w:t>
            </w:r>
          </w:p>
        </w:tc>
      </w:tr>
      <w:tr w:rsidR="00E932E3" w14:paraId="37046DC8"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08BCDBB0" w14:textId="77777777" w:rsidR="00E932E3" w:rsidRDefault="00000000">
            <w:r>
              <w:rPr>
                <w:rFonts w:ascii="Calibri" w:eastAsia="Calibri" w:hAnsi="Calibri" w:cs="Calibri"/>
                <w:sz w:val="16"/>
                <w:szCs w:val="16"/>
              </w:rPr>
              <w:lastRenderedPageBreak/>
              <w:t>Alhurishi et al. 2024 [6]</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5044B778" w14:textId="77777777" w:rsidR="00E932E3" w:rsidRDefault="00000000">
            <w:r>
              <w:rPr>
                <w:rFonts w:ascii="Calibri" w:eastAsia="Calibri" w:hAnsi="Calibri" w:cs="Calibri"/>
                <w:sz w:val="16"/>
                <w:szCs w:val="16"/>
              </w:rPr>
              <w:t>Saudi CRC registry cohort study</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73F49D6" w14:textId="77777777" w:rsidR="00E932E3" w:rsidRDefault="00000000">
            <w:r>
              <w:rPr>
                <w:rFonts w:ascii="Calibri" w:eastAsia="Calibri" w:hAnsi="Calibri" w:cs="Calibri"/>
                <w:sz w:val="16"/>
                <w:szCs w:val="16"/>
              </w:rPr>
              <w:t>Large registry-based sample; identifies risk factors for late-stage presentation in Saudi patients</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52008F60" w14:textId="77777777" w:rsidR="00E932E3" w:rsidRDefault="00000000">
            <w:r>
              <w:rPr>
                <w:rFonts w:ascii="Calibri" w:eastAsia="Calibri" w:hAnsi="Calibri" w:cs="Calibri"/>
                <w:sz w:val="16"/>
                <w:szCs w:val="16"/>
              </w:rPr>
              <w:t>Clinical/demographic covariates only; no molecular or gene-expression data examined</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A8940CB" w14:textId="77777777" w:rsidR="00E932E3" w:rsidRDefault="00000000">
            <w:r>
              <w:rPr>
                <w:rFonts w:ascii="Calibri" w:eastAsia="Calibri" w:hAnsi="Calibri" w:cs="Calibri"/>
                <w:sz w:val="16"/>
                <w:szCs w:val="16"/>
              </w:rPr>
              <w:t>Registry under-capture of rural/remote cases possible</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E87B3AA" w14:textId="77777777" w:rsidR="00E932E3" w:rsidRDefault="00000000">
            <w:r>
              <w:rPr>
                <w:rFonts w:ascii="Calibri" w:eastAsia="Calibri" w:hAnsi="Calibri" w:cs="Calibri"/>
                <w:sz w:val="16"/>
                <w:szCs w:val="16"/>
              </w:rPr>
              <w:t>Confirms late-stage presentation pattern motivating population-context discussion (Contribution 2)</w:t>
            </w:r>
          </w:p>
        </w:tc>
      </w:tr>
      <w:tr w:rsidR="00E932E3" w14:paraId="0D827F6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FF45039" w14:textId="77777777" w:rsidR="00E932E3" w:rsidRDefault="00000000">
            <w:r>
              <w:rPr>
                <w:rFonts w:ascii="Calibri" w:eastAsia="Calibri" w:hAnsi="Calibri" w:cs="Calibri"/>
                <w:sz w:val="16"/>
                <w:szCs w:val="16"/>
              </w:rPr>
              <w:t>Alessa &amp; Khan 2024 [4]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AB667E3" w14:textId="77777777" w:rsidR="00E932E3" w:rsidRDefault="00000000">
            <w:r>
              <w:rPr>
                <w:rFonts w:ascii="Calibri" w:eastAsia="Calibri" w:hAnsi="Calibri" w:cs="Calibri"/>
                <w:sz w:val="16"/>
                <w:szCs w:val="16"/>
              </w:rPr>
              <w:t>Saudi CRC epidemiology review</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2BC2663" w14:textId="77777777" w:rsidR="00E932E3" w:rsidRDefault="00000000">
            <w:r>
              <w:rPr>
                <w:rFonts w:ascii="Calibri" w:eastAsia="Calibri" w:hAnsi="Calibri" w:cs="Calibri"/>
                <w:sz w:val="16"/>
                <w:szCs w:val="16"/>
              </w:rPr>
              <w:t>Synthesises 16 studies on Saudi-specific incidence, risk factors, and outcomes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7198346" w14:textId="77777777" w:rsidR="00E932E3" w:rsidRDefault="00000000">
            <w:r>
              <w:rPr>
                <w:rFonts w:ascii="Calibri" w:eastAsia="Calibri" w:hAnsi="Calibri" w:cs="Calibri"/>
                <w:sz w:val="16"/>
                <w:szCs w:val="16"/>
              </w:rPr>
              <w:t>Narrative review; no primary molecular data; no computational modelling</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8CDF011" w14:textId="77777777" w:rsidR="00E932E3" w:rsidRDefault="00000000">
            <w:r>
              <w:rPr>
                <w:rFonts w:ascii="Calibri" w:eastAsia="Calibri" w:hAnsi="Calibri" w:cs="Calibri"/>
                <w:sz w:val="16"/>
                <w:szCs w:val="16"/>
              </w:rPr>
              <w:t>Selection limited to English-language, PubMed-indexed studies</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F7F9BA2" w14:textId="77777777" w:rsidR="00E932E3" w:rsidRDefault="00000000">
            <w:r>
              <w:rPr>
                <w:rFonts w:ascii="Calibri" w:eastAsia="Calibri" w:hAnsi="Calibri" w:cs="Calibri"/>
                <w:sz w:val="16"/>
                <w:szCs w:val="16"/>
              </w:rPr>
              <w:t>Confirms population-specific epidemiological divergence motivating Contribution 2</w:t>
            </w:r>
          </w:p>
        </w:tc>
      </w:tr>
      <w:tr w:rsidR="00E932E3" w14:paraId="672129F8"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25F4FE3" w14:textId="77777777" w:rsidR="00E932E3" w:rsidRDefault="00000000">
            <w:r>
              <w:rPr>
                <w:rFonts w:ascii="Calibri" w:eastAsia="Calibri" w:hAnsi="Calibri" w:cs="Calibri"/>
                <w:sz w:val="16"/>
                <w:szCs w:val="16"/>
              </w:rPr>
              <w:t>Alsolme et al. 2023 [9]</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D88A8C1" w14:textId="77777777" w:rsidR="00E932E3" w:rsidRDefault="00000000">
            <w:r>
              <w:rPr>
                <w:rFonts w:ascii="Calibri" w:eastAsia="Calibri" w:hAnsi="Calibri" w:cs="Calibri"/>
                <w:sz w:val="16"/>
                <w:szCs w:val="16"/>
              </w:rPr>
              <w:t>Saudi CRC targeted NGS mutation panel (n=107)</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EBEE686" w14:textId="77777777" w:rsidR="00E932E3" w:rsidRDefault="00000000">
            <w:r>
              <w:rPr>
                <w:rFonts w:ascii="Calibri" w:eastAsia="Calibri" w:hAnsi="Calibri" w:cs="Calibri"/>
                <w:sz w:val="16"/>
                <w:szCs w:val="16"/>
              </w:rPr>
              <w:t>Large dedicated Saudi cohort; actionable-gene mutation frequencies reported (BRCA2 79%, CHEK1 78%, ATM 76%, PMS2 76%, ATR 74%, MYCL 73%)</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C9EB0F7" w14:textId="77777777" w:rsidR="00E932E3" w:rsidRDefault="00000000">
            <w:r>
              <w:rPr>
                <w:rFonts w:ascii="Calibri" w:eastAsia="Calibri" w:hAnsi="Calibri" w:cs="Calibri"/>
                <w:sz w:val="16"/>
                <w:szCs w:val="16"/>
              </w:rPr>
              <w:t>Targeted DNA mutation panel only — no transcriptomic/expression data; no SHAP or explainability framework; cohort not linked to any public expression repository</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EF7F188" w14:textId="77777777" w:rsidR="00E932E3" w:rsidRDefault="00000000">
            <w:r>
              <w:rPr>
                <w:rFonts w:ascii="Calibri" w:eastAsia="Calibri" w:hAnsi="Calibri" w:cs="Calibri"/>
                <w:sz w:val="16"/>
                <w:szCs w:val="16"/>
              </w:rPr>
              <w:t>Single-country, two-centre recruitment (KFMC, KAUH) may not capture full national diversity</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8F9EDB6" w14:textId="77777777" w:rsidR="00E932E3" w:rsidRDefault="00000000">
            <w:r>
              <w:rPr>
                <w:rFonts w:ascii="Calibri" w:eastAsia="Calibri" w:hAnsi="Calibri" w:cs="Calibri"/>
                <w:sz w:val="16"/>
                <w:szCs w:val="16"/>
              </w:rPr>
              <w:t>No transcriptomic cohort from this population exists publicly; present study instead cross-references these mutation frequencies against SHAP-prioritised genes in Discussion (Contribution 2)</w:t>
            </w:r>
          </w:p>
        </w:tc>
      </w:tr>
      <w:tr w:rsidR="00E932E3" w14:paraId="2D6B8375"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E53FA8A" w14:textId="77777777" w:rsidR="00E932E3" w:rsidRDefault="00000000">
            <w:r>
              <w:rPr>
                <w:rFonts w:ascii="Calibri" w:eastAsia="Calibri" w:hAnsi="Calibri" w:cs="Calibri"/>
                <w:sz w:val="16"/>
                <w:szCs w:val="16"/>
              </w:rPr>
              <w:t>Phipps et al. 2020 [10]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6BF6C1A" w14:textId="77777777" w:rsidR="00E932E3" w:rsidRDefault="00000000">
            <w:r>
              <w:rPr>
                <w:rFonts w:ascii="Calibri" w:eastAsia="Calibri" w:hAnsi="Calibri" w:cs="Calibri"/>
                <w:sz w:val="16"/>
                <w:szCs w:val="16"/>
              </w:rPr>
              <w:t>CMS molecular subtyping, pooled analysis</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8A317E9" w14:textId="77777777" w:rsidR="00E932E3" w:rsidRDefault="00000000">
            <w:r>
              <w:rPr>
                <w:rFonts w:ascii="Calibri" w:eastAsia="Calibri" w:hAnsi="Calibri" w:cs="Calibri"/>
                <w:sz w:val="16"/>
                <w:szCs w:val="16"/>
              </w:rPr>
              <w:t>Demonstrates transcriptome-derived subtypes carry prognostic value beyond TNM stage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3D8FFDE" w14:textId="77777777" w:rsidR="00E932E3" w:rsidRDefault="00000000">
            <w:r>
              <w:rPr>
                <w:rFonts w:ascii="Calibri" w:eastAsia="Calibri" w:hAnsi="Calibri" w:cs="Calibri"/>
                <w:sz w:val="16"/>
                <w:szCs w:val="16"/>
              </w:rPr>
              <w:t>Subtype labels are categorical; no per-gene explainability; no stage-resolved attribution</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6DCA04C" w14:textId="77777777" w:rsidR="00E932E3" w:rsidRDefault="00000000">
            <w:r>
              <w:rPr>
                <w:rFonts w:ascii="Calibri" w:eastAsia="Calibri" w:hAnsi="Calibri" w:cs="Calibri"/>
                <w:sz w:val="16"/>
                <w:szCs w:val="16"/>
              </w:rPr>
              <w:t>Pooled cohorts predominantly Western/European ancestry</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8FE435F" w14:textId="77777777" w:rsidR="00E932E3" w:rsidRDefault="00000000">
            <w:r>
              <w:rPr>
                <w:rFonts w:ascii="Calibri" w:eastAsia="Calibri" w:hAnsi="Calibri" w:cs="Calibri"/>
                <w:sz w:val="16"/>
                <w:szCs w:val="16"/>
              </w:rPr>
              <w:t>No SHAP-based, stage-resolved transcriptomic attribution; addressed by Contribution 1</w:t>
            </w:r>
          </w:p>
        </w:tc>
      </w:tr>
      <w:tr w:rsidR="00E932E3" w14:paraId="508F301A"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109EE138" w14:textId="77777777" w:rsidR="00E932E3" w:rsidRDefault="00000000">
            <w:r>
              <w:rPr>
                <w:rFonts w:ascii="Calibri" w:eastAsia="Calibri" w:hAnsi="Calibri" w:cs="Calibri"/>
                <w:sz w:val="16"/>
                <w:szCs w:val="16"/>
              </w:rPr>
              <w:t>Wei et al. 2023 [15]</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A32E049" w14:textId="77777777" w:rsidR="00E932E3" w:rsidRDefault="00000000">
            <w:r>
              <w:rPr>
                <w:rFonts w:ascii="Calibri" w:eastAsia="Calibri" w:hAnsi="Calibri" w:cs="Calibri"/>
                <w:sz w:val="16"/>
                <w:szCs w:val="16"/>
              </w:rPr>
              <w:t>ML + SHAP tumour micro-environment biomarkers (TCGA/GEO)</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4CD31A2C" w14:textId="77777777" w:rsidR="00E932E3" w:rsidRDefault="00000000">
            <w:r>
              <w:rPr>
                <w:rFonts w:ascii="Calibri" w:eastAsia="Calibri" w:hAnsi="Calibri" w:cs="Calibri"/>
                <w:sz w:val="16"/>
                <w:szCs w:val="16"/>
              </w:rPr>
              <w:t>Four feature-selection algorithms benchmarked; SHAP-derived co-predictive network visualised via VisuNet; PPI network from STRINGdb</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599FF907" w14:textId="77777777" w:rsidR="00E932E3" w:rsidRDefault="00000000">
            <w:r>
              <w:rPr>
                <w:rFonts w:ascii="Calibri" w:eastAsia="Calibri" w:hAnsi="Calibri" w:cs="Calibri"/>
                <w:sz w:val="16"/>
                <w:szCs w:val="16"/>
              </w:rPr>
              <w:t>Single-database enrichment context; no stage-stratified SHAP; no external cohort beyond validation split</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92162B9" w14:textId="77777777" w:rsidR="00E932E3" w:rsidRDefault="00000000">
            <w:r>
              <w:rPr>
                <w:rFonts w:ascii="Calibri" w:eastAsia="Calibri" w:hAnsi="Calibri" w:cs="Calibri"/>
                <w:sz w:val="16"/>
                <w:szCs w:val="16"/>
              </w:rPr>
              <w:t>Cohort restricted to TCGA/GEO without population diversification</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40D5439A" w14:textId="77777777" w:rsidR="00E932E3" w:rsidRDefault="00000000">
            <w:r>
              <w:rPr>
                <w:rFonts w:ascii="Calibri" w:eastAsia="Calibri" w:hAnsi="Calibri" w:cs="Calibri"/>
                <w:sz w:val="16"/>
                <w:szCs w:val="16"/>
              </w:rPr>
              <w:t>No stage-stratified attribution; single-source mechanistic linkage only — addressed by Contributions 1 and 3</w:t>
            </w:r>
          </w:p>
        </w:tc>
      </w:tr>
      <w:tr w:rsidR="00E932E3" w14:paraId="54846A1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0354863" w14:textId="77777777" w:rsidR="00E932E3" w:rsidRDefault="00000000">
            <w:r>
              <w:rPr>
                <w:rFonts w:ascii="Calibri" w:eastAsia="Calibri" w:hAnsi="Calibri" w:cs="Calibri"/>
                <w:sz w:val="16"/>
                <w:szCs w:val="16"/>
              </w:rPr>
              <w:t>Yin et al. 2026 [14]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726C9DE" w14:textId="77777777" w:rsidR="00E932E3" w:rsidRDefault="00000000">
            <w:r>
              <w:rPr>
                <w:rFonts w:ascii="Calibri" w:eastAsia="Calibri" w:hAnsi="Calibri" w:cs="Calibri"/>
                <w:sz w:val="16"/>
                <w:szCs w:val="16"/>
              </w:rPr>
              <w:t>ML + SHAP CRC diagnostic model (TCGA + GSE87211)</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61B238F" w14:textId="77777777" w:rsidR="00E932E3" w:rsidRDefault="00000000">
            <w:r>
              <w:rPr>
                <w:rFonts w:ascii="Calibri" w:eastAsia="Calibri" w:hAnsi="Calibri" w:cs="Calibri"/>
                <w:sz w:val="16"/>
                <w:szCs w:val="16"/>
              </w:rPr>
              <w:t>Nine classifiers benchmarked; XGBoost AUC=0.990; SHAP identifies IFITM1, DBNDD1 as top contributors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A3023F4" w14:textId="77777777" w:rsidR="00E932E3" w:rsidRDefault="00000000">
            <w:r>
              <w:rPr>
                <w:rFonts w:ascii="Calibri" w:eastAsia="Calibri" w:hAnsi="Calibri" w:cs="Calibri"/>
                <w:sz w:val="16"/>
                <w:szCs w:val="16"/>
              </w:rPr>
              <w:t>Cohort-averaged SHAP only; no stage stratification; no survival modelling; no external cohort beyond validation split</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3E01CE8" w14:textId="77777777" w:rsidR="00E932E3" w:rsidRDefault="00000000">
            <w:r>
              <w:rPr>
                <w:rFonts w:ascii="Calibri" w:eastAsia="Calibri" w:hAnsi="Calibri" w:cs="Calibri"/>
                <w:sz w:val="16"/>
                <w:szCs w:val="16"/>
              </w:rPr>
              <w:t>Mendelian-randomisation gene set may not capture all clinically relevant biomarkers</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7C1E53F" w14:textId="77777777" w:rsidR="00E932E3" w:rsidRDefault="00000000">
            <w:r>
              <w:rPr>
                <w:rFonts w:ascii="Calibri" w:eastAsia="Calibri" w:hAnsi="Calibri" w:cs="Calibri"/>
                <w:sz w:val="16"/>
                <w:szCs w:val="16"/>
              </w:rPr>
              <w:t>No stage-resolved SHAP; no survival benchmarking — addressed by Contributions 1 and 4</w:t>
            </w:r>
          </w:p>
        </w:tc>
      </w:tr>
      <w:tr w:rsidR="00E932E3" w14:paraId="77DAAB78"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6E7DEA1" w14:textId="77777777" w:rsidR="00E932E3" w:rsidRDefault="00000000">
            <w:r>
              <w:rPr>
                <w:rFonts w:ascii="Calibri" w:eastAsia="Calibri" w:hAnsi="Calibri" w:cs="Calibri"/>
                <w:sz w:val="16"/>
                <w:szCs w:val="16"/>
              </w:rPr>
              <w:t>Kollampallath Radhakrishnan et al. 2025 [16]</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854CF9C" w14:textId="77777777" w:rsidR="00E932E3" w:rsidRDefault="00000000">
            <w:r>
              <w:rPr>
                <w:rFonts w:ascii="Calibri" w:eastAsia="Calibri" w:hAnsi="Calibri" w:cs="Calibri"/>
                <w:sz w:val="16"/>
                <w:szCs w:val="16"/>
              </w:rPr>
              <w:t>SHAP-based plasma proteomic biomarkers (UK Biobank)</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28AD56BC" w14:textId="77777777" w:rsidR="00E932E3" w:rsidRDefault="00000000">
            <w:r>
              <w:rPr>
                <w:rFonts w:ascii="Calibri" w:eastAsia="Calibri" w:hAnsi="Calibri" w:cs="Calibri"/>
                <w:sz w:val="16"/>
                <w:szCs w:val="16"/>
              </w:rPr>
              <w:t>Large biobank sample; three classifiers compared; SHAP identifies TFF3, LCN2, CEACAM5 with pathway linkage</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1CE53394" w14:textId="77777777" w:rsidR="00E932E3" w:rsidRDefault="00000000">
            <w:r>
              <w:rPr>
                <w:rFonts w:ascii="Calibri" w:eastAsia="Calibri" w:hAnsi="Calibri" w:cs="Calibri"/>
                <w:sz w:val="16"/>
                <w:szCs w:val="16"/>
              </w:rPr>
              <w:t>Proteomic, not transcriptomic, layer; UK Biobank population only; no stage stratification</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1FF880F8" w14:textId="77777777" w:rsidR="00E932E3" w:rsidRDefault="00000000">
            <w:r>
              <w:rPr>
                <w:rFonts w:ascii="Calibri" w:eastAsia="Calibri" w:hAnsi="Calibri" w:cs="Calibri"/>
                <w:sz w:val="16"/>
                <w:szCs w:val="16"/>
              </w:rPr>
              <w:t>UK Biobank cohort skews toward healthier, more affluent volunteers</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1B787985" w14:textId="77777777" w:rsidR="00E932E3" w:rsidRDefault="00000000">
            <w:r>
              <w:rPr>
                <w:rFonts w:ascii="Calibri" w:eastAsia="Calibri" w:hAnsi="Calibri" w:cs="Calibri"/>
                <w:sz w:val="16"/>
                <w:szCs w:val="16"/>
              </w:rPr>
              <w:t>No transcriptomic SHAP equivalent with population diversity beyond the UK; no stage-level analysis</w:t>
            </w:r>
          </w:p>
        </w:tc>
      </w:tr>
      <w:tr w:rsidR="00E932E3" w14:paraId="099A25B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AF117BA" w14:textId="77777777" w:rsidR="00E932E3" w:rsidRDefault="00000000">
            <w:r>
              <w:rPr>
                <w:rFonts w:ascii="Calibri" w:eastAsia="Calibri" w:hAnsi="Calibri" w:cs="Calibri"/>
                <w:sz w:val="16"/>
                <w:szCs w:val="16"/>
              </w:rPr>
              <w:t>Poorhasani &amp; Iancu 2026 [17]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E27FB3C" w14:textId="77777777" w:rsidR="00E932E3" w:rsidRDefault="00000000">
            <w:r>
              <w:rPr>
                <w:rFonts w:ascii="Calibri" w:eastAsia="Calibri" w:hAnsi="Calibri" w:cs="Calibri"/>
                <w:sz w:val="16"/>
                <w:szCs w:val="16"/>
              </w:rPr>
              <w:t>Stage-specific SHAP/LIME survival prediction (CRC, gastric, liver)</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EDDFD45" w14:textId="77777777" w:rsidR="00E932E3" w:rsidRDefault="00000000">
            <w:r>
              <w:rPr>
                <w:rFonts w:ascii="Calibri" w:eastAsia="Calibri" w:hAnsi="Calibri" w:cs="Calibri"/>
                <w:sz w:val="16"/>
                <w:szCs w:val="16"/>
              </w:rPr>
              <w:t>First demonstration that top SHAP-ranked predictors shift materially across localised, regional, and distant stage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54A1D0E" w14:textId="77777777" w:rsidR="00E932E3" w:rsidRDefault="00000000">
            <w:r>
              <w:rPr>
                <w:rFonts w:ascii="Calibri" w:eastAsia="Calibri" w:hAnsi="Calibri" w:cs="Calibri"/>
                <w:sz w:val="16"/>
                <w:szCs w:val="16"/>
              </w:rPr>
              <w:t>Entirely clinical/demographic covariates (age, nodal counts, treatment codes); no transcriptomic features examined</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7496585" w14:textId="77777777" w:rsidR="00E932E3" w:rsidRDefault="00000000">
            <w:r>
              <w:rPr>
                <w:rFonts w:ascii="Calibri" w:eastAsia="Calibri" w:hAnsi="Calibri" w:cs="Calibri"/>
                <w:sz w:val="16"/>
                <w:szCs w:val="16"/>
              </w:rPr>
              <w:t>SEER registry coverage biased toward US healthcare-access patterns</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5C88B70" w14:textId="77777777" w:rsidR="00E932E3" w:rsidRDefault="00000000">
            <w:r>
              <w:rPr>
                <w:rFonts w:ascii="Calibri" w:eastAsia="Calibri" w:hAnsi="Calibri" w:cs="Calibri"/>
                <w:sz w:val="16"/>
                <w:szCs w:val="16"/>
              </w:rPr>
              <w:t>Stage-dependent SHAP shift not yet demonstrated at the gene-expression level — directly addressed by Contribution 1</w:t>
            </w:r>
          </w:p>
        </w:tc>
      </w:tr>
      <w:tr w:rsidR="00E932E3" w14:paraId="0BC891C0"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9A60278" w14:textId="77777777" w:rsidR="00E932E3" w:rsidRDefault="00000000">
            <w:r>
              <w:rPr>
                <w:rFonts w:ascii="Calibri" w:eastAsia="Calibri" w:hAnsi="Calibri" w:cs="Calibri"/>
                <w:sz w:val="16"/>
                <w:szCs w:val="16"/>
              </w:rPr>
              <w:t>Alhosani et al. 2025 [18]</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0B9B4BF" w14:textId="77777777" w:rsidR="00E932E3" w:rsidRDefault="00000000">
            <w:r>
              <w:rPr>
                <w:rFonts w:ascii="Calibri" w:eastAsia="Calibri" w:hAnsi="Calibri" w:cs="Calibri"/>
                <w:sz w:val="16"/>
                <w:szCs w:val="16"/>
              </w:rPr>
              <w:t>absGSEA stage-specific transcriptomics (adenoma→CIS→adenocarcinoma)</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1F57E6AB" w14:textId="77777777" w:rsidR="00E932E3" w:rsidRDefault="00000000">
            <w:r>
              <w:rPr>
                <w:rFonts w:ascii="Calibri" w:eastAsia="Calibri" w:hAnsi="Calibri" w:cs="Calibri"/>
                <w:sz w:val="16"/>
                <w:szCs w:val="16"/>
              </w:rPr>
              <w:t>Whole-transcriptome RNA-seq on FFPE tissue across three progression stages; RT-qPCR experimental validation</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0A38FB87" w14:textId="77777777" w:rsidR="00E932E3" w:rsidRDefault="00000000">
            <w:r>
              <w:rPr>
                <w:rFonts w:ascii="Calibri" w:eastAsia="Calibri" w:hAnsi="Calibri" w:cs="Calibri"/>
                <w:sz w:val="16"/>
                <w:szCs w:val="16"/>
              </w:rPr>
              <w:t>Gene-set enrichment approach, not predictive ML; no SHAP or feature-level attribution; no survival benchmarking</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47160F82" w14:textId="77777777" w:rsidR="00E932E3" w:rsidRDefault="00000000">
            <w:r>
              <w:rPr>
                <w:rFonts w:ascii="Calibri" w:eastAsia="Calibri" w:hAnsi="Calibri" w:cs="Calibri"/>
                <w:sz w:val="16"/>
                <w:szCs w:val="16"/>
              </w:rPr>
              <w:t>Small per-stage sample sizes (n=8–11 per group)</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45DC12C" w14:textId="77777777" w:rsidR="00E932E3" w:rsidRDefault="00000000">
            <w:r>
              <w:rPr>
                <w:rFonts w:ascii="Calibri" w:eastAsia="Calibri" w:hAnsi="Calibri" w:cs="Calibri"/>
                <w:sz w:val="16"/>
                <w:szCs w:val="16"/>
              </w:rPr>
              <w:t>Confirms stage-specific transcriptomic signal exists, but no SHAP-based explainable model has been built on it — addressed by Contribution 1</w:t>
            </w:r>
          </w:p>
        </w:tc>
      </w:tr>
      <w:tr w:rsidR="00E932E3" w14:paraId="595D399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88C2148" w14:textId="77777777" w:rsidR="00E932E3" w:rsidRDefault="00000000">
            <w:r>
              <w:rPr>
                <w:rFonts w:ascii="Calibri" w:eastAsia="Calibri" w:hAnsi="Calibri" w:cs="Calibri"/>
                <w:sz w:val="16"/>
                <w:szCs w:val="16"/>
              </w:rPr>
              <w:t>Palaniappan et al. 2016 [19]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2E59948" w14:textId="77777777" w:rsidR="00E932E3" w:rsidRDefault="00000000">
            <w:r>
              <w:rPr>
                <w:rFonts w:ascii="Calibri" w:eastAsia="Calibri" w:hAnsi="Calibri" w:cs="Calibri"/>
                <w:sz w:val="16"/>
                <w:szCs w:val="16"/>
              </w:rPr>
              <w:t>Stage-specific driver-gene network analysis (CRC)</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D3615A1" w14:textId="77777777" w:rsidR="00E932E3" w:rsidRDefault="00000000">
            <w:r>
              <w:rPr>
                <w:rFonts w:ascii="Calibri" w:eastAsia="Calibri" w:hAnsi="Calibri" w:cs="Calibri"/>
                <w:sz w:val="16"/>
                <w:szCs w:val="16"/>
              </w:rPr>
              <w:t>Identifies distinct hub driver genes for Stage II, III, and IV progression via network centrality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EE89D59" w14:textId="77777777" w:rsidR="00E932E3" w:rsidRDefault="00000000">
            <w:r>
              <w:rPr>
                <w:rFonts w:ascii="Calibri" w:eastAsia="Calibri" w:hAnsi="Calibri" w:cs="Calibri"/>
                <w:sz w:val="16"/>
                <w:szCs w:val="16"/>
              </w:rPr>
              <w:t>Network-centrality approach only; no explainable-AI attribution; no model-based prediction</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CE953B2" w14:textId="77777777" w:rsidR="00E932E3" w:rsidRDefault="00000000">
            <w:r>
              <w:rPr>
                <w:rFonts w:ascii="Calibri" w:eastAsia="Calibri" w:hAnsi="Calibri" w:cs="Calibri"/>
                <w:sz w:val="16"/>
                <w:szCs w:val="16"/>
              </w:rPr>
              <w:t>Driver-gene calls dependent on chosen network-construction threshold</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E3CB0F3" w14:textId="77777777" w:rsidR="00E932E3" w:rsidRDefault="00000000">
            <w:r>
              <w:rPr>
                <w:rFonts w:ascii="Calibri" w:eastAsia="Calibri" w:hAnsi="Calibri" w:cs="Calibri"/>
                <w:sz w:val="16"/>
                <w:szCs w:val="16"/>
              </w:rPr>
              <w:t>No SHAP-based explainability layer applied to stage-specific gene sets — addressed by Contribution 1</w:t>
            </w:r>
          </w:p>
        </w:tc>
      </w:tr>
      <w:tr w:rsidR="00E932E3" w14:paraId="36230541"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8770B21" w14:textId="77777777" w:rsidR="00E932E3" w:rsidRDefault="00000000">
            <w:r>
              <w:rPr>
                <w:rFonts w:ascii="Calibri" w:eastAsia="Calibri" w:hAnsi="Calibri" w:cs="Calibri"/>
                <w:sz w:val="16"/>
                <w:szCs w:val="16"/>
              </w:rPr>
              <w:t>Shabani et al. 2022 [20]</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9F2D073" w14:textId="77777777" w:rsidR="00E932E3" w:rsidRDefault="00000000">
            <w:r>
              <w:rPr>
                <w:rFonts w:ascii="Calibri" w:eastAsia="Calibri" w:hAnsi="Calibri" w:cs="Calibri"/>
                <w:sz w:val="16"/>
                <w:szCs w:val="16"/>
              </w:rPr>
              <w:t>qRT-PCR validation of stage-dependent gene expression (CRC)</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3338EFD" w14:textId="77777777" w:rsidR="00E932E3" w:rsidRDefault="00000000">
            <w:r>
              <w:rPr>
                <w:rFonts w:ascii="Calibri" w:eastAsia="Calibri" w:hAnsi="Calibri" w:cs="Calibri"/>
                <w:sz w:val="16"/>
                <w:szCs w:val="16"/>
              </w:rPr>
              <w:t xml:space="preserve">Direct wet-lab confirmation that FOXM1, hTERT, </w:t>
            </w:r>
            <w:r>
              <w:rPr>
                <w:rFonts w:ascii="Calibri" w:eastAsia="Calibri" w:hAnsi="Calibri" w:cs="Calibri"/>
                <w:sz w:val="16"/>
                <w:szCs w:val="16"/>
              </w:rPr>
              <w:lastRenderedPageBreak/>
              <w:t>MCTP1 show stage-dependent expression across Stage I–IV</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5C015720" w14:textId="77777777" w:rsidR="00E932E3" w:rsidRDefault="00000000">
            <w:r>
              <w:rPr>
                <w:rFonts w:ascii="Calibri" w:eastAsia="Calibri" w:hAnsi="Calibri" w:cs="Calibri"/>
                <w:sz w:val="16"/>
                <w:szCs w:val="16"/>
              </w:rPr>
              <w:lastRenderedPageBreak/>
              <w:t>Small cohort (n=54); single-centre; targeted gene panel, not genome-</w:t>
            </w:r>
            <w:r>
              <w:rPr>
                <w:rFonts w:ascii="Calibri" w:eastAsia="Calibri" w:hAnsi="Calibri" w:cs="Calibri"/>
                <w:sz w:val="16"/>
                <w:szCs w:val="16"/>
              </w:rPr>
              <w:lastRenderedPageBreak/>
              <w:t>wide; no ML model</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A7850F3" w14:textId="77777777" w:rsidR="00E932E3" w:rsidRDefault="00000000">
            <w:r>
              <w:rPr>
                <w:rFonts w:ascii="Calibri" w:eastAsia="Calibri" w:hAnsi="Calibri" w:cs="Calibri"/>
                <w:sz w:val="16"/>
                <w:szCs w:val="16"/>
              </w:rPr>
              <w:lastRenderedPageBreak/>
              <w:t xml:space="preserve">Single-institution sample may not generalise across </w:t>
            </w:r>
            <w:r>
              <w:rPr>
                <w:rFonts w:ascii="Calibri" w:eastAsia="Calibri" w:hAnsi="Calibri" w:cs="Calibri"/>
                <w:sz w:val="16"/>
                <w:szCs w:val="16"/>
              </w:rPr>
              <w:lastRenderedPageBreak/>
              <w:t>populations</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34C64A74" w14:textId="77777777" w:rsidR="00E932E3" w:rsidRDefault="00000000">
            <w:r>
              <w:rPr>
                <w:rFonts w:ascii="Calibri" w:eastAsia="Calibri" w:hAnsi="Calibri" w:cs="Calibri"/>
                <w:sz w:val="16"/>
                <w:szCs w:val="16"/>
              </w:rPr>
              <w:lastRenderedPageBreak/>
              <w:t xml:space="preserve">Confirms biological plausibility of </w:t>
            </w:r>
            <w:r>
              <w:rPr>
                <w:rFonts w:ascii="Calibri" w:eastAsia="Calibri" w:hAnsi="Calibri" w:cs="Calibri"/>
                <w:sz w:val="16"/>
                <w:szCs w:val="16"/>
              </w:rPr>
              <w:lastRenderedPageBreak/>
              <w:t>stage-dependent transcription, supporting the rationale for Contribution 1</w:t>
            </w:r>
          </w:p>
        </w:tc>
      </w:tr>
      <w:tr w:rsidR="00E932E3" w14:paraId="15FE06B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88D6288" w14:textId="77777777" w:rsidR="00E932E3" w:rsidRDefault="00000000">
            <w:r>
              <w:rPr>
                <w:rFonts w:ascii="Calibri" w:eastAsia="Calibri" w:hAnsi="Calibri" w:cs="Calibri"/>
                <w:sz w:val="16"/>
                <w:szCs w:val="16"/>
              </w:rPr>
              <w:t>Lundberg &amp; Lee 2017 [23]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309E607" w14:textId="77777777" w:rsidR="00E932E3" w:rsidRDefault="00000000">
            <w:r>
              <w:rPr>
                <w:rFonts w:ascii="Calibri" w:eastAsia="Calibri" w:hAnsi="Calibri" w:cs="Calibri"/>
                <w:sz w:val="16"/>
                <w:szCs w:val="16"/>
              </w:rPr>
              <w:t>SHAP unified framework</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DCA86AB" w14:textId="77777777" w:rsidR="00E932E3" w:rsidRDefault="00000000">
            <w:r>
              <w:rPr>
                <w:rFonts w:ascii="Calibri" w:eastAsia="Calibri" w:hAnsi="Calibri" w:cs="Calibri"/>
                <w:sz w:val="16"/>
                <w:szCs w:val="16"/>
              </w:rPr>
              <w:t>Exact Shapley-value attributions; satisfies efficiency, symmetry, and dummy axioms; model-agnostic</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D9D05B8" w14:textId="77777777" w:rsidR="00E932E3" w:rsidRDefault="00000000">
            <w:r>
              <w:rPr>
                <w:rFonts w:ascii="Calibri" w:eastAsia="Calibri" w:hAnsi="Calibri" w:cs="Calibri"/>
                <w:sz w:val="16"/>
                <w:szCs w:val="16"/>
              </w:rPr>
              <w:t>Computationally expensive for large ensembles; attribution stability across random seeds not addressed by the original framework</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BF13523" w14:textId="77777777" w:rsidR="00E932E3" w:rsidRDefault="00000000">
            <w:r>
              <w:rPr>
                <w:rFonts w:ascii="Calibri" w:eastAsia="Calibri" w:hAnsi="Calibri" w:cs="Calibri"/>
                <w:sz w:val="16"/>
                <w:szCs w:val="16"/>
              </w:rPr>
              <w:t>Model-specific SHAP variants can yield different rankings for the same data</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F9082FD" w14:textId="77777777" w:rsidR="00E932E3" w:rsidRDefault="00000000">
            <w:r>
              <w:rPr>
                <w:rFonts w:ascii="Calibri" w:eastAsia="Calibri" w:hAnsi="Calibri" w:cs="Calibri"/>
                <w:sz w:val="16"/>
                <w:szCs w:val="16"/>
              </w:rPr>
              <w:t>First application of stage-stratified SHAP attribution within a single CRC transcriptomic model — addressed by Contribution 1</w:t>
            </w:r>
          </w:p>
        </w:tc>
      </w:tr>
      <w:tr w:rsidR="00E932E3" w14:paraId="5384ED07" w14:textId="77777777">
        <w:tc>
          <w:tcPr>
            <w:tcW w:w="15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4D5570FA" w14:textId="77777777" w:rsidR="00E932E3" w:rsidRDefault="00000000">
            <w:r>
              <w:rPr>
                <w:rFonts w:ascii="Calibri" w:eastAsia="Calibri" w:hAnsi="Calibri" w:cs="Calibri"/>
                <w:sz w:val="16"/>
                <w:szCs w:val="16"/>
              </w:rPr>
              <w:t>Collins et al. 2024 [22]</w:t>
            </w:r>
          </w:p>
        </w:tc>
        <w:tc>
          <w:tcPr>
            <w:tcW w:w="11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1DC0B5F" w14:textId="77777777" w:rsidR="00E932E3" w:rsidRDefault="00000000">
            <w:r>
              <w:rPr>
                <w:rFonts w:ascii="Calibri" w:eastAsia="Calibri" w:hAnsi="Calibri" w:cs="Calibri"/>
                <w:sz w:val="16"/>
                <w:szCs w:val="16"/>
              </w:rPr>
              <w:t>TRIPOD+AI reporting guideline</w:t>
            </w:r>
          </w:p>
        </w:tc>
        <w:tc>
          <w:tcPr>
            <w:tcW w:w="14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51AD3292" w14:textId="77777777" w:rsidR="00E932E3" w:rsidRDefault="00000000">
            <w:r>
              <w:rPr>
                <w:rFonts w:ascii="Calibri" w:eastAsia="Calibri" w:hAnsi="Calibri" w:cs="Calibri"/>
                <w:sz w:val="16"/>
                <w:szCs w:val="16"/>
              </w:rPr>
              <w:t>Defines minimum reporting standard for clinical prediction models using ML, including external validation and calibration</w:t>
            </w:r>
          </w:p>
        </w:tc>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C79FCED" w14:textId="77777777" w:rsidR="00E932E3" w:rsidRDefault="00000000">
            <w:r>
              <w:rPr>
                <w:rFonts w:ascii="Calibri" w:eastAsia="Calibri" w:hAnsi="Calibri" w:cs="Calibri"/>
                <w:sz w:val="16"/>
                <w:szCs w:val="16"/>
              </w:rPr>
              <w:t>Guideline only; does not itself supply biomarkers or models; compliance burden may be high for exploratory studies</w:t>
            </w:r>
          </w:p>
        </w:tc>
        <w:tc>
          <w:tcPr>
            <w:tcW w:w="1326"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6EE913E5" w14:textId="77777777" w:rsidR="00E932E3" w:rsidRDefault="00000000">
            <w:r>
              <w:rPr>
                <w:rFonts w:ascii="Calibri" w:eastAsia="Calibri" w:hAnsi="Calibri" w:cs="Calibri"/>
                <w:sz w:val="16"/>
                <w:szCs w:val="16"/>
              </w:rPr>
              <w:t>Guideline development panel weighted toward high-resource health systems</w:t>
            </w:r>
          </w:p>
        </w:tc>
        <w:tc>
          <w:tcPr>
            <w:tcW w:w="1950" w:type="dxa"/>
            <w:tcBorders>
              <w:top w:val="single" w:sz="1" w:space="0" w:color="AAAAAA"/>
              <w:left w:val="single" w:sz="1" w:space="0" w:color="AAAAAA"/>
              <w:bottom w:val="single" w:sz="1" w:space="0" w:color="AAAAAA"/>
              <w:right w:val="single" w:sz="1" w:space="0" w:color="AAAAAA"/>
            </w:tcBorders>
            <w:shd w:val="clear" w:color="auto" w:fill="F5FAFF"/>
            <w:tcMar>
              <w:top w:w="60" w:type="dxa"/>
              <w:left w:w="90" w:type="dxa"/>
              <w:bottom w:w="60" w:type="dxa"/>
              <w:right w:w="90" w:type="dxa"/>
            </w:tcMar>
          </w:tcPr>
          <w:p w14:paraId="7EAD2582" w14:textId="77777777" w:rsidR="00E932E3" w:rsidRDefault="00000000">
            <w:r>
              <w:rPr>
                <w:rFonts w:ascii="Calibri" w:eastAsia="Calibri" w:hAnsi="Calibri" w:cs="Calibri"/>
                <w:sz w:val="16"/>
                <w:szCs w:val="16"/>
              </w:rPr>
              <w:t>Existing CRC SHAP literature inconsistently meets these standards — addressed by Contribution 4</w:t>
            </w:r>
          </w:p>
        </w:tc>
      </w:tr>
    </w:tbl>
    <w:p w14:paraId="2D8608AD" w14:textId="77777777" w:rsidR="00E932E3" w:rsidRDefault="00E932E3">
      <w:pPr>
        <w:spacing w:before="160" w:after="0"/>
      </w:pPr>
    </w:p>
    <w:p w14:paraId="0A07943E" w14:textId="77777777" w:rsidR="00E932E3" w:rsidRDefault="00000000">
      <w:pPr>
        <w:pStyle w:val="Heading2"/>
        <w:spacing w:before="260" w:after="100"/>
      </w:pPr>
      <w:r>
        <w:rPr>
          <w:rFonts w:ascii="Calibri" w:eastAsia="Calibri" w:hAnsi="Calibri" w:cs="Calibri"/>
          <w:i/>
          <w:iCs/>
          <w:color w:val="111111"/>
          <w:sz w:val="24"/>
          <w:szCs w:val="24"/>
        </w:rPr>
        <w:t>1.5 Research Gaps and Contributions of This Study</w:t>
      </w:r>
    </w:p>
    <w:p w14:paraId="5FCEB542" w14:textId="77777777" w:rsidR="00E932E3" w:rsidRDefault="00000000">
      <w:pPr>
        <w:spacing w:after="160"/>
        <w:jc w:val="both"/>
      </w:pPr>
      <w:r>
        <w:rPr>
          <w:rFonts w:ascii="Calibri" w:eastAsia="Calibri" w:hAnsi="Calibri" w:cs="Calibri"/>
        </w:rPr>
        <w:t>The foregoing review identifies four specific, interrelated gaps that motivate the present study. Each is stated explicitly below, paired with the corresponding contribution through which this study addresses it.</w:t>
      </w:r>
    </w:p>
    <w:p w14:paraId="180CA1A9" w14:textId="77777777" w:rsidR="00E932E3" w:rsidRDefault="00000000">
      <w:pPr>
        <w:spacing w:before="60" w:after="140"/>
        <w:jc w:val="both"/>
      </w:pPr>
      <w:r>
        <w:rPr>
          <w:rFonts w:ascii="Calibri" w:eastAsia="Calibri" w:hAnsi="Calibri" w:cs="Calibri"/>
          <w:b/>
          <w:bCs/>
        </w:rPr>
        <w:t>Gap 1 — Global, cohort-averaged SHAP attribution conceals stage-dependent shifts in transcriptomic feature importance: Existing SHAP-based CRC transcriptomic classifiers report a single, stage-agnostic importance ranking [14,15,16], while stage-resolved explainability evidence to date is confined to clinical and demographic covariates rather than gene expression [17], and stage-specific transcriptomic studies that do exist use gene-set enrichment or network-centrality methods rather than SHAP-based feature attribution [18,19]. Whether, and how, SHAP-derived gene-level attribution reorders across Stage I–IV CRC within a single transcriptomic model has not been reported. Addressed by Contribution 1.</w:t>
      </w:r>
      <w:r>
        <w:rPr>
          <w:rFonts w:ascii="Calibri" w:eastAsia="Calibri" w:hAnsi="Calibri" w:cs="Calibri"/>
        </w:rPr>
      </w:r>
    </w:p>
    <w:p w14:paraId="37A28D76" w14:textId="77777777" w:rsidR="00E932E3" w:rsidRDefault="00000000">
      <w:pPr>
        <w:spacing w:after="140"/>
        <w:jc w:val="both"/>
      </w:pPr>
      <w:r>
        <w:rPr>
          <w:rFonts w:ascii="Calibri" w:eastAsia="Calibri" w:hAnsi="Calibri" w:cs="Calibri"/>
          <w:b/>
          <w:bCs/>
        </w:rPr>
        <w:t xml:space="preserve">Gap 2 — SHAP-based CRC transcriptomic biomarker studies are conducted without any reference to Saudi population-specific molecular data, and no public Saudi transcriptomic cohort exists to close this gap directly: </w:t>
      </w:r>
      <w:r>
        <w:rPr>
          <w:rFonts w:ascii="Calibri" w:eastAsia="Calibri" w:hAnsi="Calibri" w:cs="Calibri"/>
        </w:rPr>
        <w:t xml:space="preserve">Saudi CRC epidemiology differs materially from the Western cohorts underlying TCGA and most GEO datasets [4,5,6,7], yet no published SHAP-based transcriptomic biomarker study situates its findings against any Saudi-specific molecular evidence, even at the level of pathway comparison. A dedicated Saudi CRC mutation panel exists publicly [9], but it has not previously been used as a </w:t>
      </w:r>
      <w:r>
        <w:rPr>
          <w:rFonts w:ascii="Calibri" w:eastAsia="Calibri" w:hAnsi="Calibri" w:cs="Calibri"/>
        </w:rPr>
        <w:lastRenderedPageBreak/>
        <w:t>contextual comparison point for any SHAP-prioritised transcriptomic gene set. Addressed by Contribution 2.</w:t>
      </w:r>
    </w:p>
    <w:p w14:paraId="7219C321" w14:textId="77777777" w:rsidR="00E932E3" w:rsidRDefault="00000000">
      <w:pPr>
        <w:spacing w:after="140"/>
        <w:jc w:val="both"/>
      </w:pPr>
      <w:r>
        <w:rPr>
          <w:rFonts w:ascii="Calibri" w:eastAsia="Calibri" w:hAnsi="Calibri" w:cs="Calibri"/>
          <w:b/>
          <w:bCs/>
        </w:rPr>
        <w:t>Gap 3 — Mechanistic triangulation of SHAP-prioritised genes against protein-protein interaction and pathway evidence is incomplete: Prior work has linked SHAP-prioritised genes to PPI networks or to a single enrichment database in isolation [14,15], but a triangulated approach combining high-confidence STRINGdb network topology with cross-referenced enrichment across DAVID, KEGG, Reactome, and ClueGO for the same SHAP-prioritised, stage-stratified gene set has not been reported for CRC. Addressed by Contribution 3.</w:t>
      </w:r>
      <w:r>
        <w:rPr>
          <w:rFonts w:ascii="Calibri" w:eastAsia="Calibri" w:hAnsi="Calibri" w:cs="Calibri"/>
        </w:rPr>
      </w:r>
    </w:p>
    <w:p w14:paraId="615FABF8" w14:textId="77777777" w:rsidR="00E932E3" w:rsidRDefault="00000000">
      <w:pPr>
        <w:jc w:val="both"/>
      </w:pPr>
      <w:r>
        <w:rPr>
          <w:rFonts w:ascii="Calibri" w:eastAsia="Calibri" w:hAnsi="Calibri" w:cs="Calibri"/>
          <w:b/>
          <w:bCs/>
        </w:rPr>
        <w:t>Gap 4 — Survival-model benchmarking and externally validated, statistically rigorous performance reporting are inconsistently applied: Most SHAP-based CRC transcriptomic studies report classification AUC on an internal split rather than benchmarking survival-specific architectures (DeepSurv, Random Survival Forest) against Cox proportional hazards on the SHAP-prioritised panel, with external cohort validation, DeLong testing, and bootstrapped confidence intervals as recommended under TRIPOD-AI [22]. Addressed by Contribution 4.</w:t>
      </w:r>
      <w:r>
        <w:rPr>
          <w:rFonts w:ascii="Calibri" w:eastAsia="Calibri" w:hAnsi="Calibri" w:cs="Calibri"/>
        </w:rPr>
      </w:r>
    </w:p>
    <w:p w14:paraId="2E5520FC" w14:textId="77777777" w:rsidR="00E932E3" w:rsidRDefault="00000000">
      <w:pPr>
        <w:spacing w:after="160"/>
        <w:jc w:val="both"/>
      </w:pPr>
      <w:r>
        <w:rPr>
          <w:rFonts w:ascii="Calibri" w:eastAsia="Calibri" w:hAnsi="Calibri" w:cs="Calibri"/>
        </w:rPr>
        <w:t>To address these four gaps, this study makes the following contributions:</w:t>
      </w:r>
    </w:p>
    <w:p w14:paraId="12DF3FDD" w14:textId="77777777" w:rsidR="00E932E3" w:rsidRDefault="00000000">
      <w:pPr>
        <w:spacing w:after="120"/>
        <w:jc w:val="both"/>
      </w:pPr>
      <w:r>
        <w:rPr>
          <w:rFonts w:ascii="Calibri" w:eastAsia="Calibri" w:hAnsi="Calibri" w:cs="Calibri"/>
          <w:b/>
          <w:bCs/>
        </w:rPr>
        <w:t xml:space="preserve">Contribution 1 — Stage-stratified SHAP attribution framework: </w:t>
      </w:r>
      <w:r>
        <w:rPr>
          <w:rFonts w:ascii="Calibri" w:eastAsia="Calibri" w:hAnsi="Calibri" w:cs="Calibri"/>
        </w:rPr>
        <w:t>The first application of SHAP attribution computed separately within each AJCC stage subgroup (I–IV) of a single CRC transcriptomic classifier — the empirically selected model from a six-algorithm benchmark, an interpretable Elastic Net — quantifying how gene-level importance redistributes across disease progression, testing concordance against global, stage-agnostic SHAP rankings, and confirming that the stage-dependent importance structure replicates in an independent cohort (addresses Gap 1).</w:t>
      </w:r>
    </w:p>
    <w:p w14:paraId="19A1AC5F" w14:textId="77777777" w:rsidR="00E932E3" w:rsidRDefault="00000000">
      <w:pPr>
        <w:spacing w:after="120"/>
        <w:jc w:val="both"/>
      </w:pPr>
      <w:r>
        <w:rPr>
          <w:rFonts w:ascii="Calibri" w:eastAsia="Calibri" w:hAnsi="Calibri" w:cs="Calibri"/>
          <w:b/>
          <w:bCs/>
        </w:rPr>
        <w:t xml:space="preserve">Contribution 2 — Saudi population contextualisation via independent mutational cross-reference: </w:t>
      </w:r>
      <w:r>
        <w:rPr>
          <w:rFonts w:ascii="Calibri" w:eastAsia="Calibri" w:hAnsi="Calibri" w:cs="Calibri"/>
        </w:rPr>
        <w:t>Following SHAP-based prioritisation of stage-stratified genes from TCGA-COAD and international GEO cohorts, the resulting enriched-pathway set is cross-referenced in the Discussion against the documented Saudi colorectal-cancer molecular landscape, including both a targeted mutation panel [9] and population-level whole-exome pathway frequencies, assessing pathway-level convergence (for example at the Wnt/β-catenin and PI3K axes) between the transcriptomically enriched pathways and independently reported Saudi alterations, and reporting non-convergences transparently, without overstating this as transcriptomic validation in a Saudi cohort (addresses Gap 2).</w:t>
      </w:r>
    </w:p>
    <w:p w14:paraId="6A5E7CFE" w14:textId="77777777" w:rsidR="00E932E3" w:rsidRDefault="00000000">
      <w:pPr>
        <w:spacing w:after="120"/>
        <w:jc w:val="both"/>
      </w:pPr>
      <w:r>
        <w:rPr>
          <w:rFonts w:ascii="Calibri" w:eastAsia="Calibri" w:hAnsi="Calibri" w:cs="Calibri"/>
          <w:b/>
          <w:bCs/>
        </w:rPr>
        <w:t xml:space="preserve">Contribution 3 — Triangulated mechanistic validation: </w:t>
      </w:r>
      <w:r>
        <w:rPr>
          <w:rFonts w:ascii="Calibri" w:eastAsia="Calibri" w:hAnsi="Calibri" w:cs="Calibri"/>
        </w:rPr>
        <w:t>A two-level mechanistic analysis in which a high-confidence (STRINGdb interaction score &gt; 0.9) protein-protein interaction network and triangulated enrichment across DAVID, KEGG, Reactome, and ClueGO are established on the full differentially expressed gene set, and the stage-stratified SHAP-prioritised panel is then located within that well-powered network and pathway landscape. This provides convergent rather than single-database mechanistic evidence and reveals that the explainable-AI signature is complementary to, rather than a rediscovery of, classical network-hub genes (addresses Gap 3).</w:t>
      </w:r>
    </w:p>
    <w:p w14:paraId="45EE1D3A" w14:textId="77777777" w:rsidR="00E932E3" w:rsidRDefault="00000000">
      <w:pPr>
        <w:spacing w:after="240"/>
        <w:jc w:val="both"/>
      </w:pPr>
      <w:r>
        <w:rPr>
          <w:rFonts w:ascii="Calibri" w:eastAsia="Calibri" w:hAnsi="Calibri" w:cs="Calibri"/>
          <w:b/>
          <w:bCs/>
        </w:rPr>
        <w:t xml:space="preserve">Contribution 4 — Survival-model benchmarking with externally validated statistical rigour: </w:t>
      </w:r>
      <w:r>
        <w:rPr>
          <w:rFonts w:ascii="Calibri" w:eastAsia="Calibri" w:hAnsi="Calibri" w:cs="Calibri"/>
        </w:rPr>
        <w:t>Benchmarking of DeepSurv and Random Survival Forest against Cox proportional hazards on the SHAP-</w:t>
      </w:r>
      <w:r>
        <w:rPr>
          <w:rFonts w:ascii="Calibri" w:eastAsia="Calibri" w:hAnsi="Calibri" w:cs="Calibri"/>
        </w:rPr>
        <w:lastRenderedPageBreak/>
        <w:t>prioritised panel, with performance reported as concordance index and time-dependent AUC and externally validated on independent, fully open-access GEO cohorts (GSE39582, GSE17536) using bootstrapped (1,000-iteration) 95% confidence intervals, in line with TRIPOD+AI reporting standards. This benchmarking is coupled to a pre-registered events-per-variable assessment that transparently delineates the signature’s scope, distinguishing a reproducible classifier from a prognostic model rather than overstating prognostic utility (addresses Gap 4).</w:t>
      </w:r>
    </w:p>
    <w:p w14:paraId="5AE404B3" w14:textId="77777777" w:rsidR="00E932E3" w:rsidRDefault="00000000">
      <w:pPr>
        <w:spacing w:before="40" w:after="160"/>
        <w:jc w:val="both"/>
      </w:pPr>
      <w:r>
        <w:rPr>
          <w:rFonts w:eastAsia="Times New Roman" w:cs="Times New Roman"/>
        </w:rPr>
        <w:t>The remainder of this paper is organised as follows. Section 2 details the cohorts, the differential-expression and network analyses, the six-algorithm classification benchmark, the stage-stratified explainability and survival modelling, and the reproducibility framework. Section 3 reports the results of each phase, Section 4 discusses their interpretation, novelty, limitations and future directions, and Section 5 concludes.</w:t>
      </w:r>
    </w:p>
    <w:p w14:paraId="78951D91" w14:textId="77777777" w:rsidR="00E932E3" w:rsidRDefault="00000000">
      <w:pPr>
        <w:pStyle w:val="Heading1"/>
        <w:spacing w:before="300" w:after="140"/>
      </w:pPr>
      <w:r>
        <w:rPr>
          <w:rFonts w:ascii="Calibri" w:eastAsia="Calibri" w:hAnsi="Calibri" w:cs="Calibri"/>
        </w:rPr>
        <w:t>2. Materials and Methods</w:t>
      </w:r>
    </w:p>
    <w:p w14:paraId="0B9C3C04" w14:textId="77777777" w:rsidR="00E932E3" w:rsidRDefault="00000000">
      <w:pPr>
        <w:spacing w:after="160"/>
        <w:jc w:val="both"/>
        <w:rPr>
          <w:rFonts w:ascii="Calibri" w:eastAsia="Calibri" w:hAnsi="Calibri" w:cs="Calibri"/>
        </w:rPr>
      </w:pPr>
      <w:r>
        <w:rPr>
          <w:rFonts w:ascii="Calibri" w:eastAsia="Calibri" w:hAnsi="Calibri" w:cs="Calibri"/>
        </w:rPr>
        <w:t>Figure 1 provides a schematic overview of the complete four-phase pipeline. Starting from harmonised, platform-consistent transcriptomic data, the pipeline applies differential expression and graph-based pathway discovery, a benchmarked comparison of six classification algorithms, stage-stratified explainable AI modelling on the empirically best-performing model, an independent Saudi population contextualisation step, and survival benchmarking with external validation, producing a fully reproducible set of outputs including stage-resolved SHAP attribution maps and an externally validated risk score. Each phase is described in full methodological detail in the subsections below, with explicit justification of every modelling choice — machine learning, deep learning, or graph-based — at the point where it is introduced, and with explicit resolutions to eight methodological risks identified prior to data acquisition (Section 2.9).</w:t>
      </w:r>
    </w:p>
    <w:p w14:paraId="2ECA9661" w14:textId="1A0F1B18" w:rsidR="00AF7FC2" w:rsidRDefault="00AF7FC2">
      <w:pPr>
        <w:spacing w:after="160"/>
        <w:jc w:val="both"/>
      </w:pPr>
      <w:r>
        <w:rPr>
          <w:noProof/>
        </w:rPr>
        <w:lastRenderedPageBreak/>
        <w:drawing>
          <wp:inline distT="0" distB="0" distL="0" distR="0" wp14:anchorId="508F315F" wp14:editId="2065F88F">
            <wp:extent cx="5669280" cy="393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mbed.png"/>
                    <pic:cNvPicPr/>
                  </pic:nvPicPr>
                  <pic:blipFill>
                    <a:blip r:embed="rId6"/>
                    <a:stretch>
                      <a:fillRect/>
                    </a:stretch>
                  </pic:blipFill>
                  <pic:spPr>
                    <a:xfrm>
                      <a:off x="0" y="0"/>
                      <a:ext cx="5669280" cy="3936606"/>
                    </a:xfrm>
                    <a:prstGeom prst="rect">
                      <a:avLst/>
                    </a:prstGeom>
                  </pic:spPr>
                </pic:pic>
              </a:graphicData>
            </a:graphic>
          </wp:inline>
        </w:drawing>
      </w:r>
    </w:p>
    <w:p w14:paraId="5B19DF3A" w14:textId="77777777" w:rsidR="00AF7FC2" w:rsidRDefault="00AF7FC2" w:rsidP="00AF7FC2">
      <w:pPr>
        <w:spacing w:before="40" w:after="240"/>
        <w:jc w:val="both"/>
      </w:pPr>
      <w:r>
        <w:rPr>
          <w:rFonts w:ascii="Calibri" w:eastAsia="Calibri" w:hAnsi="Calibri" w:cs="Calibri"/>
          <w:b/>
          <w:bCs/>
          <w:sz w:val="20"/>
          <w:szCs w:val="20"/>
        </w:rPr>
        <w:t>Figure 1. Schematic overview of the stage-stratified explainable AI (XAI) pipeline for colorectal cancer (CRC) transcriptomic biomarker discovery. (A) Phase 1: RNA-seq-only multi-cohort data acquisition (TCGA-COAD primary tumours with both expression and stage annotation, n=286, with confirmed AJCC stage distribution Stage I=45, II=110, III=80, IV=39 plus 12 unstaged, alongside 41 adjacent solid-tissue normal samples; pooled RNA-seq GEO cohorts) and harmonisation via ComBat batch correction [26], with platform-mixing risk [27] explicitly avoided by excluding microarray cohorts from the training matrix. (B) Phase 2: differential expression analysis (limma [24,25]) combined with graph-based protein–protein interaction (PPI) network analysis (STRINGdb [28], confidence&gt;0.9; MCODE [29] hub detection) and triangulated enrichment across DAVID [30], KEGG [31], Reactome [32], and ClueGO [33]. (C) Phase 3, the core novel contribution: a six-algorithm benchmark (Elastic Net [37], Random Forest [34], SVM [36], XGBoost [13], LightGBM [35], shallow MLP [38]) under identical cross-validation folds, with the empirically best-performing model (the Elastic Net, selected as the most parsimonious of a statistically-tied set) carried forward for SHAP [23] attribution computed separately within each AJCC stage subgroup, yielding stage-resolved importance rankings tested for concordance against the global, stage-agnostic ranking. (D) An independent Saudi population contextualisation step, in which the SHAP-prioritised gene set is compared at the pathway level against published Saudi-specific CRC mutation frequencies [9], explicitly not used as training or validation data. (E) Phase 4: survival-model benchmarking (Cox proportional hazards vs. DeepSurv [42] vs. Random Survival Forest [43]) on the SHAP-prioritised panel, with external validation on the freely available GSE39582/GSE17536 cohorts [48] (replacing ICGC following the closure of open ICGC data access [46]) using concordance index [44], time-dependent AUC, DeLong's test [45], and 1,000-iteration bootstrapped 95% confidence intervals. All code, trained models, and Colab notebooks reproducing every step are released on GitHub under an MIT licence.</w:t>
      </w:r>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roofErr w:type="spellStart"/>
      <w:r>
        <w:rPr>
          <w:rFonts w:ascii="Calibri" w:eastAsia="Calibri" w:hAnsi="Calibri" w:cs="Calibri"/>
          <w:sz w:val="20"/>
          <w:szCs w:val="20"/>
        </w:rPr>
      </w:r>
      <w:proofErr w:type="spellEnd"/>
      <w:r>
        <w:rPr>
          <w:rFonts w:ascii="Calibri" w:eastAsia="Calibri" w:hAnsi="Calibri" w:cs="Calibri"/>
          <w:sz w:val="20"/>
          <w:szCs w:val="20"/>
        </w:rPr>
      </w:r>
    </w:p>
    <w:p w14:paraId="25F5457D" w14:textId="77777777" w:rsidR="00E932E3" w:rsidRDefault="00000000">
      <w:pPr>
        <w:pStyle w:val="Heading2"/>
        <w:spacing w:before="260" w:after="100"/>
      </w:pPr>
      <w:r>
        <w:rPr>
          <w:rFonts w:ascii="Calibri" w:eastAsia="Calibri" w:hAnsi="Calibri" w:cs="Calibri"/>
          <w:i/>
          <w:iCs/>
          <w:color w:val="111111"/>
          <w:sz w:val="24"/>
          <w:szCs w:val="24"/>
        </w:rPr>
        <w:lastRenderedPageBreak/>
        <w:t>2.1 Rationale for Method Selection: Machine Learning, Deep Learning, and Graph-Based Analysis</w:t>
      </w:r>
    </w:p>
    <w:p w14:paraId="4D778B0D" w14:textId="77777777" w:rsidR="00E932E3" w:rsidRDefault="00000000">
      <w:pPr>
        <w:spacing w:after="160"/>
        <w:jc w:val="both"/>
      </w:pPr>
      <w:r>
        <w:rPr>
          <w:rFonts w:ascii="Calibri" w:eastAsia="Calibri" w:hAnsi="Calibri" w:cs="Calibri"/>
        </w:rPr>
        <w:t>Because this pipeline combines several distinct method families, the rationale for each is stated explicitly here rather than left implicit, so that the choice of tool is transparent and auditable at every stage rather than assumed. Critically, the primary classifier is not assumed in advance: Section 2.5.1 and Table 4 specify a six-algorithm benchmark, and the model carried forward for SHAP attribution is the empirical winner of that benchmark, not a default choice.</w:t>
      </w:r>
    </w:p>
    <w:p w14:paraId="7E1E45DD" w14:textId="77777777" w:rsidR="00E932E3" w:rsidRDefault="00000000">
      <w:pPr>
        <w:spacing w:before="100" w:after="80"/>
        <w:jc w:val="both"/>
      </w:pPr>
      <w:r>
        <w:rPr>
          <w:rFonts w:ascii="Calibri" w:eastAsia="Calibri" w:hAnsi="Calibri" w:cs="Calibri"/>
          <w:sz w:val="20"/>
          <w:szCs w:val="20"/>
        </w:rPr>
        <w:t>Table 3. Justification for the method family selected at each stage of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413"/>
        <w:gridCol w:w="3913"/>
      </w:tblGrid>
      <w:tr w:rsidR="00E932E3" w14:paraId="6643D2FF" w14:textId="77777777">
        <w:tc>
          <w:tcPr>
            <w:tcW w:w="170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6A6B2ED0" w14:textId="77777777" w:rsidR="00E932E3" w:rsidRDefault="00000000">
            <w:pPr>
              <w:jc w:val="center"/>
            </w:pPr>
            <w:r>
              <w:rPr>
                <w:rFonts w:ascii="Calibri" w:eastAsia="Calibri" w:hAnsi="Calibri" w:cs="Calibri"/>
                <w:b/>
                <w:bCs/>
                <w:sz w:val="18"/>
                <w:szCs w:val="18"/>
              </w:rPr>
              <w:t>Pipeline Component</w:t>
            </w:r>
          </w:p>
        </w:tc>
        <w:tc>
          <w:tcPr>
            <w:tcW w:w="34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2CEFC166" w14:textId="77777777" w:rsidR="00E932E3" w:rsidRDefault="00000000">
            <w:pPr>
              <w:jc w:val="center"/>
            </w:pPr>
            <w:r>
              <w:rPr>
                <w:rFonts w:ascii="Calibri" w:eastAsia="Calibri" w:hAnsi="Calibri" w:cs="Calibri"/>
                <w:b/>
                <w:bCs/>
                <w:sz w:val="18"/>
                <w:szCs w:val="18"/>
              </w:rPr>
              <w:t>Method Family Used</w:t>
            </w:r>
          </w:p>
        </w:tc>
        <w:tc>
          <w:tcPr>
            <w:tcW w:w="39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04DB25BF" w14:textId="77777777" w:rsidR="00E932E3" w:rsidRDefault="00000000">
            <w:pPr>
              <w:jc w:val="center"/>
            </w:pPr>
            <w:r>
              <w:rPr>
                <w:rFonts w:ascii="Calibri" w:eastAsia="Calibri" w:hAnsi="Calibri" w:cs="Calibri"/>
                <w:b/>
                <w:bCs/>
                <w:sz w:val="18"/>
                <w:szCs w:val="18"/>
              </w:rPr>
              <w:t>Justification</w:t>
            </w:r>
          </w:p>
        </w:tc>
      </w:tr>
      <w:tr w:rsidR="00E932E3" w14:paraId="3E7F11A9"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026CD5" w14:textId="77777777" w:rsidR="00E932E3" w:rsidRDefault="00000000">
            <w:r>
              <w:rPr>
                <w:rFonts w:ascii="Calibri" w:eastAsia="Calibri" w:hAnsi="Calibri" w:cs="Calibri"/>
                <w:sz w:val="18"/>
                <w:szCs w:val="18"/>
              </w:rPr>
              <w:t>Primary classification (tumour vs. normal; per-stage modelling)</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160C4F" w14:textId="77777777" w:rsidR="00E932E3" w:rsidRDefault="00000000">
            <w:r>
              <w:rPr>
                <w:rFonts w:ascii="Calibri" w:eastAsia="Calibri" w:hAnsi="Calibri" w:cs="Calibri"/>
                <w:sz w:val="18"/>
                <w:szCs w:val="18"/>
              </w:rPr>
              <w:t>Benchmarked comparison across six algorithms; final choice empirically justified, not assumed</w:t>
            </w:r>
          </w:p>
        </w:tc>
        <w:tc>
          <w:tcPr>
            <w:tcW w:w="3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BE2FFE0" w14:textId="77777777" w:rsidR="00E932E3" w:rsidRDefault="00000000">
            <w:r>
              <w:rPr>
                <w:rFonts w:ascii="Calibri" w:eastAsia="Calibri" w:hAnsi="Calibri" w:cs="Calibri"/>
                <w:sz w:val="18"/>
                <w:szCs w:val="18"/>
              </w:rPr>
              <w:t>Rather than selecting XGBoost a priori, six candidate algorithms spanning linear, kernel, bagged-tree, boosted-tree, and shallow neural network families are trained under identical cross-validation folds (Section 2.5.1, Table 4) and compared on external validation AUC with DeLong's test; the winning model is then used for all downstream SHAP attribution. This directly addresses the reasonable concern that a single default algorithm should not be assumed superior without comparison.</w:t>
            </w:r>
          </w:p>
        </w:tc>
      </w:tr>
      <w:tr w:rsidR="00E932E3" w14:paraId="000DBD94"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2BD55FB4" w14:textId="77777777" w:rsidR="00E932E3" w:rsidRDefault="00000000">
            <w:r>
              <w:rPr>
                <w:rFonts w:ascii="Calibri" w:eastAsia="Calibri" w:hAnsi="Calibri" w:cs="Calibri"/>
                <w:sz w:val="18"/>
                <w:szCs w:val="18"/>
              </w:rPr>
              <w:t>Explainability layer</w:t>
            </w:r>
          </w:p>
        </w:tc>
        <w:tc>
          <w:tcPr>
            <w:tcW w:w="34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3C55807" w14:textId="77777777" w:rsidR="00E932E3" w:rsidRDefault="00000000">
            <w:r>
              <w:rPr>
                <w:rFonts w:ascii="Calibri" w:eastAsia="Calibri" w:hAnsi="Calibri" w:cs="Calibri"/>
                <w:sz w:val="18"/>
                <w:szCs w:val="18"/>
              </w:rPr>
              <w:t>SHAP (TreeExplainer [24] for tree-based winners; KernelExplainer if a non-tree model wins)</w:t>
            </w:r>
          </w:p>
        </w:tc>
        <w:tc>
          <w:tcPr>
            <w:tcW w:w="3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4CEE401" w14:textId="77777777" w:rsidR="00E932E3" w:rsidRDefault="00000000">
            <w:r>
              <w:rPr>
                <w:rFonts w:ascii="Calibri" w:eastAsia="Calibri" w:hAnsi="Calibri" w:cs="Calibri"/>
                <w:sz w:val="18"/>
                <w:szCs w:val="18"/>
              </w:rPr>
              <w:t>TreeExplainer provides exact Shapley values for tree ensembles in polynomial time; if a non-tree model (e.g., Elastic Net or the shallow MLP) is selected instead, the corresponding exact or near-exact explainer (LinearExplainer or DeepExplainer) is substituted, preserving theoretical fidelity regardless of which model wins the benchmark.</w:t>
            </w:r>
          </w:p>
        </w:tc>
      </w:tr>
      <w:tr w:rsidR="00E932E3" w14:paraId="6CCC902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2E879F" w14:textId="77777777" w:rsidR="00E932E3" w:rsidRDefault="00000000">
            <w:r>
              <w:rPr>
                <w:rFonts w:ascii="Calibri" w:eastAsia="Calibri" w:hAnsi="Calibri" w:cs="Calibri"/>
                <w:sz w:val="18"/>
                <w:szCs w:val="18"/>
              </w:rPr>
              <w:t>Mechanistic / interaction layer</w:t>
            </w:r>
          </w:p>
        </w:tc>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615A2B9" w14:textId="77777777" w:rsidR="00E932E3" w:rsidRDefault="00000000">
            <w:r>
              <w:rPr>
                <w:rFonts w:ascii="Calibri" w:eastAsia="Calibri" w:hAnsi="Calibri" w:cs="Calibri"/>
                <w:sz w:val="18"/>
                <w:szCs w:val="18"/>
              </w:rPr>
              <w:t>Graph-based network analysis (STRINGdb [29] + MCODE [30]) — NOT a graph neural network</w:t>
            </w:r>
          </w:p>
        </w:tc>
        <w:tc>
          <w:tcPr>
            <w:tcW w:w="3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7107105" w14:textId="77777777" w:rsidR="00E932E3" w:rsidRDefault="00000000">
            <w:r>
              <w:rPr>
                <w:rFonts w:ascii="Calibri" w:eastAsia="Calibri" w:hAnsi="Calibri" w:cs="Calibri"/>
                <w:sz w:val="18"/>
                <w:szCs w:val="18"/>
              </w:rPr>
              <w:t xml:space="preserve">The objective here is descriptive network topology (hub identification, module detection) on a few hundred prioritised genes, a setting where established graph-theoretic clustering algorithms (MCODE) are standard, interpretable, and require no training. A graph neural network was explicitly considered and not pursued: at n≈350–450 there is insufficient data to train a GNN that would be expected to outperform deterministic network analysis, and including an underpowered GNN comparator purely for completeness would itself be methodologically misleading. This decision is stated explicitly here, and revisited as a stated limitation in the Discussion, rather than left </w:t>
            </w:r>
            <w:r>
              <w:rPr>
                <w:rFonts w:ascii="Calibri" w:eastAsia="Calibri" w:hAnsi="Calibri" w:cs="Calibri"/>
                <w:sz w:val="18"/>
                <w:szCs w:val="18"/>
              </w:rPr>
              <w:lastRenderedPageBreak/>
              <w:t>unaddressed.</w:t>
            </w:r>
          </w:p>
        </w:tc>
      </w:tr>
      <w:tr w:rsidR="00E932E3" w14:paraId="4B8946CF"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7EC3F37F" w14:textId="77777777" w:rsidR="00E932E3" w:rsidRDefault="00000000">
            <w:r>
              <w:rPr>
                <w:rFonts w:ascii="Calibri" w:eastAsia="Calibri" w:hAnsi="Calibri" w:cs="Calibri"/>
                <w:sz w:val="18"/>
                <w:szCs w:val="18"/>
              </w:rPr>
              <w:lastRenderedPageBreak/>
              <w:t>Survival modelling</w:t>
            </w:r>
          </w:p>
        </w:tc>
        <w:tc>
          <w:tcPr>
            <w:tcW w:w="34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E6157BB" w14:textId="77777777" w:rsidR="00E932E3" w:rsidRDefault="00000000">
            <w:r>
              <w:rPr>
                <w:rFonts w:ascii="Calibri" w:eastAsia="Calibri" w:hAnsi="Calibri" w:cs="Calibri"/>
                <w:sz w:val="18"/>
                <w:szCs w:val="18"/>
              </w:rPr>
              <w:t>Cox proportional hazards (baseline) benchmarked against DeepSurv [43] and Random Survival Forest [44]</w:t>
            </w:r>
          </w:p>
        </w:tc>
        <w:tc>
          <w:tcPr>
            <w:tcW w:w="3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76F7FDE" w14:textId="77777777" w:rsidR="00E932E3" w:rsidRDefault="00000000">
            <w:r>
              <w:rPr>
                <w:rFonts w:ascii="Calibri" w:eastAsia="Calibri" w:hAnsi="Calibri" w:cs="Calibri"/>
                <w:sz w:val="18"/>
                <w:szCs w:val="18"/>
              </w:rPr>
              <w:t>Deep learning is intentionally introduced here, but only as one of three benchmarked candidates, not as a default choice. Per-stage event counts are checked against the established events-per-variable (EPV) heuristic [42] before any stage-specific survival model is reported with full confidence; stage subgroups falling below this threshold are flagged as exploratory rather than confirmatory.</w:t>
            </w:r>
          </w:p>
        </w:tc>
      </w:tr>
    </w:tbl>
    <w:p w14:paraId="6C6E40E6" w14:textId="77777777" w:rsidR="00E932E3" w:rsidRDefault="00E932E3">
      <w:pPr>
        <w:spacing w:before="160" w:after="0"/>
      </w:pPr>
    </w:p>
    <w:p w14:paraId="5CBC9F41" w14:textId="77777777" w:rsidR="00E932E3" w:rsidRDefault="00000000">
      <w:pPr>
        <w:pStyle w:val="Heading2"/>
        <w:spacing w:before="260" w:after="100"/>
      </w:pPr>
      <w:r>
        <w:rPr>
          <w:rFonts w:ascii="Calibri" w:eastAsia="Calibri" w:hAnsi="Calibri" w:cs="Calibri"/>
          <w:i/>
          <w:iCs/>
          <w:color w:val="111111"/>
          <w:sz w:val="24"/>
          <w:szCs w:val="24"/>
        </w:rPr>
        <w:t>2.2 Study Cohorts and Data Acquisition</w:t>
      </w:r>
    </w:p>
    <w:p w14:paraId="4B366970" w14:textId="77777777" w:rsidR="00E932E3" w:rsidRDefault="00000000">
      <w:pPr>
        <w:pStyle w:val="Heading3"/>
        <w:spacing w:before="180" w:after="80"/>
      </w:pPr>
      <w:r>
        <w:rPr>
          <w:rFonts w:ascii="Calibri" w:eastAsia="Calibri" w:hAnsi="Calibri" w:cs="Calibri"/>
          <w:color w:val="222222"/>
        </w:rPr>
        <w:t>2.2.1 Training and Internal Validation Cohorts</w:t>
      </w:r>
    </w:p>
    <w:p w14:paraId="0177CBF4" w14:textId="77777777" w:rsidR="00E932E3" w:rsidRDefault="00000000">
      <w:pPr>
        <w:spacing w:after="160"/>
        <w:jc w:val="both"/>
      </w:pPr>
      <w:r>
        <w:rPr>
          <w:rFonts w:ascii="Calibri" w:eastAsia="Calibri" w:hAnsi="Calibri" w:cs="Calibri"/>
        </w:rPr>
        <w:t>Primary training data were obtained from The Cancer Genome Atlas Colon Adenocarcinoma project (TCGA-COAD), comprising RNA-sequencing expression profiles and matched clinical annotation, including AJCC pathologic stage [8]. The complete TCGA-COAD clinical matrix contained 551 samples and 133 clinical variables, and the expression matrix provided 20,530 genes. After restricting to primary tumour samples carrying both a usable expression profile and a documented AJCC stage, 286 tumour samples were retained, with the confirmed stage distribution Stage I (n=45), Stage II (n=110), Stage III (n=80), and Stage IV (n=39), together with 12 tumours of indeterminate stage that are excluded from stage-stratified analyses; 41 adjacent solid-tissue normal samples with expression data serve as the tumour-versus-normal comparison group. Sub-stages were collapsed to their parent AJCC stage (for example, Stage IIA, IIB, and IIC to Stage II; Stage IIIA, IIIB, and IIIC to Stage III) prior to all stage-stratified analyses, and three samples annotated “[Discrepancy]” were treated as unstaged. These counts are the empirically confirmed values obtained during data acquisition for this study, and supersede any preliminary planning estimates.</w:t>
      </w:r>
    </w:p>
    <w:p w14:paraId="6BD7F015" w14:textId="77777777" w:rsidR="00E932E3" w:rsidRDefault="00000000">
      <w:pPr>
        <w:spacing w:after="160"/>
        <w:jc w:val="both"/>
      </w:pPr>
      <w:r>
        <w:rPr>
          <w:rFonts w:ascii="Calibri" w:eastAsia="Calibri" w:hAnsi="Calibri" w:cs="Calibri"/>
        </w:rPr>
        <w:t>Data were retrieved directly from the UCSC Xena platform [49], which mirrors TCGA data without requiring an institutional data use agreement. Three files were downloaded from the Xena TCGA hub (https://tcga.xenahubs.net/download/): the gene-level RNA-seq expression matrix (dataset TCGA.COAD.sampleMap/HiSeqV2; values are log2(norm_count+1)), the clinical/phenotype matrix (TCGA.COAD.sampleMap/COAD_clinicalMatrix), and the curated survival endpoint file (survival/COAD_survival.txt, providing overall survival status and time used in Phase 4). The exact download URLs, file checksums, retrieval date, and the precise sample-filtering steps that yield the counts above are recorded in the accompanying GitHub repository so that the cohort can be reconstructed identically by any reader. Following the cross-platform integration risk identified during methodological review (Section 2.9, Issue 1), training data acquisition is restricted to RNA-seq cohorts only; candidate GEO cohorts were screened to exclude microarray-based series from the training matrix, retaining microarray cohorts solely for the separate, explicitly labelled external validation role described in Section 2.7.2. The AJCC staging edition associated with each cohort's clinical metadata [8] is recorded at this stage, and any cohort lacking a documented edition is conservatively re-mapped to AJCC 8th-edition stage groupings before stage-stratified analysis (Section 2.9, Issue 7).</w:t>
      </w:r>
      <w:r>
        <w:rPr>
          <w:rFonts w:ascii="Calibri" w:eastAsia="Calibri" w:hAnsi="Calibri" w:cs="Calibri"/>
        </w:rPr>
      </w:r>
    </w:p>
    <w:p w14:paraId="5622486B" w14:textId="77777777" w:rsidR="00E932E3" w:rsidRDefault="00000000">
      <w:pPr>
        <w:spacing w:after="160"/>
        <w:jc w:val="both"/>
      </w:pPr>
      <w:r>
        <w:rPr>
          <w:rFonts w:ascii="Calibri" w:eastAsia="Calibri" w:hAnsi="Calibri" w:cs="Calibri"/>
        </w:rPr>
        <w:t>The TCGA-COAD survival file provided overall-survival annotation for 545 patients with 123 recorded deaths (events) across the full cohort. The number of events within each AJCC stage subgroup is tabulated and reported in the Results prior to any stage-specific survival modelling, so that compliance with the events-per-variable heuristic [41] can be assessed transparently rather than assumed (Section 2.9, Issue 3).</w:t>
      </w:r>
    </w:p>
    <w:p w14:paraId="7C4120BC" w14:textId="77777777" w:rsidR="00E932E3" w:rsidRDefault="00000000">
      <w:pPr>
        <w:pStyle w:val="Heading3"/>
        <w:spacing w:before="180" w:after="80"/>
      </w:pPr>
      <w:r>
        <w:rPr>
          <w:rFonts w:ascii="Calibri" w:eastAsia="Calibri" w:hAnsi="Calibri" w:cs="Calibri"/>
          <w:color w:val="222222"/>
        </w:rPr>
        <w:t>2.2.2 Two-Tier External Validation Cohorts</w:t>
      </w:r>
    </w:p>
    <w:p w14:paraId="6991D3C4" w14:textId="77777777" w:rsidR="00E932E3" w:rsidRDefault="00000000">
      <w:pPr>
        <w:spacing w:after="160"/>
        <w:jc w:val="both"/>
      </w:pPr>
      <w:r>
        <w:rPr>
          <w:rFonts w:ascii="Calibri" w:eastAsia="Calibri" w:hAnsi="Calibri" w:cs="Calibri"/>
        </w:rPr>
        <w:t>To address the two distinct validation questions that arise for a model trained on a single platform — first, whether the discovered signature replicates on independent data of the same platform, and second, whether it generalises across platforms — external validation is performed at two tiers using independent cohorts, none of which is used at any point during feature selection, model training, or hyperparameter tuning. This separation is enforced at the data-loading level in the analysis code: validation cohorts are not loaded into memory until the final model, feature panel, and SHAP attributions are locked.</w:t>
      </w:r>
    </w:p>
    <w:p w14:paraId="1A75EFA1" w14:textId="77777777" w:rsidR="00E932E3" w:rsidRDefault="00000000">
      <w:pPr>
        <w:spacing w:after="160"/>
        <w:jc w:val="both"/>
      </w:pPr>
      <w:r>
        <w:rPr>
          <w:rFonts w:ascii="Calibri" w:eastAsia="Calibri" w:hAnsi="Calibri" w:cs="Calibri"/>
          <w:b/>
          <w:bCs/>
        </w:rPr>
        <w:t>Tier 1 (same-platform replication): GSE50760 [47], an independent Illumina RNA-seq CRC cohort comprising 18 primary tumour and 18 matched normal-colon samples, is used to test whether the tumour-versus-normal classification signature replicates on RNA-seq data generated by a different laboratory. Because this cohort and the TCGA-COAD training cohort share the same measurement platform (RNA-seq), this tier isolates biological replication from any platform-transfer confound. It is stated transparently that GSE50760 lacks AJCC stage annotation and its tumours derive from patients with metastatic disease; it therefore validates the tumour-versus-normal classification signature only, and does not validate the stage-stratified attribution or survival components, which are addressed at Tier 2.</w:t>
      </w:r>
      <w:r>
        <w:rPr>
          <w:rFonts w:ascii="Calibri" w:eastAsia="Calibri" w:hAnsi="Calibri" w:cs="Calibri"/>
        </w:rPr>
      </w:r>
    </w:p>
    <w:p w14:paraId="3976BCC5" w14:textId="77777777" w:rsidR="00E932E3" w:rsidRDefault="00000000">
      <w:pPr>
        <w:spacing w:after="160"/>
        <w:jc w:val="both"/>
      </w:pPr>
      <w:r>
        <w:rPr>
          <w:rFonts w:ascii="Calibri" w:eastAsia="Calibri" w:hAnsi="Calibri" w:cs="Calibri"/>
          <w:b/>
          <w:bCs/>
        </w:rPr>
        <w:t>Tier 2 (cross-platform generalisation, stage-stratified, and survival validation): GSE39582 and the GSE17536/GSE17537 series [48], large, fully open-access microarray CRC cohorts with complete clinical, TNM stage, and survival annotation that have been used as external validation cohorts in numerous published CRC prognostic studies. GSE39582 in particular provides full TNM staging for a large cohort (reported distributions include stage I/II, stage III with N&gt;200, and stage IV), which makes it suitable not only for overall signature generalisation and survival validation but also — importantly — for external validation of the stage-stratified attribution claim that is the central novelty of this study. Accordingly, the stage-stratified SHAP-prioritised gene panel is transferred to GSE39582 (via the cross-platform signature-transfer protocol of Section 2.2.3) and its discriminative behaviour is evaluated within each available TNM stage subgroup, providing an external, independent test of whether the stage-dependent importance pattern observed internally on TCGA-COAD reproduces in a separate cohort. This tier therefore tests three distinct questions: (i) does the signature generalise beyond the discovery platform; (ii) does the stage-dependent attribution pattern replicate externally; and (iii) does the SHAP-prioritised panel carry the survival signal evaluated in Phase 4. The combination of a same-platform RNA-seq cohort (Tier 1) with cross-platform, fully-staged microarray cohorts (Tier 2) constitutes a layered validation design in which each tier answers explicitly stated questions; a recent peer-reviewed CRC biomarker study adopted precisely this TCGA-RNA-seq-plus-GSE39582/GSE17536-microarray configuration, establishing direct precedent for the cross-platform component [48].</w:t>
      </w:r>
      <w:r>
        <w:rPr>
          <w:rFonts w:ascii="Calibri" w:eastAsia="Calibri" w:hAnsi="Calibri" w:cs="Calibri"/>
        </w:rPr>
      </w:r>
      <w:r>
        <w:rPr>
          <w:rFonts w:ascii="Calibri" w:eastAsia="Calibri" w:hAnsi="Calibri" w:cs="Calibri"/>
        </w:rPr>
      </w:r>
    </w:p>
    <w:p w14:paraId="1B349DC5" w14:textId="77777777" w:rsidR="00E932E3" w:rsidRDefault="00000000">
      <w:pPr>
        <w:spacing w:after="160"/>
        <w:jc w:val="both"/>
      </w:pPr>
      <w:r>
        <w:rPr>
          <w:rFonts w:ascii="Calibri" w:eastAsia="Calibri" w:hAnsi="Calibri" w:cs="Calibri"/>
        </w:rPr>
        <w:t xml:space="preserve">It is stated transparently that this external stage-stratified validation is </w:t>
      </w:r>
      <w:r>
        <w:rPr>
          <w:rFonts w:ascii="Calibri" w:eastAsia="Calibri" w:hAnsi="Calibri" w:cs="Calibri"/>
          <w:i/>
          <w:iCs/>
        </w:rPr>
        <w:t>cross-platform</w:t>
      </w:r>
      <w:r>
        <w:rPr>
          <w:rFonts w:ascii="Calibri" w:eastAsia="Calibri" w:hAnsi="Calibri" w:cs="Calibri"/>
        </w:rPr>
        <w:t xml:space="preserve"> (microarray validation of an RNA-seq-derived signature) rather than same-platform: no public RNA-seq CRC cohort combining adequate per-stage sample sizes with complete four-stage annotation was identified at the time of writing, so same-platform external stage validation was not achievable with existing public data. This residual constraint is inherent to current data availability rather than to study design, and the cross-platform stage validation on GSE39582 represents the strongest external stage-level test the available public data permit.</w:t>
      </w:r>
    </w:p>
    <w:p w14:paraId="4C955DFD" w14:textId="77777777" w:rsidR="00E932E3" w:rsidRDefault="00000000">
      <w:pPr>
        <w:spacing w:after="160"/>
        <w:jc w:val="both"/>
      </w:pPr>
      <w:r>
        <w:rPr>
          <w:rFonts w:ascii="Calibri" w:eastAsia="Calibri" w:hAnsi="Calibri" w:cs="Calibri"/>
        </w:rPr>
        <w:t>These cohorts replace the originally planned International Cancer Genome Consortium (ICGC) COAD-READ cohort, following confirmation that the ICGC Data Portal was retired in 2024 and that ICGC controlled-access data — including the detailed clinical and survival annotation required for this study — now requires Data Access Compliance Office (DACO) approval rather than being freely downloadable [46].</w:t>
      </w:r>
    </w:p>
    <w:p w14:paraId="1943A16F" w14:textId="77777777" w:rsidR="00E932E3" w:rsidRDefault="00000000">
      <w:pPr>
        <w:pStyle w:val="Heading3"/>
        <w:spacing w:before="180" w:after="80"/>
      </w:pPr>
      <w:r>
        <w:rPr>
          <w:rFonts w:ascii="Calibri" w:eastAsia="Calibri" w:hAnsi="Calibri" w:cs="Calibri"/>
          <w:color w:val="222222"/>
        </w:rPr>
        <w:t>2.2.3 Cross-Platform Signature Transfer Protocol</w:t>
      </w:r>
    </w:p>
    <w:p w14:paraId="5294CFBA" w14:textId="77777777" w:rsidR="00E932E3" w:rsidRDefault="00000000">
      <w:pPr>
        <w:spacing w:after="160"/>
        <w:jc w:val="both"/>
      </w:pPr>
      <w:r>
        <w:rPr>
          <w:rFonts w:ascii="Calibri" w:eastAsia="Calibri" w:hAnsi="Calibri" w:cs="Calibri"/>
        </w:rPr>
        <w:t xml:space="preserve">Because RNA-seq (TCGA-COAD, GSE50760) and microarray (GSE39582, GSE17536/GSE17537) quantify expression on different numerical scales with different dynamic ranges and noise structures, the trained model's raw decision thresholds are </w:t>
      </w:r>
      <w:r>
        <w:rPr>
          <w:rFonts w:ascii="Calibri" w:eastAsia="Calibri" w:hAnsi="Calibri" w:cs="Calibri"/>
          <w:i/>
          <w:iCs/>
        </w:rPr>
        <w:t>not</w:t>
      </w:r>
      <w:r>
        <w:rPr>
          <w:rFonts w:ascii="Calibri" w:eastAsia="Calibri" w:hAnsi="Calibri" w:cs="Calibri"/>
        </w:rPr>
        <w:t xml:space="preserve"> applied directly to microarray values, as doing so would compare incomparable scales and would constitute a genuine methodological error. Instead, cross-platform validation operates at the level of the </w:t>
      </w:r>
      <w:r>
        <w:rPr>
          <w:rFonts w:ascii="Calibri" w:eastAsia="Calibri" w:hAnsi="Calibri" w:cs="Calibri"/>
          <w:i/>
          <w:iCs/>
        </w:rPr>
        <w:t>gene signature</w:t>
      </w:r>
      <w:r>
        <w:rPr>
          <w:rFonts w:ascii="Calibri" w:eastAsia="Calibri" w:hAnsi="Calibri" w:cs="Calibri"/>
        </w:rPr>
        <w:t>, not the raw model: the SHAP-prioritised gene panel identified on TCGA-COAD is transferred to each microarray cohort, where all expression values are first z-score standardised per gene within each cohort to place platforms on a comparable, mean-centred footing. For external validation of the stage-stratified attribution specifically, the primary model is a linear (Elastic Net) classifier, for which the SHAP contribution of each gene is exactly the product of the model's learned coefficient and the gene's mean-centred (z-scored) value. The transferred per-gene attribution in the target cohort is therefore computed exactly as this coefficient-times-value product, and stage importance is the mean absolute attribution within each TNM stage subgroup, mirroring the discovery-cohort computation precisely. This exact linear-attribution transfer is used in preference to recalibrating a separate classifier on pseudo-labels in the target cohort; a diagnostic comparison (released in the code) confirmed that the exact attribution and a variance-weighted check agree closely (Spearman ρ≈0.97), whereas a pseudo-label recalibration introduced avoidable distortion and understated cross-cohort agreement. This tests the scientifically meaningful question — do the same genes retain their stage-resolved importance structure on an independent platform? — rather than the ill-posed question of whether identical numerical thresholds transfer across incompatible scales. For the same-platform Tier 1 cohort (GSE50760), where scales are directly comparable after standard normalisation, the trained model can additionally be applied with only per-gene standardisation, and both results are reported.</w:t>
      </w:r>
    </w:p>
    <w:p w14:paraId="31F1F973" w14:textId="77777777" w:rsidR="00E932E3" w:rsidRDefault="00000000">
      <w:pPr>
        <w:pStyle w:val="Heading3"/>
        <w:spacing w:before="180" w:after="80"/>
      </w:pPr>
      <w:r>
        <w:rPr>
          <w:rFonts w:ascii="Calibri" w:eastAsia="Calibri" w:hAnsi="Calibri" w:cs="Calibri"/>
          <w:color w:val="222222"/>
        </w:rPr>
        <w:lastRenderedPageBreak/>
        <w:t>2.2.4 Saudi Population Comparison Data</w:t>
      </w:r>
    </w:p>
    <w:p w14:paraId="2AFB7351" w14:textId="77777777" w:rsidR="00E932E3" w:rsidRDefault="00000000">
      <w:pPr>
        <w:spacing w:after="160"/>
        <w:jc w:val="both"/>
      </w:pPr>
      <w:r>
        <w:rPr>
          <w:rFonts w:ascii="Calibri" w:eastAsia="Calibri" w:hAnsi="Calibri" w:cs="Calibri"/>
        </w:rPr>
        <w:t>A previously published, peer-reviewed targeted next-generation sequencing study of 107 Saudi Arabian CRC patients without family history of disease, recruited from King Fahad Medical City and King Abdullah University Hospital, reported actionable mutation frequencies for a curated cancer gene panel [9]. This study is used exclusively as a literature-derived comparison point in Section 2.6 and the Discussion; no individual-level data, raw sequencing files, or expression values from this cohort enter the present analysis pipeline at any stage. No transcriptomic dataset from a confirmed Saudi-national CRC patient cohort was identified in any public repository at the time of writing; this absence is stated explicitly rather than worked around.</w:t>
      </w:r>
    </w:p>
    <w:p w14:paraId="0B83A94B" w14:textId="77777777" w:rsidR="00E932E3" w:rsidRDefault="00000000">
      <w:pPr>
        <w:pStyle w:val="Heading2"/>
        <w:spacing w:before="260" w:after="100"/>
      </w:pPr>
      <w:r>
        <w:rPr>
          <w:rFonts w:ascii="Calibri" w:eastAsia="Calibri" w:hAnsi="Calibri" w:cs="Calibri"/>
          <w:i/>
          <w:iCs/>
          <w:color w:val="111111"/>
          <w:sz w:val="24"/>
          <w:szCs w:val="24"/>
        </w:rPr>
        <w:t>2.3 Data Preprocessing and Quality Control</w:t>
      </w:r>
    </w:p>
    <w:p w14:paraId="550264EE" w14:textId="77777777" w:rsidR="00E932E3" w:rsidRDefault="00000000">
      <w:pPr>
        <w:pStyle w:val="Heading3"/>
        <w:spacing w:before="180" w:after="80"/>
      </w:pPr>
      <w:r>
        <w:rPr>
          <w:rFonts w:ascii="Calibri" w:eastAsia="Calibri" w:hAnsi="Calibri" w:cs="Calibri"/>
          <w:color w:val="222222"/>
        </w:rPr>
        <w:t>2.3.1 Probe and Sample Filtering</w:t>
      </w:r>
    </w:p>
    <w:p w14:paraId="57E6F1A0" w14:textId="77777777" w:rsidR="00E932E3" w:rsidRDefault="00000000">
      <w:pPr>
        <w:spacing w:after="160"/>
        <w:jc w:val="both"/>
      </w:pPr>
      <w:r>
        <w:rPr>
          <w:rFonts w:ascii="Calibri" w:eastAsia="Calibri" w:hAnsi="Calibri" w:cs="Calibri"/>
        </w:rPr>
        <w:t>Genes with zero or near-zero variance across samples, and genes with missing expression values in more than 10% of samples in any single cohort, were removed prior to integration. Samples with fewer than 70% of genes successfully measured, or flagged as low-quality by the originating study's own quality-control pipeline (where reported), were excluded.</w:t>
      </w:r>
    </w:p>
    <w:p w14:paraId="51D067EE" w14:textId="77777777" w:rsidR="00E932E3" w:rsidRDefault="00000000">
      <w:pPr>
        <w:pStyle w:val="Heading3"/>
        <w:spacing w:before="180" w:after="80"/>
      </w:pPr>
      <w:r>
        <w:rPr>
          <w:rFonts w:ascii="Calibri" w:eastAsia="Calibri" w:hAnsi="Calibri" w:cs="Calibri"/>
          <w:color w:val="222222"/>
        </w:rPr>
        <w:t>2.3.2 Cross-Cohort Batch Correction</w:t>
      </w:r>
    </w:p>
    <w:p w14:paraId="43300960" w14:textId="77777777" w:rsidR="00E932E3" w:rsidRDefault="00000000">
      <w:pPr>
        <w:spacing w:after="160"/>
        <w:jc w:val="both"/>
      </w:pPr>
      <w:r>
        <w:rPr>
          <w:rFonts w:ascii="Calibri" w:eastAsia="Calibri" w:hAnsi="Calibri" w:cs="Calibri"/>
        </w:rPr>
        <w:t>Because TCGA-COAD and the supplementary RNA-seq GEO cohorts were generated at different times and by different laboratories, merging them directly would confound biological signal with technical batch effects. ComBat empirical Bayes batch correction [26] (implemented via the pycombat Python package) was applied using cohort-of-origin as the batch covariate, with disease status (tumour/normal) and AJCC stage specified as variables to be protected from over-correction. Batch correction was validated visually using principal component analysis (PCA) and t-distributed stochastic neighbour embedding (t-SNE) projections generated before and after correction; successful correction was defined as the disappearance of cohort-of-origin clustering while tumour-versus-normal and stage-related clustering remained visually distinguishable. Restricting this step to RNA-seq-only cohorts directly addresses the documented risk that mixing microarray and RNA-seq platforms can reduce the common, batch-correctable feature space to fewer than 100 genes [27], which would have constrained both model capacity and biological interpretability had it been allowed to occur unaddressed.</w:t>
      </w:r>
      <w:r>
        <w:rPr>
          <w:rFonts w:ascii="Calibri" w:eastAsia="Calibri" w:hAnsi="Calibri" w:cs="Calibri"/>
          <w:i/>
          <w:iCs/>
        </w:rPr>
      </w:r>
      <w:r>
        <w:rPr>
          <w:rFonts w:ascii="Calibri" w:eastAsia="Calibri" w:hAnsi="Calibri" w:cs="Calibri"/>
        </w:rPr>
      </w:r>
    </w:p>
    <w:p w14:paraId="24E481A4" w14:textId="77777777" w:rsidR="00E932E3" w:rsidRDefault="00000000">
      <w:pPr>
        <w:pStyle w:val="Heading3"/>
        <w:spacing w:before="180" w:after="80"/>
      </w:pPr>
      <w:r>
        <w:rPr>
          <w:rFonts w:ascii="Calibri" w:eastAsia="Calibri" w:hAnsi="Calibri" w:cs="Calibri"/>
          <w:color w:val="222222"/>
        </w:rPr>
        <w:t>2.3.3 Stage-Stratified Data Partitioning</w:t>
      </w:r>
    </w:p>
    <w:p w14:paraId="6D4E3B47" w14:textId="77777777" w:rsidR="00E932E3" w:rsidRDefault="00000000">
      <w:pPr>
        <w:spacing w:after="160"/>
        <w:jc w:val="both"/>
      </w:pPr>
      <w:r>
        <w:rPr>
          <w:rFonts w:ascii="Calibri" w:eastAsia="Calibri" w:hAnsi="Calibri" w:cs="Calibri"/>
        </w:rPr>
        <w:t>Following preprocessing, the harmonised training cohort was partitioned for nested cross-validation using stratified sampling that preserved both disease status and AJCC stage proportions within each fold, ensuring that no stage subgroup was systematically over- or under-represented in any training or inner-validation partition.</w:t>
      </w:r>
    </w:p>
    <w:p w14:paraId="6D4516AA" w14:textId="77777777" w:rsidR="00E932E3" w:rsidRDefault="00000000">
      <w:pPr>
        <w:pStyle w:val="Heading3"/>
        <w:spacing w:before="180" w:after="80"/>
      </w:pPr>
      <w:r>
        <w:rPr>
          <w:rFonts w:ascii="Calibri" w:eastAsia="Calibri" w:hAnsi="Calibri" w:cs="Calibri"/>
          <w:color w:val="222222"/>
        </w:rPr>
        <w:t>2.3.4 Prevention of Information Leakage</w:t>
      </w:r>
    </w:p>
    <w:p w14:paraId="0E836BFA" w14:textId="77777777" w:rsidR="00E932E3" w:rsidRDefault="00000000">
      <w:pPr>
        <w:spacing w:after="160"/>
        <w:jc w:val="both"/>
      </w:pPr>
      <w:r>
        <w:rPr>
          <w:rFonts w:ascii="Calibri" w:eastAsia="Calibri" w:hAnsi="Calibri" w:cs="Calibri"/>
        </w:rPr>
        <w:t xml:space="preserve">A recognised and frequently overlooked source of optimistic bias in transcriptomic machine-learning studies is information leakage, in which steps that should be confined to the training data are instead performed on the entire dataset before cross-validation, allowing the held-out folds to influence model </w:t>
      </w:r>
      <w:r>
        <w:rPr>
          <w:rFonts w:ascii="Calibri" w:eastAsia="Calibri" w:hAnsi="Calibri" w:cs="Calibri"/>
        </w:rPr>
        <w:lastRenderedPageBreak/>
        <w:t xml:space="preserve">development indirectly. To prevent this, every data-dependent transformation in this study is fitted </w:t>
      </w:r>
      <w:r>
        <w:rPr>
          <w:rFonts w:ascii="Calibri" w:eastAsia="Calibri" w:hAnsi="Calibri" w:cs="Calibri"/>
          <w:i/>
          <w:iCs/>
        </w:rPr>
        <w:t>inside</w:t>
      </w:r>
      <w:r>
        <w:rPr>
          <w:rFonts w:ascii="Calibri" w:eastAsia="Calibri" w:hAnsi="Calibri" w:cs="Calibri"/>
        </w:rPr>
        <w:t xml:space="preserve"> the cross-validation loop, on each outer fold's training partition only, and then applied to the corresponding held-out fold without refitting. This applies specifically to: (i) differential-expression-based and any other feature selection, which is recomputed from scratch within each training fold so that the held-out fold never participates in choosing features; (ii) batch-effect correction parameters; and (iii) any per-gene normalisation or standardisation statistics. The single trained model and its locked feature panel are only then taken to the fully independent external cohorts (Section 2.2.2), which are never loaded during training, tuning, or feature selection. This nested arrangement ensures that all reported internal-validation performance estimates are free of the feature-selection and preprocessing leakage that would otherwise inflate them, and is implemented and verifiable in the released analysis code.</w:t>
      </w:r>
    </w:p>
    <w:p w14:paraId="62D1FECE" w14:textId="77777777" w:rsidR="00E932E3" w:rsidRDefault="00000000">
      <w:pPr>
        <w:pStyle w:val="Heading2"/>
        <w:spacing w:before="260" w:after="100"/>
      </w:pPr>
      <w:r>
        <w:rPr>
          <w:rFonts w:ascii="Calibri" w:eastAsia="Calibri" w:hAnsi="Calibri" w:cs="Calibri"/>
          <w:i/>
          <w:iCs/>
          <w:color w:val="111111"/>
          <w:sz w:val="24"/>
          <w:szCs w:val="24"/>
        </w:rPr>
        <w:t>2.4 Differential Expression Analysis and Graph-Based Mechanistic Discovery</w:t>
      </w:r>
    </w:p>
    <w:p w14:paraId="2D290C63" w14:textId="77777777" w:rsidR="00E932E3" w:rsidRDefault="00000000">
      <w:pPr>
        <w:pStyle w:val="Heading3"/>
        <w:spacing w:before="180" w:after="80"/>
      </w:pPr>
      <w:r>
        <w:rPr>
          <w:rFonts w:ascii="Calibri" w:eastAsia="Calibri" w:hAnsi="Calibri" w:cs="Calibri"/>
          <w:color w:val="222222"/>
        </w:rPr>
        <w:t>2.4.1 Differential Expression Analysis</w:t>
      </w:r>
    </w:p>
    <w:p w14:paraId="1ACD0CDB" w14:textId="77777777" w:rsidR="00E932E3" w:rsidRDefault="00000000">
      <w:pPr>
        <w:spacing w:after="160"/>
        <w:jc w:val="both"/>
      </w:pPr>
      <w:r>
        <w:rPr>
          <w:rFonts w:ascii="Calibri" w:eastAsia="Calibri" w:hAnsi="Calibri" w:cs="Calibri"/>
        </w:rPr>
        <w:t>Differentially expressed genes (DEGs) between tumour and adjacent-normal samples were identified using the limma framework [24,25]. Because the TCGA-COAD expression matrix obtained from UCSC Xena is provided as already-normalised log₂(norm_count+1) values rather than raw sequencing counts, the limma-trend approach (empirical-Bayes moderation with an intensity-dependent variance trend) was applied, this being the limma-recommended path for pre-normalised log-expression matrices; the classical voom mean-variance weighting, which requires raw counts, is reserved for the case where raw counts are obtained. Genes were considered significantly differentially expressed at a false discovery rate (FDR, Benjamini-Hochberg corrected [40]) below 0.05 and an absolute log₂ fold-change of at least 1. This analysis was performed once on the full cohort (stage-agnostic DEG list) and once independently within each AJCC stage subgroup (stage-stratified DEG lists), the latter forming the candidate feature pool for the stage-stratified SHAP analysis described in Section 2.5. Because four independent stage-stratified DEG analyses multiply the overall number of statistical tests performed, FDR correction is applied both within each stage-specific analysis individually and, separately, across all stage-by-gene tests pooled together, with both results reported so that the reader can assess the multiple-testing burden under either convention (Section 2.9, Issue 4).</w:t>
      </w:r>
    </w:p>
    <w:p w14:paraId="4772EDB2" w14:textId="77777777" w:rsidR="00E932E3" w:rsidRDefault="00000000">
      <w:pPr>
        <w:spacing w:after="160"/>
        <w:jc w:val="both"/>
      </w:pPr>
      <w:r>
        <w:rPr>
          <w:rFonts w:ascii="Calibri" w:eastAsia="Calibri" w:hAnsi="Calibri" w:cs="Calibri"/>
        </w:rPr>
        <w:t>For full computational reproducibility, the differential-expression step is implemented in two independent codebases whose concordance is reported. The canonical analysis is performed in R using limma [24,25], and the DEG values reported in the manuscript derive from this canonical implementation. A parallel Python implementation, reproducing the same per-gene linear modelling with empirical-Bayes variance moderation, serves as an end-to-end reproducibility engine that allows the entire pipeline to be executed without R. Agreement between the two implementations (overlap of significant-gene sets and rank correlation of gene-level statistics) is quantified and reported in the Supplementary Material as evidence of implementation-independent robustness, and all downstream analyses in the final manuscript are computed on the canonical limma gene list. Code for both implementations is released in the public repository (Section 2.8).</w:t>
      </w:r>
    </w:p>
    <w:p w14:paraId="1F15B216" w14:textId="77777777" w:rsidR="00E932E3" w:rsidRDefault="00000000">
      <w:pPr>
        <w:pStyle w:val="Heading3"/>
        <w:spacing w:before="180" w:after="80"/>
      </w:pPr>
      <w:r>
        <w:rPr>
          <w:rFonts w:ascii="Calibri" w:eastAsia="Calibri" w:hAnsi="Calibri" w:cs="Calibri"/>
          <w:color w:val="222222"/>
        </w:rPr>
        <w:lastRenderedPageBreak/>
        <w:t>2.4.2 Graph-Based Protein–Protein Interaction Network Analysis</w:t>
      </w:r>
    </w:p>
    <w:p w14:paraId="1E5DC977" w14:textId="77777777" w:rsidR="00E932E3" w:rsidRDefault="00000000">
      <w:pPr>
        <w:spacing w:after="160"/>
        <w:jc w:val="both"/>
      </w:pPr>
      <w:r>
        <w:rPr>
          <w:rFonts w:ascii="Calibri" w:eastAsia="Calibri" w:hAnsi="Calibri" w:cs="Calibri"/>
        </w:rPr>
        <w:t>DEGs from both the stage-agnostic and stage-stratified lists were mapped onto the STRING protein–protein interaction (PPI) database [28], retaining only interactions with a combined confidence score above 0.9 to ensure that only high-confidence, experimentally or computationally well-supported interactions inform network structure. Because the complete DEG list exceeds the practical input capacity of the STRING web interface, the network was constructed from the more stringently filtered DEG core (|log2FC| ≥ 2), which remains web-tractable while retaining all panel genes; the full DEG list was used for the enrichment analysis described below, where the platforms accept large gene sets. As a sensitivity analysis, the network was additionally reconstructed at a relaxed confidence threshold (0.7) to test whether the topological position of the prioritised genes was an artefact of the most stringent threshold; both analyses are reported. Densely connected sub-networks ("hub modules") were identified using the Molecular Complex Detection (MCODE) algorithm [29] with default seeding parameters (degree cutoff=2, node score cutoff=0.2, k-core=2, max depth=100). This step is explicitly graph-based network analysis — a deterministic, parameter-light algorithm operating on a fixed graph — and not a graph neural network. A graph neural network was considered for this role and explicitly not adopted: at the sample sizes available here, a trained graph model would not be expected to outperform deterministic network analysis, and its inclusion as a token comparator would risk being read as methodological theatre rather than genuine benchmarking (Table 3).</w:t>
      </w:r>
      <w:r>
        <w:rPr>
          <w:rFonts w:ascii="Calibri" w:eastAsia="Calibri" w:hAnsi="Calibri" w:cs="Calibri"/>
          <w:i/>
          <w:iCs/>
        </w:rPr>
      </w:r>
      <w:r>
        <w:rPr>
          <w:rFonts w:ascii="Calibri" w:eastAsia="Calibri" w:hAnsi="Calibri" w:cs="Calibri"/>
        </w:rPr>
      </w:r>
    </w:p>
    <w:p w14:paraId="0F069B0C" w14:textId="77777777" w:rsidR="00E932E3" w:rsidRDefault="00000000">
      <w:pPr>
        <w:pStyle w:val="Heading3"/>
        <w:spacing w:before="180" w:after="80"/>
      </w:pPr>
      <w:r>
        <w:rPr>
          <w:rFonts w:ascii="Calibri" w:eastAsia="Calibri" w:hAnsi="Calibri" w:cs="Calibri"/>
          <w:color w:val="222222"/>
        </w:rPr>
        <w:t>2.4.3 Triangulated Pathway Enrichment</w:t>
      </w:r>
    </w:p>
    <w:p w14:paraId="0B76D369" w14:textId="77777777" w:rsidR="00E932E3" w:rsidRDefault="00000000">
      <w:pPr>
        <w:spacing w:after="160"/>
        <w:jc w:val="both"/>
      </w:pPr>
      <w:r>
        <w:rPr>
          <w:rFonts w:ascii="Calibri" w:eastAsia="Calibri" w:hAnsi="Calibri" w:cs="Calibri"/>
        </w:rPr>
        <w:t>To avoid reliance on a single enrichment database, hub genes identified by MCODE, together with the full DEG lists, were submitted in parallel to four independent enrichment platforms: DAVID [30], KEGG [31], Reactome [32], and ClueGO [33] (the latter as a Cytoscape plugin enabling network-contextualised enrichment visualisation). A pathway was considered robustly implicated only if it reached significance (FDR&lt;0.05) in at least two of the four platforms independently, providing convergent rather than single-source mechanistic evidence. Where a single database was queried through more than one interface (for example, KEGG via both DAVID and a dedicated enrichment service, or Reactome via both DAVID and the standalone Reactome analysis tool), the database was counted only once toward the two-of-four criterion, so that the same underlying knowledge base could not contribute multiple independent votes. The standalone Reactome service applies a conservative correction across its entire pathway hierarchy and consequently returned no terms below the significance threshold for this gene set; Reactome was therefore credited where its database reached significance through either interface, a decision documented in the released analysis code. Gene Ontology Biological Process terms returned by DAVID and ClueGO were used to characterise the biological processes represented by the DEG set and to support the gene-level interpretation in Section 2.4.4, rather than as additional independent platforms in the counting rule.</w:t>
      </w:r>
    </w:p>
    <w:p w14:paraId="68991186" w14:textId="77777777" w:rsidR="00E932E3" w:rsidRDefault="00000000">
      <w:pPr>
        <w:pStyle w:val="Heading3"/>
        <w:spacing w:before="180" w:after="80"/>
      </w:pPr>
      <w:r>
        <w:rPr>
          <w:rFonts w:ascii="Calibri" w:eastAsia="Calibri" w:hAnsi="Calibri" w:cs="Calibri"/>
          <w:color w:val="222222"/>
        </w:rPr>
        <w:t>2.4.4 Two-Level Network Analysis: Locating SHAP-Prioritised Genes Within the DEG Network</w:t>
      </w:r>
    </w:p>
    <w:p w14:paraId="53422C3A" w14:textId="77777777" w:rsidR="00E932E3" w:rsidRDefault="00000000">
      <w:pPr>
        <w:spacing w:after="160"/>
        <w:jc w:val="both"/>
      </w:pPr>
      <w:r>
        <w:rPr>
          <w:rFonts w:ascii="Calibri" w:eastAsia="Calibri" w:hAnsi="Calibri" w:cs="Calibri"/>
        </w:rPr>
        <w:t xml:space="preserve">The protein–protein interaction network and pathway enrichment described above are constructed on the full DEG sets (thousands of genes), a sample size at which network topology and enrichment statistics are well powered and stable. The stage-stratified SHAP-prioritised gene panel (Section 2.5.3), by contrast, is deliberately compact (of the order of tens of genes) and is too small to support robust </w:t>
      </w:r>
      <w:r>
        <w:rPr>
          <w:rFonts w:ascii="Calibri" w:eastAsia="Calibri" w:hAnsi="Calibri" w:cs="Calibri"/>
        </w:rPr>
        <w:lastRenderedPageBreak/>
        <w:t xml:space="preserve">enrichment in isolation. To connect these two scales without subjecting the small panel to underpowered standalone enrichment, a two-level analysis is performed. At the first level, the well-powered DEG network and its enriched pathways are established as above. At the second level, the SHAP-prioritised genes are located </w:t>
      </w:r>
      <w:r>
        <w:rPr>
          <w:rFonts w:ascii="Calibri" w:eastAsia="Calibri" w:hAnsi="Calibri" w:cs="Calibri"/>
          <w:i/>
          <w:iCs/>
        </w:rPr>
        <w:t>within</w:t>
      </w:r>
      <w:r>
        <w:rPr>
          <w:rFonts w:ascii="Calibri" w:eastAsia="Calibri" w:hAnsi="Calibri" w:cs="Calibri"/>
        </w:rPr>
        <w:t xml:space="preserve"> that established network and pathway landscape: their network-topological roles are assessed (degree centrality, betweenness, and membership of MCODE hub modules), and the specific enriched pathways to which they belong are identified and reported. This design yields enrichment statistics drawn from a large, well-powered gene set while still delivering the focused, novel interpretation — whether the genes the model relies upon for its stage-dependent predictions occupy mechanistically central positions in the CRC interaction network — that links the mechanistic analysis (Contribution 3) directly to the stage-stratified explainability finding (Contribution 1). The small panel is never enriched in isolation; it is interpreted in the context of the larger network, avoiding the low-power pitfall inherent in enriching a handful of genes alone.</w:t>
      </w:r>
    </w:p>
    <w:p w14:paraId="2CA79226" w14:textId="77777777" w:rsidR="00E932E3" w:rsidRDefault="00000000">
      <w:pPr>
        <w:pStyle w:val="Heading2"/>
        <w:spacing w:before="260" w:after="100"/>
      </w:pPr>
      <w:r>
        <w:rPr>
          <w:rFonts w:ascii="Calibri" w:eastAsia="Calibri" w:hAnsi="Calibri" w:cs="Calibri"/>
          <w:i/>
          <w:iCs/>
          <w:color w:val="111111"/>
          <w:sz w:val="24"/>
          <w:szCs w:val="24"/>
        </w:rPr>
        <w:t>2.5 Benchmarked Classification and Stage-Stratified Explainable Machine Learning</w:t>
      </w:r>
    </w:p>
    <w:p w14:paraId="339E96EB" w14:textId="77777777" w:rsidR="00E932E3" w:rsidRDefault="00000000">
      <w:pPr>
        <w:pStyle w:val="Heading3"/>
        <w:spacing w:before="180" w:after="80"/>
      </w:pPr>
      <w:r>
        <w:rPr>
          <w:rFonts w:ascii="Calibri" w:eastAsia="Calibri" w:hAnsi="Calibri" w:cs="Calibri"/>
          <w:color w:val="222222"/>
        </w:rPr>
        <w:t>2.5.1 Six-Algorithm Benchmark</w:t>
      </w:r>
    </w:p>
    <w:p w14:paraId="66108A6A" w14:textId="77777777" w:rsidR="00E932E3" w:rsidRDefault="00000000">
      <w:pPr>
        <w:spacing w:after="160"/>
        <w:jc w:val="both"/>
      </w:pPr>
      <w:r>
        <w:rPr>
          <w:rFonts w:ascii="Calibri" w:eastAsia="Calibri" w:hAnsi="Calibri" w:cs="Calibri"/>
        </w:rPr>
        <w:t>Rather than selecting a single classification algorithm a priori, six candidate models spanning linear, kernel-based, bagged-tree, boosted-tree, and shallow neural-network families were trained and compared under identical nested cross-validation folds, so that the final model choice is an empirical result rather than an assumption.</w:t>
      </w:r>
    </w:p>
    <w:p w14:paraId="239AE491" w14:textId="77777777" w:rsidR="00E932E3" w:rsidRDefault="00000000">
      <w:pPr>
        <w:spacing w:before="100" w:after="80"/>
        <w:jc w:val="both"/>
      </w:pPr>
      <w:r>
        <w:rPr>
          <w:rFonts w:ascii="Calibri" w:eastAsia="Calibri" w:hAnsi="Calibri" w:cs="Calibri"/>
          <w:sz w:val="20"/>
          <w:szCs w:val="20"/>
        </w:rPr>
        <w:t>Table 4. Six-algorithm benchmark: model families compared and their role in the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600"/>
        <w:gridCol w:w="2913"/>
        <w:gridCol w:w="2913"/>
      </w:tblGrid>
      <w:tr w:rsidR="00E932E3" w14:paraId="41AAF1A1" w14:textId="77777777">
        <w:tc>
          <w:tcPr>
            <w:tcW w:w="160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083F6346" w14:textId="77777777" w:rsidR="00E932E3" w:rsidRDefault="00000000">
            <w:pPr>
              <w:jc w:val="center"/>
            </w:pPr>
            <w:r>
              <w:rPr>
                <w:rFonts w:ascii="Calibri" w:eastAsia="Calibri" w:hAnsi="Calibri" w:cs="Calibri"/>
                <w:b/>
                <w:bCs/>
                <w:sz w:val="18"/>
                <w:szCs w:val="18"/>
              </w:rPr>
              <w:t>Model</w:t>
            </w:r>
          </w:p>
        </w:tc>
        <w:tc>
          <w:tcPr>
            <w:tcW w:w="160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02D02AAF" w14:textId="77777777" w:rsidR="00E932E3" w:rsidRDefault="00000000">
            <w:pPr>
              <w:jc w:val="center"/>
            </w:pPr>
            <w:r>
              <w:rPr>
                <w:rFonts w:ascii="Calibri" w:eastAsia="Calibri" w:hAnsi="Calibri" w:cs="Calibri"/>
                <w:b/>
                <w:bCs/>
                <w:sz w:val="18"/>
                <w:szCs w:val="18"/>
              </w:rPr>
              <w:t>Family</w:t>
            </w:r>
          </w:p>
        </w:tc>
        <w:tc>
          <w:tcPr>
            <w:tcW w:w="29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07021C2C" w14:textId="77777777" w:rsidR="00E932E3" w:rsidRDefault="00000000">
            <w:pPr>
              <w:jc w:val="center"/>
            </w:pPr>
            <w:r>
              <w:rPr>
                <w:rFonts w:ascii="Calibri" w:eastAsia="Calibri" w:hAnsi="Calibri" w:cs="Calibri"/>
                <w:b/>
                <w:bCs/>
                <w:sz w:val="18"/>
                <w:szCs w:val="18"/>
              </w:rPr>
              <w:t>Role in Benchmark</w:t>
            </w:r>
          </w:p>
        </w:tc>
        <w:tc>
          <w:tcPr>
            <w:tcW w:w="29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76FF77FC" w14:textId="77777777" w:rsidR="00E932E3" w:rsidRDefault="00000000">
            <w:pPr>
              <w:jc w:val="center"/>
            </w:pPr>
            <w:r>
              <w:rPr>
                <w:rFonts w:ascii="Calibri" w:eastAsia="Calibri" w:hAnsi="Calibri" w:cs="Calibri"/>
                <w:b/>
                <w:bCs/>
                <w:sz w:val="18"/>
                <w:szCs w:val="18"/>
              </w:rPr>
              <w:t>Hyperparameters Tuned (Optuna, same budget per model)</w:t>
            </w:r>
          </w:p>
        </w:tc>
      </w:tr>
      <w:tr w:rsidR="00E932E3" w14:paraId="660FA5B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6047831" w14:textId="77777777" w:rsidR="00E932E3" w:rsidRDefault="00000000">
            <w:r>
              <w:rPr>
                <w:rFonts w:ascii="Calibri" w:eastAsia="Calibri" w:hAnsi="Calibri" w:cs="Calibri"/>
                <w:sz w:val="18"/>
                <w:szCs w:val="18"/>
              </w:rPr>
              <w:t>Logistic Regression (Elastic Net)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483CD51" w14:textId="77777777" w:rsidR="00E932E3" w:rsidRDefault="00000000">
            <w:r>
              <w:rPr>
                <w:rFonts w:ascii="Calibri" w:eastAsia="Calibri" w:hAnsi="Calibri" w:cs="Calibri"/>
                <w:sz w:val="18"/>
                <w:szCs w:val="18"/>
              </w:rPr>
              <w:t>Linear ML [38]</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F6843EA" w14:textId="77777777" w:rsidR="00E932E3" w:rsidRDefault="00000000">
            <w:r>
              <w:rPr>
                <w:rFonts w:ascii="Calibri" w:eastAsia="Calibri" w:hAnsi="Calibri" w:cs="Calibri"/>
                <w:sz w:val="18"/>
                <w:szCs w:val="18"/>
              </w:rPr>
              <w:t>Interpretability floor; tests whether non-linearity is needed at all</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E023748" w14:textId="77777777" w:rsidR="00E932E3" w:rsidRDefault="00000000">
            <w:r>
              <w:rPr>
                <w:rFonts w:ascii="Calibri" w:eastAsia="Calibri" w:hAnsi="Calibri" w:cs="Calibri"/>
                <w:sz w:val="18"/>
                <w:szCs w:val="18"/>
              </w:rPr>
              <w:t>L1 ratio, regularisation strength C</w:t>
            </w:r>
          </w:p>
        </w:tc>
      </w:tr>
      <w:tr w:rsidR="00E932E3" w14:paraId="1F33943E"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015622C0" w14:textId="77777777" w:rsidR="00E932E3" w:rsidRDefault="00000000">
            <w:r>
              <w:rPr>
                <w:rFonts w:ascii="Calibri" w:eastAsia="Calibri" w:hAnsi="Calibri" w:cs="Calibri"/>
                <w:sz w:val="18"/>
                <w:szCs w:val="18"/>
              </w:rPr>
              <w:t>Random Forest</w:t>
            </w:r>
          </w:p>
        </w:tc>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07FC01E" w14:textId="77777777" w:rsidR="00E932E3" w:rsidRDefault="00000000">
            <w:r>
              <w:rPr>
                <w:rFonts w:ascii="Calibri" w:eastAsia="Calibri" w:hAnsi="Calibri" w:cs="Calibri"/>
                <w:sz w:val="18"/>
                <w:szCs w:val="18"/>
              </w:rPr>
              <w:t>Bagged trees [35]</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FFA2AB9" w14:textId="77777777" w:rsidR="00E932E3" w:rsidRDefault="00000000">
            <w:r>
              <w:rPr>
                <w:rFonts w:ascii="Calibri" w:eastAsia="Calibri" w:hAnsi="Calibri" w:cs="Calibri"/>
                <w:sz w:val="18"/>
                <w:szCs w:val="18"/>
              </w:rPr>
              <w:t>Tests whether boosting specifically (vs. ensembling generally) adds value</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B45C8C2" w14:textId="77777777" w:rsidR="00E932E3" w:rsidRDefault="00000000">
            <w:r>
              <w:rPr>
                <w:rFonts w:ascii="Calibri" w:eastAsia="Calibri" w:hAnsi="Calibri" w:cs="Calibri"/>
                <w:sz w:val="18"/>
                <w:szCs w:val="18"/>
              </w:rPr>
              <w:t>n_estimators, max_depth, min_samples_leaf</w:t>
            </w:r>
          </w:p>
        </w:tc>
      </w:tr>
      <w:tr w:rsidR="00E932E3" w14:paraId="38AF7D1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8CAD93B" w14:textId="77777777" w:rsidR="00E932E3" w:rsidRDefault="00000000">
            <w:r>
              <w:rPr>
                <w:rFonts w:ascii="Calibri" w:eastAsia="Calibri" w:hAnsi="Calibri" w:cs="Calibri"/>
                <w:sz w:val="18"/>
                <w:szCs w:val="18"/>
              </w:rPr>
              <w:t>Support Vector Machine (RBF kernel)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8FC6395" w14:textId="77777777" w:rsidR="00E932E3" w:rsidRDefault="00000000">
            <w:r>
              <w:rPr>
                <w:rFonts w:ascii="Calibri" w:eastAsia="Calibri" w:hAnsi="Calibri" w:cs="Calibri"/>
                <w:sz w:val="18"/>
                <w:szCs w:val="18"/>
              </w:rPr>
              <w:t>Kernel ML [37]</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58518FB" w14:textId="77777777" w:rsidR="00E932E3" w:rsidRDefault="00000000">
            <w:r>
              <w:rPr>
                <w:rFonts w:ascii="Calibri" w:eastAsia="Calibri" w:hAnsi="Calibri" w:cs="Calibri"/>
                <w:sz w:val="18"/>
                <w:szCs w:val="18"/>
              </w:rPr>
              <w:t>Common comparator in the existing CRC-SHAP literature; non-linear, non-tree alternative</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1C2476" w14:textId="77777777" w:rsidR="00E932E3" w:rsidRDefault="00000000">
            <w:r>
              <w:rPr>
                <w:rFonts w:ascii="Calibri" w:eastAsia="Calibri" w:hAnsi="Calibri" w:cs="Calibri"/>
                <w:sz w:val="18"/>
                <w:szCs w:val="18"/>
              </w:rPr>
              <w:t>C, gamma</w:t>
            </w:r>
          </w:p>
        </w:tc>
      </w:tr>
      <w:tr w:rsidR="00E932E3" w14:paraId="6E78AA0D"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F5E9400" w14:textId="77777777" w:rsidR="00E932E3" w:rsidRDefault="00000000">
            <w:r>
              <w:rPr>
                <w:rFonts w:ascii="Calibri" w:eastAsia="Calibri" w:hAnsi="Calibri" w:cs="Calibri"/>
                <w:sz w:val="18"/>
                <w:szCs w:val="18"/>
              </w:rPr>
              <w:t>XGBoost</w:t>
            </w:r>
          </w:p>
        </w:tc>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2A60AA21" w14:textId="77777777" w:rsidR="00E932E3" w:rsidRDefault="00000000">
            <w:r>
              <w:rPr>
                <w:rFonts w:ascii="Calibri" w:eastAsia="Calibri" w:hAnsi="Calibri" w:cs="Calibri"/>
                <w:sz w:val="18"/>
                <w:szCs w:val="18"/>
              </w:rPr>
              <w:t>Boosted trees [13]</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96B7D91" w14:textId="77777777" w:rsidR="00E932E3" w:rsidRDefault="00000000">
            <w:r>
              <w:rPr>
                <w:rFonts w:ascii="Calibri" w:eastAsia="Calibri" w:hAnsi="Calibri" w:cs="Calibri"/>
                <w:sz w:val="18"/>
                <w:szCs w:val="18"/>
              </w:rPr>
              <w:t>Current default in the literature; primary candidate</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0BBD0BC1" w14:textId="77777777" w:rsidR="00E932E3" w:rsidRDefault="00000000">
            <w:r>
              <w:rPr>
                <w:rFonts w:ascii="Calibri" w:eastAsia="Calibri" w:hAnsi="Calibri" w:cs="Calibri"/>
                <w:sz w:val="18"/>
                <w:szCs w:val="18"/>
              </w:rPr>
              <w:t>Per Table 4 (Section 2.5.1)</w:t>
            </w:r>
          </w:p>
        </w:tc>
      </w:tr>
      <w:tr w:rsidR="00E932E3" w14:paraId="2189F7C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20A4BE" w14:textId="77777777" w:rsidR="00E932E3" w:rsidRDefault="00000000">
            <w:r>
              <w:rPr>
                <w:rFonts w:ascii="Calibri" w:eastAsia="Calibri" w:hAnsi="Calibri" w:cs="Calibri"/>
                <w:sz w:val="18"/>
                <w:szCs w:val="18"/>
              </w:rPr>
              <w:t>LightGBM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D5CD5C7" w14:textId="77777777" w:rsidR="00E932E3" w:rsidRDefault="00000000">
            <w:r>
              <w:rPr>
                <w:rFonts w:ascii="Calibri" w:eastAsia="Calibri" w:hAnsi="Calibri" w:cs="Calibri"/>
                <w:sz w:val="18"/>
                <w:szCs w:val="18"/>
              </w:rPr>
              <w:t>Boosted trees [36]</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D821B71" w14:textId="77777777" w:rsidR="00E932E3" w:rsidRDefault="00000000">
            <w:r>
              <w:rPr>
                <w:rFonts w:ascii="Calibri" w:eastAsia="Calibri" w:hAnsi="Calibri" w:cs="Calibri"/>
                <w:sz w:val="18"/>
                <w:szCs w:val="18"/>
              </w:rPr>
              <w:t>Faster alternative boosting implementation; tests sensitivity to boosting library choice</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63AA54" w14:textId="77777777" w:rsidR="00E932E3" w:rsidRDefault="00000000">
            <w:r>
              <w:rPr>
                <w:rFonts w:ascii="Calibri" w:eastAsia="Calibri" w:hAnsi="Calibri" w:cs="Calibri"/>
                <w:sz w:val="18"/>
                <w:szCs w:val="18"/>
              </w:rPr>
              <w:t>num_leaves, learning_rate, n_estimators</w:t>
            </w:r>
          </w:p>
        </w:tc>
      </w:tr>
      <w:tr w:rsidR="00E932E3" w14:paraId="13C1066B"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44F2C3DD" w14:textId="77777777" w:rsidR="00E932E3" w:rsidRDefault="00000000">
            <w:r>
              <w:rPr>
                <w:rFonts w:ascii="Calibri" w:eastAsia="Calibri" w:hAnsi="Calibri" w:cs="Calibri"/>
                <w:sz w:val="18"/>
                <w:szCs w:val="18"/>
              </w:rPr>
              <w:t xml:space="preserve">Shallow MLP (1–2 </w:t>
            </w:r>
            <w:r>
              <w:rPr>
                <w:rFonts w:ascii="Calibri" w:eastAsia="Calibri" w:hAnsi="Calibri" w:cs="Calibri"/>
                <w:sz w:val="18"/>
                <w:szCs w:val="18"/>
              </w:rPr>
              <w:lastRenderedPageBreak/>
              <w:t>hidden layers)</w:t>
            </w:r>
          </w:p>
        </w:tc>
        <w:tc>
          <w:tcPr>
            <w:tcW w:w="16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050CED3" w14:textId="77777777" w:rsidR="00E932E3" w:rsidRDefault="00000000">
            <w:r>
              <w:rPr>
                <w:rFonts w:ascii="Calibri" w:eastAsia="Calibri" w:hAnsi="Calibri" w:cs="Calibri"/>
                <w:sz w:val="18"/>
                <w:szCs w:val="18"/>
              </w:rPr>
              <w:lastRenderedPageBreak/>
              <w:t xml:space="preserve">Deep learning, </w:t>
            </w:r>
            <w:r>
              <w:rPr>
                <w:rFonts w:ascii="Calibri" w:eastAsia="Calibri" w:hAnsi="Calibri" w:cs="Calibri"/>
                <w:sz w:val="18"/>
                <w:szCs w:val="18"/>
              </w:rPr>
              <w:lastRenderedPageBreak/>
              <w:t>deliberately small [39]</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271B50D1" w14:textId="77777777" w:rsidR="00E932E3" w:rsidRDefault="00000000">
            <w:r>
              <w:rPr>
                <w:rFonts w:ascii="Calibri" w:eastAsia="Calibri" w:hAnsi="Calibri" w:cs="Calibri"/>
                <w:sz w:val="18"/>
                <w:szCs w:val="18"/>
              </w:rPr>
              <w:lastRenderedPageBreak/>
              <w:t xml:space="preserve">Directly tests ‘why not deep </w:t>
            </w:r>
            <w:r>
              <w:rPr>
                <w:rFonts w:ascii="Calibri" w:eastAsia="Calibri" w:hAnsi="Calibri" w:cs="Calibri"/>
                <w:sz w:val="18"/>
                <w:szCs w:val="18"/>
              </w:rPr>
              <w:lastRenderedPageBreak/>
              <w:t>learning’ with evidence; deliberately not over-parameterised given n≈350–450</w:t>
            </w:r>
          </w:p>
        </w:tc>
        <w:tc>
          <w:tcPr>
            <w:tcW w:w="29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DF8256F" w14:textId="77777777" w:rsidR="00E932E3" w:rsidRDefault="00000000">
            <w:r>
              <w:rPr>
                <w:rFonts w:ascii="Calibri" w:eastAsia="Calibri" w:hAnsi="Calibri" w:cs="Calibri"/>
                <w:sz w:val="18"/>
                <w:szCs w:val="18"/>
              </w:rPr>
              <w:lastRenderedPageBreak/>
              <w:t xml:space="preserve">hidden_layer_sizes, dropout, </w:t>
            </w:r>
            <w:r>
              <w:rPr>
                <w:rFonts w:ascii="Calibri" w:eastAsia="Calibri" w:hAnsi="Calibri" w:cs="Calibri"/>
                <w:sz w:val="18"/>
                <w:szCs w:val="18"/>
              </w:rPr>
              <w:lastRenderedPageBreak/>
              <w:t>learning_rate, L2 weight decay</w:t>
            </w:r>
          </w:p>
        </w:tc>
      </w:tr>
    </w:tbl>
    <w:p w14:paraId="6F1FEA58" w14:textId="77777777" w:rsidR="00E932E3" w:rsidRDefault="00E932E3">
      <w:pPr>
        <w:spacing w:before="160" w:after="0"/>
      </w:pPr>
    </w:p>
    <w:p w14:paraId="366E2A01" w14:textId="77777777" w:rsidR="00E932E3" w:rsidRDefault="00000000">
      <w:pPr>
        <w:spacing w:after="160"/>
        <w:jc w:val="both"/>
      </w:pPr>
      <w:r>
        <w:rPr>
          <w:rFonts w:ascii="Calibri" w:eastAsia="Calibri" w:hAnsi="Calibri" w:cs="Calibri"/>
        </w:rPr>
        <w:t>All six models were evaluated using the same outer 5-fold stratified cross-validation split, with identical inner-loop hyperparameter-tuning budgets allocated across models so that no single algorithm benefits from a larger search. Because the tumour-versus-normal cohort is class-imbalanced (286 tumour versus 41 normal, approximately 7:1), models were screened not on AUC alone — which is insensitive to class imbalance — but on a panel of imbalance-robust metrics: the area under the precision-recall curve (AUPRC), the Matthews correlation coefficient (MCC), balanced accuracy, and per-class sensitivity and specificity, alongside AUC. To test whether imbalance materially affected model behaviour, a class-weighted variant of every model (inverse-frequency class weighting; scale_pos_weight for the gradient-boosted model) was benchmarked alongside the unweighted models. Synthetic minority oversampling (SMOTE) was deliberately not used, as interpolation in a ~16,000-dimensional expression space produces biologically implausible samples and is prone to cross-validation leakage; a measure-first, correct-only-if-needed policy was adopted instead.</w:t>
      </w:r>
    </w:p>
    <w:p w14:paraId="3B4E41E7" w14:textId="77777777" w:rsidR="00E932E3" w:rsidRDefault="00000000">
      <w:pPr>
        <w:spacing w:after="160"/>
        <w:jc w:val="both"/>
      </w:pPr>
      <w:r>
        <w:rPr>
          <w:rFonts w:ascii="Calibri" w:eastAsia="Calibri" w:hAnsi="Calibri" w:cs="Calibri"/>
        </w:rPr>
        <w:t>Final model selection was made principled rather than ordinal: pairwise DeLong's tests [45] on the pooled out-of-fold predictions first identified the set of models statistically indistinguishable from the top performer (p&gt;0.05); among that statistically-tied set, the most parsimonious model (fewest effective parameters, greatest interpretability) was selected, consistent with Occam's razor and favouring transparency for the downstream SHAP attribution. The explicit selection rule and the identity of the tied set are recorded in the released code as a machine-readable decision record. Uncertainty for every reported metric is quantified by 1,000-iteration percentile bootstrap 95% confidence intervals (Section 2.7.2), resampling the pooled out-of-fold predictions, with resamples lacking both classes discarded so that AUC and AUPRC remain defined.</w:t>
      </w:r>
    </w:p>
    <w:p w14:paraId="44431714" w14:textId="77777777" w:rsidR="00E932E3" w:rsidRDefault="00000000">
      <w:pPr>
        <w:pStyle w:val="Heading3"/>
        <w:spacing w:before="180" w:after="80"/>
      </w:pPr>
      <w:r>
        <w:rPr>
          <w:rFonts w:ascii="Calibri" w:eastAsia="Calibri" w:hAnsi="Calibri" w:cs="Calibri"/>
          <w:color w:val="222222"/>
        </w:rPr>
        <w:t>2.5.2 Primary Model Training Protocol</w:t>
      </w:r>
    </w:p>
    <w:p w14:paraId="5CD94423" w14:textId="77777777" w:rsidR="00E932E3" w:rsidRDefault="00000000">
      <w:pPr>
        <w:spacing w:after="160"/>
        <w:jc w:val="both"/>
      </w:pPr>
      <w:r>
        <w:rPr>
          <w:rFonts w:ascii="Calibri" w:eastAsia="Calibri" w:hAnsi="Calibri" w:cs="Calibri"/>
        </w:rPr>
        <w:t xml:space="preserve">For the empirically selected primary model, training used nested cross-validation: an outer loop of stratified 5-fold cross-validation estimates generalisation performance, while an inner loop performs hyperparameter optimisation on the corresponding inner training partition only, preventing hyperparameter selection from leaking information from the outer validation fold. Within each outer training fold, feature selection (univariate ANOVA-F pre-filtering followed by L1-penalised embedded selection) and feature standardisation are fit on the training partition alone and applied to the held-out fold without refitting, so that no information from the held-out fold influences either feature choice or scaling. The hyperparameter search uses an identical, fixed per-model budget across all candidate algorithms; an equivalent Bayesian-optimisation implementation and a compact randomised-search implementation are both provided in the released code and yield the same parsimony-based selection. The empirically selected primary model was the Elastic Net logistic regression, chosen as the most parsimonious member of a statistically-tied set (Section 2.5.1). All random processes — data splitting, feature selection, internal stochastic subsampling, SHAP background sampling, and bootstrap </w:t>
      </w:r>
      <w:r>
        <w:rPr>
          <w:rFonts w:ascii="Calibri" w:eastAsia="Calibri" w:hAnsi="Calibri" w:cs="Calibri"/>
        </w:rPr>
        <w:lastRenderedPageBreak/>
        <w:t>resampling — use a fixed random seed (42) to ensure the entire pipeline is exactly reproducible from the released code.</w:t>
      </w:r>
    </w:p>
    <w:p w14:paraId="1617E5CF" w14:textId="77777777" w:rsidR="00E932E3" w:rsidRDefault="00000000">
      <w:pPr>
        <w:spacing w:before="100" w:after="80"/>
        <w:jc w:val="both"/>
      </w:pPr>
      <w:r>
        <w:rPr>
          <w:rFonts w:ascii="Calibri" w:eastAsia="Calibri" w:hAnsi="Calibri" w:cs="Calibri"/>
          <w:sz w:val="20"/>
          <w:szCs w:val="20"/>
        </w:rPr>
        <w:t>Table 5. Hyperparameter search space and tuning protocol (shown for XGBoost; equivalent search spaces are defined for each of the other five benchmarked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813"/>
        <w:gridCol w:w="3813"/>
      </w:tblGrid>
      <w:tr w:rsidR="00E932E3" w14:paraId="1F8AF3FB" w14:textId="77777777">
        <w:tc>
          <w:tcPr>
            <w:tcW w:w="240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2DD7E9AD" w14:textId="77777777" w:rsidR="00E932E3" w:rsidRDefault="00000000">
            <w:pPr>
              <w:jc w:val="center"/>
            </w:pPr>
            <w:r>
              <w:rPr>
                <w:rFonts w:ascii="Calibri" w:eastAsia="Calibri" w:hAnsi="Calibri" w:cs="Calibri"/>
                <w:b/>
                <w:bCs/>
                <w:sz w:val="18"/>
                <w:szCs w:val="18"/>
              </w:rPr>
              <w:t>Hyperparameter</w:t>
            </w:r>
          </w:p>
        </w:tc>
        <w:tc>
          <w:tcPr>
            <w:tcW w:w="28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4F2C6385" w14:textId="77777777" w:rsidR="00E932E3" w:rsidRDefault="00000000">
            <w:pPr>
              <w:jc w:val="center"/>
            </w:pPr>
            <w:r>
              <w:rPr>
                <w:rFonts w:ascii="Calibri" w:eastAsia="Calibri" w:hAnsi="Calibri" w:cs="Calibri"/>
                <w:b/>
                <w:bCs/>
                <w:sz w:val="18"/>
                <w:szCs w:val="18"/>
              </w:rPr>
              <w:t>Search Range / Method</w:t>
            </w:r>
          </w:p>
        </w:tc>
        <w:tc>
          <w:tcPr>
            <w:tcW w:w="381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74F2BEB4" w14:textId="77777777" w:rsidR="00E932E3" w:rsidRDefault="00000000">
            <w:pPr>
              <w:jc w:val="center"/>
            </w:pPr>
            <w:r>
              <w:rPr>
                <w:rFonts w:ascii="Calibri" w:eastAsia="Calibri" w:hAnsi="Calibri" w:cs="Calibri"/>
                <w:b/>
                <w:bCs/>
                <w:sz w:val="18"/>
                <w:szCs w:val="18"/>
              </w:rPr>
              <w:t>Notes</w:t>
            </w:r>
          </w:p>
        </w:tc>
      </w:tr>
      <w:tr w:rsidR="00E932E3" w14:paraId="4942BB9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0BEAFF0" w14:textId="77777777" w:rsidR="00E932E3" w:rsidRDefault="00000000">
            <w:r>
              <w:rPr>
                <w:rFonts w:ascii="Calibri" w:eastAsia="Calibri" w:hAnsi="Calibri" w:cs="Calibri"/>
                <w:sz w:val="18"/>
                <w:szCs w:val="18"/>
              </w:rPr>
              <w:t>n_estimators</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70562B" w14:textId="77777777" w:rsidR="00E932E3" w:rsidRDefault="00000000">
            <w:r>
              <w:rPr>
                <w:rFonts w:ascii="Calibri" w:eastAsia="Calibri" w:hAnsi="Calibri" w:cs="Calibri"/>
                <w:sz w:val="18"/>
                <w:szCs w:val="18"/>
              </w:rPr>
              <w:t>100–1000 (Optuna [40], log-uniform)</w:t>
            </w:r>
          </w:p>
        </w:tc>
        <w:tc>
          <w:tcPr>
            <w:tcW w:w="3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6A66A24" w14:textId="77777777" w:rsidR="00E932E3" w:rsidRDefault="00000000">
            <w:r>
              <w:rPr>
                <w:rFonts w:ascii="Calibri" w:eastAsia="Calibri" w:hAnsi="Calibri" w:cs="Calibri"/>
                <w:sz w:val="18"/>
                <w:szCs w:val="18"/>
              </w:rPr>
              <w:t>Early stopping on inner-fold validation AUC, patience=30 rounds</w:t>
            </w:r>
          </w:p>
        </w:tc>
      </w:tr>
      <w:tr w:rsidR="00E932E3" w14:paraId="0FB6A05C"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2023B23A" w14:textId="77777777" w:rsidR="00E932E3" w:rsidRDefault="00000000">
            <w:r>
              <w:rPr>
                <w:rFonts w:ascii="Calibri" w:eastAsia="Calibri" w:hAnsi="Calibri" w:cs="Calibri"/>
                <w:sz w:val="18"/>
                <w:szCs w:val="18"/>
              </w:rPr>
              <w:t>max_depth</w:t>
            </w:r>
          </w:p>
        </w:tc>
        <w:tc>
          <w:tcPr>
            <w:tcW w:w="2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4792627" w14:textId="77777777" w:rsidR="00E932E3" w:rsidRDefault="00000000">
            <w:r>
              <w:rPr>
                <w:rFonts w:ascii="Calibri" w:eastAsia="Calibri" w:hAnsi="Calibri" w:cs="Calibri"/>
                <w:sz w:val="18"/>
                <w:szCs w:val="18"/>
              </w:rPr>
              <w:t>3–10 (integer)</w:t>
            </w:r>
          </w:p>
        </w:tc>
        <w:tc>
          <w:tcPr>
            <w:tcW w:w="3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06B959CC" w14:textId="77777777" w:rsidR="00E932E3" w:rsidRDefault="00000000">
            <w:r>
              <w:rPr>
                <w:rFonts w:ascii="Calibri" w:eastAsia="Calibri" w:hAnsi="Calibri" w:cs="Calibri"/>
                <w:sz w:val="18"/>
                <w:szCs w:val="18"/>
              </w:rPr>
              <w:t>Shallow trees favoured given HDLSS regime; penalises deep, overfit splits</w:t>
            </w:r>
          </w:p>
        </w:tc>
      </w:tr>
      <w:tr w:rsidR="00E932E3" w14:paraId="18C1646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C329434" w14:textId="77777777" w:rsidR="00E932E3" w:rsidRDefault="00000000">
            <w:r>
              <w:rPr>
                <w:rFonts w:ascii="Calibri" w:eastAsia="Calibri" w:hAnsi="Calibri" w:cs="Calibri"/>
                <w:sz w:val="18"/>
                <w:szCs w:val="18"/>
              </w:rPr>
              <w:t>learning_rate (eta)</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B6C843A" w14:textId="77777777" w:rsidR="00E932E3" w:rsidRDefault="00000000">
            <w:r>
              <w:rPr>
                <w:rFonts w:ascii="Calibri" w:eastAsia="Calibri" w:hAnsi="Calibri" w:cs="Calibri"/>
                <w:sz w:val="18"/>
                <w:szCs w:val="18"/>
              </w:rPr>
              <w:t>0.001–0.3 (log-uniform)</w:t>
            </w:r>
          </w:p>
        </w:tc>
        <w:tc>
          <w:tcPr>
            <w:tcW w:w="3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D19904B" w14:textId="77777777" w:rsidR="00E932E3" w:rsidRDefault="00000000">
            <w:r>
              <w:rPr>
                <w:rFonts w:ascii="Calibri" w:eastAsia="Calibri" w:hAnsi="Calibri" w:cs="Calibri"/>
                <w:sz w:val="18"/>
                <w:szCs w:val="18"/>
              </w:rPr>
              <w:t>Jointly tuned with n_estimators via Optuna Bayesian search (100 trials)</w:t>
            </w:r>
          </w:p>
        </w:tc>
      </w:tr>
      <w:tr w:rsidR="00E932E3" w14:paraId="35D508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4E350D52" w14:textId="77777777" w:rsidR="00E932E3" w:rsidRDefault="00000000">
            <w:r>
              <w:rPr>
                <w:rFonts w:ascii="Calibri" w:eastAsia="Calibri" w:hAnsi="Calibri" w:cs="Calibri"/>
                <w:sz w:val="18"/>
                <w:szCs w:val="18"/>
              </w:rPr>
              <w:t>subsample</w:t>
            </w:r>
          </w:p>
        </w:tc>
        <w:tc>
          <w:tcPr>
            <w:tcW w:w="2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44CD715" w14:textId="77777777" w:rsidR="00E932E3" w:rsidRDefault="00000000">
            <w:r>
              <w:rPr>
                <w:rFonts w:ascii="Calibri" w:eastAsia="Calibri" w:hAnsi="Calibri" w:cs="Calibri"/>
                <w:sz w:val="18"/>
                <w:szCs w:val="18"/>
              </w:rPr>
              <w:t>0.5–1.0</w:t>
            </w:r>
          </w:p>
        </w:tc>
        <w:tc>
          <w:tcPr>
            <w:tcW w:w="3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72E427BA" w14:textId="77777777" w:rsidR="00E932E3" w:rsidRDefault="00000000">
            <w:r>
              <w:rPr>
                <w:rFonts w:ascii="Calibri" w:eastAsia="Calibri" w:hAnsi="Calibri" w:cs="Calibri"/>
                <w:sz w:val="18"/>
                <w:szCs w:val="18"/>
              </w:rPr>
              <w:t>Row subsampling per boosting round to reduce variance</w:t>
            </w:r>
          </w:p>
        </w:tc>
      </w:tr>
      <w:tr w:rsidR="00E932E3" w14:paraId="458928B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8AF23D1" w14:textId="77777777" w:rsidR="00E932E3" w:rsidRDefault="00000000">
            <w:r>
              <w:rPr>
                <w:rFonts w:ascii="Calibri" w:eastAsia="Calibri" w:hAnsi="Calibri" w:cs="Calibri"/>
                <w:sz w:val="18"/>
                <w:szCs w:val="18"/>
              </w:rPr>
              <w:t>colsample_bytree</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1FDD3B5" w14:textId="77777777" w:rsidR="00E932E3" w:rsidRDefault="00000000">
            <w:r>
              <w:rPr>
                <w:rFonts w:ascii="Calibri" w:eastAsia="Calibri" w:hAnsi="Calibri" w:cs="Calibri"/>
                <w:sz w:val="18"/>
                <w:szCs w:val="18"/>
              </w:rPr>
              <w:t>0.3–1.0</w:t>
            </w:r>
          </w:p>
        </w:tc>
        <w:tc>
          <w:tcPr>
            <w:tcW w:w="3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1AF84E0" w14:textId="77777777" w:rsidR="00E932E3" w:rsidRDefault="00000000">
            <w:r>
              <w:rPr>
                <w:rFonts w:ascii="Calibri" w:eastAsia="Calibri" w:hAnsi="Calibri" w:cs="Calibri"/>
                <w:sz w:val="18"/>
                <w:szCs w:val="18"/>
              </w:rPr>
              <w:t>Column subsampling; important given the wide feature-to-sample ratio</w:t>
            </w:r>
          </w:p>
        </w:tc>
      </w:tr>
      <w:tr w:rsidR="00E932E3" w14:paraId="7A08C3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9ECE7AC" w14:textId="77777777" w:rsidR="00E932E3" w:rsidRDefault="00000000">
            <w:r>
              <w:rPr>
                <w:rFonts w:ascii="Calibri" w:eastAsia="Calibri" w:hAnsi="Calibri" w:cs="Calibri"/>
                <w:sz w:val="18"/>
                <w:szCs w:val="18"/>
              </w:rPr>
              <w:t>min_child_weight</w:t>
            </w:r>
          </w:p>
        </w:tc>
        <w:tc>
          <w:tcPr>
            <w:tcW w:w="2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0807DD6" w14:textId="77777777" w:rsidR="00E932E3" w:rsidRDefault="00000000">
            <w:r>
              <w:rPr>
                <w:rFonts w:ascii="Calibri" w:eastAsia="Calibri" w:hAnsi="Calibri" w:cs="Calibri"/>
                <w:sz w:val="18"/>
                <w:szCs w:val="18"/>
              </w:rPr>
              <w:t>1–10</w:t>
            </w:r>
          </w:p>
        </w:tc>
        <w:tc>
          <w:tcPr>
            <w:tcW w:w="3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C68581A" w14:textId="77777777" w:rsidR="00E932E3" w:rsidRDefault="00000000">
            <w:r>
              <w:rPr>
                <w:rFonts w:ascii="Calibri" w:eastAsia="Calibri" w:hAnsi="Calibri" w:cs="Calibri"/>
                <w:sz w:val="18"/>
                <w:szCs w:val="18"/>
              </w:rPr>
              <w:t>Minimum sum of instance weight needed in a child; controls overfitting</w:t>
            </w:r>
          </w:p>
        </w:tc>
      </w:tr>
      <w:tr w:rsidR="00E932E3" w14:paraId="66AEB1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D4967CC" w14:textId="77777777" w:rsidR="00E932E3" w:rsidRDefault="00000000">
            <w:r>
              <w:rPr>
                <w:rFonts w:ascii="Calibri" w:eastAsia="Calibri" w:hAnsi="Calibri" w:cs="Calibri"/>
                <w:sz w:val="18"/>
                <w:szCs w:val="18"/>
              </w:rPr>
              <w:t>gamma</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41FE3FC" w14:textId="77777777" w:rsidR="00E932E3" w:rsidRDefault="00000000">
            <w:r>
              <w:rPr>
                <w:rFonts w:ascii="Calibri" w:eastAsia="Calibri" w:hAnsi="Calibri" w:cs="Calibri"/>
                <w:sz w:val="18"/>
                <w:szCs w:val="18"/>
              </w:rPr>
              <w:t>0–5.0</w:t>
            </w:r>
          </w:p>
        </w:tc>
        <w:tc>
          <w:tcPr>
            <w:tcW w:w="3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67A2373" w14:textId="77777777" w:rsidR="00E932E3" w:rsidRDefault="00000000">
            <w:r>
              <w:rPr>
                <w:rFonts w:ascii="Calibri" w:eastAsia="Calibri" w:hAnsi="Calibri" w:cs="Calibri"/>
                <w:sz w:val="18"/>
                <w:szCs w:val="18"/>
              </w:rPr>
              <w:t>Minimum loss reduction for further partition; additional regularisation</w:t>
            </w:r>
          </w:p>
        </w:tc>
      </w:tr>
      <w:tr w:rsidR="00E932E3" w14:paraId="29EE10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6E1C9A0" w14:textId="77777777" w:rsidR="00E932E3" w:rsidRDefault="00000000">
            <w:r>
              <w:rPr>
                <w:rFonts w:ascii="Calibri" w:eastAsia="Calibri" w:hAnsi="Calibri" w:cs="Calibri"/>
                <w:sz w:val="18"/>
                <w:szCs w:val="18"/>
              </w:rPr>
              <w:t>reg_alpha / reg_lambda</w:t>
            </w:r>
          </w:p>
        </w:tc>
        <w:tc>
          <w:tcPr>
            <w:tcW w:w="2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2F00F24B" w14:textId="77777777" w:rsidR="00E932E3" w:rsidRDefault="00000000">
            <w:r>
              <w:rPr>
                <w:rFonts w:ascii="Calibri" w:eastAsia="Calibri" w:hAnsi="Calibri" w:cs="Calibri"/>
                <w:sz w:val="18"/>
                <w:szCs w:val="18"/>
              </w:rPr>
              <w:t>0–10.0 (L1 / L2)</w:t>
            </w:r>
          </w:p>
        </w:tc>
        <w:tc>
          <w:tcPr>
            <w:tcW w:w="381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25BE1B0" w14:textId="77777777" w:rsidR="00E932E3" w:rsidRDefault="00000000">
            <w:r>
              <w:rPr>
                <w:rFonts w:ascii="Calibri" w:eastAsia="Calibri" w:hAnsi="Calibri" w:cs="Calibri"/>
                <w:sz w:val="18"/>
                <w:szCs w:val="18"/>
              </w:rPr>
              <w:t>Elastic-net-style regularisation on leaf weights</w:t>
            </w:r>
          </w:p>
        </w:tc>
      </w:tr>
      <w:tr w:rsidR="00E932E3" w14:paraId="00E99C9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D0954F6" w14:textId="77777777" w:rsidR="00E932E3" w:rsidRDefault="00000000">
            <w:r>
              <w:rPr>
                <w:rFonts w:ascii="Calibri" w:eastAsia="Calibri" w:hAnsi="Calibri" w:cs="Calibri"/>
                <w:sz w:val="18"/>
                <w:szCs w:val="18"/>
              </w:rPr>
              <w:t>random_state</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A0D2C12" w14:textId="77777777" w:rsidR="00E932E3" w:rsidRDefault="00000000">
            <w:r>
              <w:rPr>
                <w:rFonts w:ascii="Calibri" w:eastAsia="Calibri" w:hAnsi="Calibri" w:cs="Calibri"/>
                <w:sz w:val="18"/>
                <w:szCs w:val="18"/>
              </w:rPr>
              <w:t>Fixed at 42 throughout</w:t>
            </w:r>
          </w:p>
        </w:tc>
        <w:tc>
          <w:tcPr>
            <w:tcW w:w="38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6608C0D" w14:textId="77777777" w:rsidR="00E932E3" w:rsidRDefault="00000000">
            <w:r>
              <w:rPr>
                <w:rFonts w:ascii="Calibri" w:eastAsia="Calibri" w:hAnsi="Calibri" w:cs="Calibri"/>
                <w:sz w:val="18"/>
                <w:szCs w:val="18"/>
              </w:rPr>
              <w:t>Applied to data splits, all six models' training, SHAP background sampling, and bootstrap resampling for full reproducibility</w:t>
            </w:r>
          </w:p>
        </w:tc>
      </w:tr>
    </w:tbl>
    <w:p w14:paraId="1D2882AE" w14:textId="77777777" w:rsidR="00E932E3" w:rsidRDefault="00E932E3">
      <w:pPr>
        <w:spacing w:before="160" w:after="0"/>
      </w:pPr>
    </w:p>
    <w:p w14:paraId="362A076F" w14:textId="77777777" w:rsidR="00E932E3" w:rsidRDefault="00000000">
      <w:pPr>
        <w:pStyle w:val="Heading3"/>
        <w:spacing w:before="180" w:after="80"/>
      </w:pPr>
      <w:r>
        <w:rPr>
          <w:rFonts w:ascii="Calibri" w:eastAsia="Calibri" w:hAnsi="Calibri" w:cs="Calibri"/>
          <w:color w:val="222222"/>
        </w:rPr>
        <w:t>2.5.3 Stage-Stratified SHAP Attribution — Core Novel Methodological Step</w:t>
      </w:r>
    </w:p>
    <w:p w14:paraId="056BF17A" w14:textId="77777777" w:rsidR="00E932E3" w:rsidRDefault="00000000">
      <w:pPr>
        <w:spacing w:after="160"/>
        <w:jc w:val="both"/>
      </w:pPr>
      <w:r>
        <w:rPr>
          <w:rFonts w:ascii="Calibri" w:eastAsia="Calibri" w:hAnsi="Calibri" w:cs="Calibri"/>
        </w:rPr>
        <w:t>SHAP (SHapley Additive exPlanations) values were computed for the empirically selected primary model using the explainer appropriate to its architecture. As the selected primary model is the Elastic Net (a linear model; Section 2.5.1), the exact LinearExplainer [23] is used, for which the Shapley attribution of each gene is exactly the product of the model coefficient and the gene's mean-centred value; this provides exact (not approximate) Shapley attributions and satisfies the efficiency, symmetry, and dummy axioms required for an attribution method to be theoretically faithful to the underlying model. (TreeExplainer or DeepExplainer would be used analogously had a tree-ensemble or neural model been selected.) Two complementary attribution analyses were performed on the same final, locked model:</w:t>
      </w:r>
      <w:r>
        <w:rPr>
          <w:rFonts w:ascii="Calibri" w:eastAsia="Calibri" w:hAnsi="Calibri" w:cs="Calibri"/>
        </w:rPr>
      </w:r>
    </w:p>
    <w:p w14:paraId="191B7D56" w14:textId="77777777" w:rsidR="00E932E3" w:rsidRDefault="00000000">
      <w:pPr>
        <w:spacing w:before="40" w:after="80"/>
        <w:ind w:left="360" w:hanging="200"/>
        <w:jc w:val="both"/>
      </w:pPr>
      <w:r>
        <w:rPr>
          <w:rFonts w:ascii="Calibri" w:eastAsia="Calibri" w:hAnsi="Calibri" w:cs="Calibri"/>
        </w:rPr>
        <w:t>•  Global attribution: mean absolute SHAP value computed across the entire training cohort, irrespective of AJCC stage, replicating the standard approach used throughout the existing CRC transcriptomic SHAP literature [14,15,16].</w:t>
      </w:r>
    </w:p>
    <w:p w14:paraId="4EA3FF91" w14:textId="77777777" w:rsidR="00E932E3" w:rsidRDefault="00000000">
      <w:pPr>
        <w:spacing w:before="40" w:after="80"/>
        <w:ind w:left="360" w:hanging="200"/>
        <w:jc w:val="both"/>
      </w:pPr>
      <w:r>
        <w:rPr>
          <w:rFonts w:ascii="Calibri" w:eastAsia="Calibri" w:hAnsi="Calibri" w:cs="Calibri"/>
        </w:rPr>
        <w:t>•  Stage-stratified attribution (the core novel contribution): SHAP values computed separately within each AJCC stage subgroup (Stage I, II, III, and IV) using the same trained model and the same background distribution, yielding four independent per-stage gene-importance rankings, subject to the minimum-n-per-stage and bootstrap stability checks described next.</w:t>
      </w:r>
    </w:p>
    <w:p w14:paraId="049047C7" w14:textId="77777777" w:rsidR="00E932E3" w:rsidRDefault="00000000">
      <w:pPr>
        <w:spacing w:after="160"/>
        <w:jc w:val="both"/>
      </w:pPr>
      <w:r>
        <w:rPr>
          <w:rFonts w:ascii="Calibri" w:eastAsia="Calibri" w:hAnsi="Calibri" w:cs="Calibri"/>
        </w:rPr>
        <w:t>Given that Stage I (n=45 in TCGA-COAD prior to any GEO augmentation) is the smallest subgroup, a minimum-n-per-stage threshold of 30 is pre-specified for primary reporting, and SHAP ranking stability within each stage is additionally assessed via 1,000-iteration bootstrap resampling of that stage's own samples; a stage's ranking is reported as stable only if its top-10 gene ranking achieves Spearman ρ&gt;0.7 across bootstrap resamples of itself. Stages not meeting this stability bar are reported descriptively in the Results but explicitly flagged as not supporting confirmatory claims about stage-dependent gene importance (Section 2.9, Issue 2). Concordance between the global ranking and each per-stage ranking, and between pairs of stage-specific rankings, is quantified using Spearman's rank correlation coefficient, with statistical significance assessed via permutation testing (1,000 permutations of stage labels). Stage-resolved SHAP beeswarm plots, waterfall plots for representative individual patients, and dependence plots highlighting threshold effects are generated for each stage subgroup independently. In the present analysis, all four AJCC stage subgroups met both the minimum-n-per-stage threshold and the bootstrap stability bar (bootstrap mean Spearman ρ ranging from 0.86 to 0.95 across the four stages), so the four-stage analysis is reported as primary and the early-versus-late fallback (Section 2.5.4) was not triggered; the decision outcome is recorded in the released code.</w:t>
      </w:r>
    </w:p>
    <w:p w14:paraId="2E1E5890" w14:textId="77777777" w:rsidR="00E932E3" w:rsidRDefault="00000000">
      <w:pPr>
        <w:pStyle w:val="Heading3"/>
        <w:spacing w:before="180" w:after="80"/>
      </w:pPr>
      <w:r>
        <w:rPr>
          <w:rFonts w:ascii="Calibri" w:eastAsia="Calibri" w:hAnsi="Calibri" w:cs="Calibri"/>
          <w:color w:val="222222"/>
        </w:rPr>
        <w:t>2.5.4 Pre-Specified Resolution Fallback for Underpowered Stage Subgroups</w:t>
      </w:r>
    </w:p>
    <w:p w14:paraId="5D3859C9" w14:textId="77777777" w:rsidR="00E932E3" w:rsidRDefault="00000000">
      <w:pPr>
        <w:spacing w:after="160"/>
        <w:jc w:val="both"/>
      </w:pPr>
      <w:r>
        <w:rPr>
          <w:rFonts w:ascii="Calibri" w:eastAsia="Calibri" w:hAnsi="Calibri" w:cs="Calibri"/>
        </w:rPr>
        <w:t xml:space="preserve">It is important to emphasise that the stage-stratified SHAP analysis is a </w:t>
      </w:r>
      <w:r>
        <w:rPr>
          <w:rFonts w:ascii="Calibri" w:eastAsia="Calibri" w:hAnsi="Calibri" w:cs="Calibri"/>
          <w:i/>
          <w:iCs/>
        </w:rPr>
        <w:t>post-hoc stratification of a single model trained on the full cohort</w:t>
      </w:r>
      <w:r>
        <w:rPr>
          <w:rFonts w:ascii="Calibri" w:eastAsia="Calibri" w:hAnsi="Calibri" w:cs="Calibri"/>
        </w:rPr>
        <w:t xml:space="preserve"> (all AJCC stages combined, n≈350–450), and not the fitting of a separate model within each small stage subgroup. No model is trained on any subgroup as small as the Stage I sample; the full-cohort model's attributions are simply examined separately by stage. This design choice directly avoids the small-sample model-overfitting concern that arises when a predictive model is trained on a few dozen samples, because no such per-subgroup training occurs at any point.</w:t>
      </w:r>
    </w:p>
    <w:p w14:paraId="55D96D2D" w14:textId="77777777" w:rsidR="00E932E3" w:rsidRDefault="00000000">
      <w:pPr>
        <w:spacing w:after="160"/>
        <w:jc w:val="both"/>
      </w:pPr>
      <w:r>
        <w:rPr>
          <w:rFonts w:ascii="Calibri" w:eastAsia="Calibri" w:hAnsi="Calibri" w:cs="Calibri"/>
        </w:rPr>
        <w:t xml:space="preserve">Nonetheless, to guard against the residual risk that SHAP attributions computed on a small subgroup (notably Stage I) may be unstable, the following decision rule is pre-specified here, before any data acquisition or analysis, so that the choice of analytical resolution is a principled, pre-registered decision rather than a post-hoc selection made after inspecting the results: if all four AJCC stage subgroups meet the pre-specified stability threshold (Section 2.5.3), the four-stage analysis is reported as the primary result. If one or more stage subgroups fail the stability threshold, the analysis collapses to two well-powered groups — early-stage (AJCC I–II) versus late-stage (AJCC III–IV) — and the central claim of stage-dependent gene-importance redistribution is evaluated and reported at this early-versus-late </w:t>
      </w:r>
      <w:r>
        <w:rPr>
          <w:rFonts w:ascii="Calibri" w:eastAsia="Calibri" w:hAnsi="Calibri" w:cs="Calibri"/>
        </w:rPr>
        <w:lastRenderedPageBreak/>
        <w:t>resolution instead. Under the combined cohort, the early-stage (I–II) and late-stage (III–IV) groups each contain well over one hundred samples, comfortably exceeding the stability threshold and removing the small-subgroup concern entirely at this resolution.</w:t>
      </w:r>
    </w:p>
    <w:p w14:paraId="113E4C8A" w14:textId="77777777" w:rsidR="00E932E3" w:rsidRDefault="00000000">
      <w:pPr>
        <w:spacing w:after="160"/>
        <w:jc w:val="both"/>
      </w:pPr>
      <w:r>
        <w:rPr>
          <w:rFonts w:ascii="Calibri" w:eastAsia="Calibri" w:hAnsi="Calibri" w:cs="Calibri"/>
        </w:rPr>
        <w:t>The outcome of applying this rule is reported explicitly in the Results regardless of which branch is taken: if the four-stage analysis succeeds, the manuscript states that the fallback was defined but not required; if the fallback is triggered, the manuscript states which subgroup(s) failed the threshold and reports the early-versus-late analysis as primary. This closed-loop reporting ensures the reader always knows both what was planned and what occurred, and prevents any appearance of selectively choosing the stratification resolution that produced the most favourable result. The core scientific claim of this study — that the model's gene-level reasoning shifts measurably with disease progression — is supported at either resolution; the four-stage analysis provides finer granularity if the data support it, while the early-versus-late analysis provides a robustly powered version of the same claim if they do not.</w:t>
      </w:r>
    </w:p>
    <w:p w14:paraId="1E0B00E8" w14:textId="77777777" w:rsidR="00E932E3" w:rsidRDefault="00000000">
      <w:pPr>
        <w:pStyle w:val="Heading2"/>
        <w:spacing w:before="260" w:after="100"/>
      </w:pPr>
      <w:r>
        <w:rPr>
          <w:rFonts w:ascii="Calibri" w:eastAsia="Calibri" w:hAnsi="Calibri" w:cs="Calibri"/>
          <w:i/>
          <w:iCs/>
          <w:color w:val="111111"/>
          <w:sz w:val="24"/>
          <w:szCs w:val="24"/>
        </w:rPr>
        <w:t>2.6 Saudi Population Contextualisation</w:t>
      </w:r>
    </w:p>
    <w:p w14:paraId="272E95A8" w14:textId="77777777" w:rsidR="00E932E3" w:rsidRDefault="00000000">
      <w:pPr>
        <w:spacing w:after="160"/>
        <w:jc w:val="both"/>
      </w:pPr>
      <w:r>
        <w:rPr>
          <w:rFonts w:ascii="Calibri" w:eastAsia="Calibri" w:hAnsi="Calibri" w:cs="Calibri"/>
        </w:rPr>
        <w:t>Following SHAP-based gene prioritisation, the resulting stage-stratified gene set is cross-referenced against the actionable mutation frequencies reported for the 107-patient Saudi CRC cohort described in Section 2.2.3 [9]. This comparison is conducted exclusively at the pathway level, not at the level of individual transcript-to-mutation mapping, given that the two data types (RNA expression vs. DNA mutation) are not directly equivalent. SHAP-prioritised genes are grouped into their constituent biological pathways (as established in Section 2.4.3), and pathway membership is compared against the pathways disrupted by the high-frequency Saudi-cohort mutations (</w:t>
      </w:r>
      <w:r>
        <w:rPr>
          <w:rFonts w:ascii="Calibri" w:eastAsia="Calibri" w:hAnsi="Calibri" w:cs="Calibri"/>
          <w:i/>
          <w:iCs/>
        </w:rPr>
        <w:t>BRCA2</w:t>
      </w:r>
      <w:r>
        <w:rPr>
          <w:rFonts w:ascii="Calibri" w:eastAsia="Calibri" w:hAnsi="Calibri" w:cs="Calibri"/>
        </w:rPr>
        <w:t xml:space="preserve"> and homologous recombination; </w:t>
      </w:r>
      <w:r>
        <w:rPr>
          <w:rFonts w:ascii="Calibri" w:eastAsia="Calibri" w:hAnsi="Calibri" w:cs="Calibri"/>
          <w:i/>
          <w:iCs/>
        </w:rPr>
        <w:t>CHEK1</w:t>
      </w:r>
      <w:r>
        <w:rPr>
          <w:rFonts w:ascii="Calibri" w:eastAsia="Calibri" w:hAnsi="Calibri" w:cs="Calibri"/>
        </w:rPr>
        <w:t xml:space="preserve">, </w:t>
      </w:r>
      <w:r>
        <w:rPr>
          <w:rFonts w:ascii="Calibri" w:eastAsia="Calibri" w:hAnsi="Calibri" w:cs="Calibri"/>
          <w:i/>
          <w:iCs/>
        </w:rPr>
        <w:t>ATM</w:t>
      </w:r>
      <w:r>
        <w:rPr>
          <w:rFonts w:ascii="Calibri" w:eastAsia="Calibri" w:hAnsi="Calibri" w:cs="Calibri"/>
        </w:rPr>
        <w:t xml:space="preserve">, and </w:t>
      </w:r>
      <w:r>
        <w:rPr>
          <w:rFonts w:ascii="Calibri" w:eastAsia="Calibri" w:hAnsi="Calibri" w:cs="Calibri"/>
          <w:i/>
          <w:iCs/>
        </w:rPr>
        <w:t>ATR</w:t>
      </w:r>
      <w:r>
        <w:rPr>
          <w:rFonts w:ascii="Calibri" w:eastAsia="Calibri" w:hAnsi="Calibri" w:cs="Calibri"/>
        </w:rPr>
        <w:t xml:space="preserve"> and the DNA-damage-response checkpoint pathway; </w:t>
      </w:r>
      <w:r>
        <w:rPr>
          <w:rFonts w:ascii="Calibri" w:eastAsia="Calibri" w:hAnsi="Calibri" w:cs="Calibri"/>
          <w:i/>
          <w:iCs/>
        </w:rPr>
        <w:t>PMS2</w:t>
      </w:r>
      <w:r>
        <w:rPr>
          <w:rFonts w:ascii="Calibri" w:eastAsia="Calibri" w:hAnsi="Calibri" w:cs="Calibri"/>
        </w:rPr>
        <w:t xml:space="preserve"> and mismatch repair). Convergence is defined as overlap in at least one enriched pathway shared between the SHAP-prioritised gene set and the genes harbouring high-frequency Saudi-cohort mutations. This study commits, in advance of running this comparison, to reporting its outcome in full regardless of direction: convergence and non-convergence will both be reported in the Results and discussed for their respective interpretive implications, eliminating the risk of this comparison being selectively reported only if favourable (Section 2.9, Issue 5). This comparison is explicitly not statistical validation, external validation, or replication in a Saudi sample, since no Saudi transcriptomic data of any kind are used in model training, tuning, or testing at any stage of this study.</w:t>
      </w:r>
    </w:p>
    <w:p w14:paraId="41300B8C" w14:textId="77777777" w:rsidR="00E932E3" w:rsidRDefault="00000000">
      <w:pPr>
        <w:pStyle w:val="Heading3"/>
        <w:spacing w:before="180" w:after="80"/>
      </w:pPr>
      <w:r>
        <w:rPr>
          <w:rFonts w:ascii="Calibri" w:eastAsia="Calibri" w:hAnsi="Calibri" w:cs="Calibri"/>
          <w:color w:val="222222"/>
        </w:rPr>
        <w:t>2.6.1 Literature-Based Corroboration of Prioritised Genes</w:t>
      </w:r>
    </w:p>
    <w:p w14:paraId="6B37D891" w14:textId="77777777" w:rsidR="00E932E3" w:rsidRDefault="00000000">
      <w:pPr>
        <w:spacing w:after="160"/>
        <w:jc w:val="both"/>
      </w:pPr>
      <w:r>
        <w:rPr>
          <w:rFonts w:ascii="Calibri" w:eastAsia="Calibri" w:hAnsi="Calibri" w:cs="Calibri"/>
        </w:rPr>
        <w:t xml:space="preserve">Because prospective wet-laboratory validation (for example, qRT-PCR or immunohistochemistry of the prioritised genes in fresh patient samples) is outside the scope of a computational study, but the absence of any biological corroboration would be a genuine weakness rather than an unavoidable one, each SHAP-prioritised gene is systematically cross-referenced against the existing experimental literature. For every gene in the final panel, a structured search records whether prior studies report experimental (qRT-PCR, Western blot, immunohistochemistry, or functional) evidence of its dysregulation or mechanistic role in colorectal cancer, and this evidence is tabulated alongside the computational findings. This step does not substitute for prospective experimental validation, but it </w:t>
      </w:r>
      <w:r>
        <w:rPr>
          <w:rFonts w:ascii="Calibri" w:eastAsia="Calibri" w:hAnsi="Calibri" w:cs="Calibri"/>
        </w:rPr>
        <w:lastRenderedPageBreak/>
        <w:t>establishes whether the computationally prioritised genes are biologically plausible and already supported by independent wet-lab evidence, distinguishing genuinely novel candidates from those with established experimental backing. Genes with no prior experimental evidence are explicitly flagged as novel, hypothesis-generating candidates warranting future laboratory validation.</w:t>
      </w:r>
    </w:p>
    <w:p w14:paraId="587C234B" w14:textId="77777777" w:rsidR="00E932E3" w:rsidRDefault="00000000">
      <w:pPr>
        <w:pStyle w:val="Heading3"/>
        <w:spacing w:before="180" w:after="80"/>
      </w:pPr>
      <w:r>
        <w:rPr>
          <w:rFonts w:ascii="Calibri" w:eastAsia="Calibri" w:hAnsi="Calibri" w:cs="Calibri"/>
          <w:color w:val="222222"/>
        </w:rPr>
        <w:t>2.6.2 Expression-Direction Confirmation in an Independent Transcriptomic Cohort</w:t>
      </w:r>
    </w:p>
    <w:p w14:paraId="2D62CE63" w14:textId="77777777" w:rsidR="00E932E3" w:rsidRDefault="00000000">
      <w:pPr>
        <w:spacing w:after="160"/>
        <w:jc w:val="both"/>
      </w:pPr>
      <w:r>
        <w:rPr>
          <w:rFonts w:ascii="Calibri" w:eastAsia="Calibri" w:hAnsi="Calibri" w:cs="Calibri"/>
        </w:rPr>
        <w:t xml:space="preserve">As an additional, explicitly supportive plausibility check, the tumour-versus-normal expression direction (up- or down-regulation) of each SHAP-prioritised gene is confirmed in an independent transcriptomic resource not used in model development — principally GEPIA2, which serves uniformly reprocessed TCGA and GTEx expression data, with a further independent GEO cohort consulted where available. This check tests only whether the direction of differential expression observed during discovery is reproducible in an independently assembled expression dataset, thereby guarding against the possibility that a prioritised gene's signal is an artefact of the primary cohort. It is stated explicitly that this is </w:t>
      </w:r>
      <w:r>
        <w:rPr>
          <w:rFonts w:ascii="Calibri" w:eastAsia="Calibri" w:hAnsi="Calibri" w:cs="Calibri"/>
          <w:i/>
          <w:iCs/>
        </w:rPr>
        <w:t>not</w:t>
      </w:r>
      <w:r>
        <w:rPr>
          <w:rFonts w:ascii="Calibri" w:eastAsia="Calibri" w:hAnsi="Calibri" w:cs="Calibri"/>
        </w:rPr>
        <w:t xml:space="preserve"> qRT-PCR and is not an orthogonal, wet-laboratory validation: it remains within the transcriptomic modality and therefore constitutes internal-consistency support rather than independent-method confirmation. It is reported as such and is never described using wet-laboratory terminology.</w:t>
      </w:r>
    </w:p>
    <w:p w14:paraId="42947326" w14:textId="77777777" w:rsidR="00E932E3" w:rsidRDefault="00000000">
      <w:pPr>
        <w:spacing w:after="160"/>
        <w:jc w:val="both"/>
      </w:pPr>
      <w:r>
        <w:rPr>
          <w:rFonts w:ascii="Calibri" w:eastAsia="Calibri" w:hAnsi="Calibri" w:cs="Calibri"/>
        </w:rPr>
        <w:t>The reporting weight of this check is fixed in advance, independent of its outcome, to avoid outcome-dependent emphasis. Its detailed results are reported in the Supplementary Material in all cases. Its outcome is discussed in the main-text Discussion regardless of direction — a confirmed expression direction is reported as supporting plausibility, and a non-confirmed direction is reported as a caveat that readers require — mirroring the pre-commitment applied to the Saudi pathway comparison (Section 2.6). This check is deliberately excluded from the Abstract irrespective of how favourable its result proves to be, because it is a secondary supporting detail rather than a primary finding, and the Abstract is reserved for the central stage-stratified attribution result, primary model performance, and primary external validation. This allocation is determined by the check's subordinate scientific role, not by the favourability of its result.</w:t>
      </w:r>
    </w:p>
    <w:p w14:paraId="541241B6" w14:textId="77777777" w:rsidR="00E932E3" w:rsidRDefault="00000000">
      <w:pPr>
        <w:pStyle w:val="Heading2"/>
        <w:spacing w:before="260" w:after="100"/>
      </w:pPr>
      <w:r>
        <w:rPr>
          <w:rFonts w:ascii="Calibri" w:eastAsia="Calibri" w:hAnsi="Calibri" w:cs="Calibri"/>
          <w:i/>
          <w:iCs/>
          <w:color w:val="111111"/>
          <w:sz w:val="24"/>
          <w:szCs w:val="24"/>
        </w:rPr>
        <w:t>2.7 Survival Modelling and External Validation</w:t>
      </w:r>
    </w:p>
    <w:p w14:paraId="5B6FB2D7" w14:textId="77777777" w:rsidR="00E932E3" w:rsidRDefault="00000000">
      <w:pPr>
        <w:pStyle w:val="Heading3"/>
        <w:spacing w:before="180" w:after="80"/>
      </w:pPr>
      <w:r>
        <w:rPr>
          <w:rFonts w:ascii="Calibri" w:eastAsia="Calibri" w:hAnsi="Calibri" w:cs="Calibri"/>
          <w:color w:val="222222"/>
        </w:rPr>
        <w:t>2.7.1 Benchmarked Survival Architectures</w:t>
      </w:r>
    </w:p>
    <w:p w14:paraId="672CC622" w14:textId="77777777" w:rsidR="00E932E3" w:rsidRDefault="00000000">
      <w:pPr>
        <w:spacing w:after="160"/>
        <w:jc w:val="both"/>
      </w:pPr>
      <w:r>
        <w:rPr>
          <w:rFonts w:ascii="Calibri" w:eastAsia="Calibri" w:hAnsi="Calibri" w:cs="Calibri"/>
        </w:rPr>
        <w:t>Three survival modelling approaches were benchmarked on the SHAP-prioritised gene panel, using overall survival time and censoring status from TCGA-COAD clinical annotation as the outcome:</w:t>
      </w:r>
    </w:p>
    <w:p w14:paraId="3BB9F300" w14:textId="77777777" w:rsidR="00E932E3" w:rsidRDefault="00000000">
      <w:pPr>
        <w:spacing w:before="40" w:after="80"/>
        <w:ind w:left="360" w:hanging="200"/>
        <w:jc w:val="both"/>
      </w:pPr>
      <w:r>
        <w:rPr>
          <w:rFonts w:ascii="Calibri" w:eastAsia="Calibri" w:hAnsi="Calibri" w:cs="Calibri"/>
        </w:rPr>
        <w:t>•  Cox proportional hazards (Cox PH) regression — the conventional baseline, assuming a linear, time-invariant effect of each covariate on the log-hazard.</w:t>
      </w:r>
    </w:p>
    <w:p w14:paraId="67AC0902" w14:textId="77777777" w:rsidR="00E932E3" w:rsidRDefault="00000000">
      <w:pPr>
        <w:spacing w:before="40" w:after="80"/>
        <w:ind w:left="360" w:hanging="200"/>
        <w:jc w:val="both"/>
      </w:pPr>
      <w:r>
        <w:rPr>
          <w:rFonts w:ascii="Calibri" w:eastAsia="Calibri" w:hAnsi="Calibri" w:cs="Calibri"/>
        </w:rPr>
        <w:t>•  DeepSurv [42] — a deep neural-network extension of the Cox model that learns non-linear covariate interactions, included as the deep-learning comparator and intentionally benchmarked rather than assumed superior.</w:t>
      </w:r>
    </w:p>
    <w:p w14:paraId="4DE292E7" w14:textId="77777777" w:rsidR="00E932E3" w:rsidRDefault="00E932E3">
      <w:pPr>
        <w:spacing w:after="160"/>
        <w:jc w:val="both"/>
      </w:pPr>
    </w:p>
    <w:p w14:paraId="082A8775" w14:textId="77777777" w:rsidR="00E932E3" w:rsidRDefault="00000000">
      <w:pPr>
        <w:spacing w:after="160"/>
        <w:jc w:val="both"/>
      </w:pPr>
      <w:r>
        <w:rPr>
          <w:rFonts w:ascii="Calibri" w:eastAsia="Calibri" w:hAnsi="Calibri" w:cs="Calibri"/>
        </w:rPr>
        <w:t>•  Random Survival Forest (RSF) [43] — an ensemble tree-based survival method that estimates the cumulative hazard non-parametrically, included as a non-deep-learning, non-parametric comparator.</w:t>
      </w:r>
    </w:p>
    <w:p w14:paraId="629B3751" w14:textId="77777777" w:rsidR="00E932E3" w:rsidRDefault="00000000">
      <w:pPr>
        <w:spacing w:after="160"/>
        <w:jc w:val="both"/>
      </w:pPr>
      <w:r>
        <w:rPr>
          <w:rFonts w:ascii="Calibri" w:eastAsia="Calibri" w:hAnsi="Calibri" w:cs="Calibri"/>
        </w:rPr>
        <w:t>Per the events-per-variable resolution adopted for this study [41], stage-specific event counts are tabulated in the Results before any stage-stratified survival benchmarking is reported; stages meeting the conventional EPV≥10 threshold are reported as confirmatory, and stages below this threshold are explicitly labelled exploratory rather than omitted, so that the reader can judge the evidentiary weight of each stage's survival findings directly. All three models were trained on the same SHAP-prioritised feature set under the same cross-validation folds described in Section 2.5, with hyperparameters for DeepSurv (hidden layer sizes, dropout, learning rate) and RSF (number of trees, minimum leaf size) each tuned via the same nested Bayesian optimisation protocol used for the primary classifier.</w:t>
      </w:r>
    </w:p>
    <w:p w14:paraId="77A617E2" w14:textId="77777777" w:rsidR="00E932E3" w:rsidRDefault="00000000">
      <w:pPr>
        <w:pStyle w:val="Heading3"/>
        <w:spacing w:before="180" w:after="80"/>
      </w:pPr>
      <w:r>
        <w:rPr>
          <w:rFonts w:ascii="Calibri" w:eastAsia="Calibri" w:hAnsi="Calibri" w:cs="Calibri"/>
          <w:color w:val="222222"/>
        </w:rPr>
        <w:t>2.7.2 Performance Metrics and External Validation</w:t>
      </w:r>
    </w:p>
    <w:p w14:paraId="39EF23CD" w14:textId="77777777" w:rsidR="00E932E3" w:rsidRDefault="00000000">
      <w:pPr>
        <w:spacing w:after="160"/>
        <w:jc w:val="both"/>
      </w:pPr>
      <w:r>
        <w:rPr>
          <w:rFonts w:ascii="Calibri" w:eastAsia="Calibri" w:hAnsi="Calibri" w:cs="Calibri"/>
        </w:rPr>
        <w:t>Model discrimination was quantified using Harrell's concordance index (C-index) [44] and time-dependent area under the receiver operating characteristic curve (AUC) evaluated at 3-year and 5-year horizons, the two time points most commonly reported in comparable CRC survival literature and most clinically relevant for treatment-planning decisions. All three models, and all six classification-stage benchmark models (Section 2.5.1), were evaluated on GSE39582 and GSE17536/GSE17537 [47], the open-access external validation cohorts adopted in place of ICGC following the access-tier change documented in Section 2.2.2 and Section 2.9 (Issue 6); none of these cohorts were used during any stage of model development.</w:t>
      </w:r>
    </w:p>
    <w:p w14:paraId="263D3C20" w14:textId="77777777" w:rsidR="00E932E3" w:rsidRDefault="00000000">
      <w:pPr>
        <w:spacing w:after="160"/>
        <w:jc w:val="both"/>
      </w:pPr>
      <w:r>
        <w:rPr>
          <w:rFonts w:ascii="Calibri" w:eastAsia="Calibri" w:hAnsi="Calibri" w:cs="Calibri"/>
        </w:rPr>
        <w:t>Pairwise comparison of AUC values between models was performed using DeLong's test for correlated ROC curves [45], which is now expected by reviewers as the minimum standard for comparing model discrimination rather than reporting point AUC estimates alone. Uncertainty in all primary performance metrics (C-index, time-dependent AUC, sensitivity, specificity) was quantified using 1,000-iteration bootstrap resampling, with 95% confidence intervals computed via the percentile method. All reporting follows the TRIPOD+AI guideline for clinical prediction models using regression or machine learning methods [22], and a completed TRIPOD+AI checklist is provided as a supplementary file at submission.</w:t>
      </w:r>
    </w:p>
    <w:p w14:paraId="16386A80" w14:textId="77777777" w:rsidR="00E932E3" w:rsidRDefault="00000000">
      <w:pPr>
        <w:pStyle w:val="Heading2"/>
        <w:spacing w:before="260" w:after="100"/>
      </w:pPr>
      <w:r>
        <w:rPr>
          <w:rFonts w:ascii="Calibri" w:eastAsia="Calibri" w:hAnsi="Calibri" w:cs="Calibri"/>
          <w:i/>
          <w:iCs/>
          <w:color w:val="111111"/>
          <w:sz w:val="24"/>
          <w:szCs w:val="24"/>
        </w:rPr>
        <w:t>2.8 Statistical Software and Reproducibility</w:t>
      </w:r>
    </w:p>
    <w:p w14:paraId="0D5A5FEF" w14:textId="77777777" w:rsidR="00E932E3" w:rsidRDefault="00000000">
      <w:pPr>
        <w:spacing w:after="160"/>
        <w:jc w:val="both"/>
      </w:pPr>
      <w:r>
        <w:rPr>
          <w:rFonts w:ascii="Calibri" w:eastAsia="Calibri" w:hAnsi="Calibri" w:cs="Calibri"/>
        </w:rPr>
        <w:t>All analyses were conducted in Python 3.10 (scikit-learn, XGBoost [13], LightGBM [35], SHAP [23], scikit-survival, lifelines, Optuna [39], GEOparse, pycombat) and R 4.3 (limma [24,25], STRINGdb [28], MCODE [29] via Cytoscape), with exact package versions pinned in a published requirements.txt and renv.lock file. The complete analysis pipeline, from raw data download through to final figure generation, is released in a public GitHub repository under an MIT licence, accompanied by Google Colab notebooks that reproduce every reported result without requiring local installation. Prior to public release, the repository is reviewed by co-author Sultan Alhayyani (Section 2.9, Issue 8). A bioRxiv preprint will be posted concurrently with journal submission. All random seeds are fixed at 42 throughout, and this value, together with the exact software versions and hardware specification used, is documented in the repository README to support independent replication.</w:t>
      </w:r>
      <w:r>
        <w:rPr>
          <w:rFonts w:ascii="Calibri" w:eastAsia="Calibri" w:hAnsi="Calibri" w:cs="Calibri"/>
          <w:i/>
          <w:iCs/>
        </w:rPr>
      </w:r>
      <w:r>
        <w:rPr>
          <w:rFonts w:ascii="Calibri" w:eastAsia="Calibri" w:hAnsi="Calibri" w:cs="Calibri"/>
        </w:rPr>
      </w:r>
      <w:r>
        <w:rPr>
          <w:rFonts w:ascii="Calibri" w:eastAsia="Calibri" w:hAnsi="Calibri" w:cs="Calibri"/>
          <w:i/>
          <w:iCs/>
        </w:rPr>
      </w:r>
      <w:r>
        <w:rPr>
          <w:rFonts w:ascii="Calibri" w:eastAsia="Calibri" w:hAnsi="Calibri" w:cs="Calibri"/>
        </w:rPr>
      </w:r>
    </w:p>
    <w:p w14:paraId="5F1F0679" w14:textId="77777777" w:rsidR="00E932E3" w:rsidRDefault="00000000">
      <w:pPr>
        <w:pStyle w:val="Heading2"/>
        <w:spacing w:before="260" w:after="100"/>
      </w:pPr>
      <w:r>
        <w:rPr>
          <w:rFonts w:ascii="Calibri" w:eastAsia="Calibri" w:hAnsi="Calibri" w:cs="Calibri"/>
          <w:i/>
          <w:iCs/>
          <w:color w:val="111111"/>
          <w:sz w:val="24"/>
          <w:szCs w:val="24"/>
        </w:rPr>
        <w:t>2.9 Methodological Risks Identified Prior to Data Acquisition and Their Resolutions</w:t>
      </w:r>
    </w:p>
    <w:p w14:paraId="44484811" w14:textId="77777777" w:rsidR="00E932E3" w:rsidRDefault="00000000">
      <w:pPr>
        <w:spacing w:after="160"/>
        <w:jc w:val="both"/>
      </w:pPr>
      <w:r>
        <w:rPr>
          <w:rFonts w:ascii="Calibri" w:eastAsia="Calibri" w:hAnsi="Calibri" w:cs="Calibri"/>
        </w:rPr>
        <w:t xml:space="preserve">Eight methodological risks were identified during planning and resolved, in writing, before any data acquisition began, so that each represents a pre-registered decision rather than a post-hoc justification. </w:t>
      </w:r>
      <w:r>
        <w:rPr>
          <w:rFonts w:ascii="Calibri" w:eastAsia="Calibri" w:hAnsi="Calibri" w:cs="Calibri"/>
        </w:rPr>
        <w:lastRenderedPageBreak/>
        <w:t>Table 6 summarises each risk and the resolution adopted; the corresponding resolution is also cross-referenced at the relevant point earlier in this section.</w:t>
      </w:r>
    </w:p>
    <w:p w14:paraId="24019489" w14:textId="77777777" w:rsidR="00E932E3" w:rsidRDefault="00000000">
      <w:pPr>
        <w:spacing w:before="100" w:after="80"/>
        <w:jc w:val="both"/>
      </w:pPr>
      <w:r>
        <w:rPr>
          <w:rFonts w:ascii="Calibri" w:eastAsia="Calibri" w:hAnsi="Calibri" w:cs="Calibri"/>
          <w:sz w:val="20"/>
          <w:szCs w:val="20"/>
        </w:rPr>
        <w:t>Table 6. Methodological risks identified prior to data acquisition and their adopted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2526"/>
        <w:gridCol w:w="5950"/>
      </w:tblGrid>
      <w:tr w:rsidR="00E932E3" w14:paraId="08E60D12" w14:textId="77777777">
        <w:tc>
          <w:tcPr>
            <w:tcW w:w="55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6BAC15DF" w14:textId="77777777" w:rsidR="00E932E3" w:rsidRDefault="00000000">
            <w:pPr>
              <w:jc w:val="center"/>
            </w:pPr>
            <w:r>
              <w:rPr>
                <w:rFonts w:ascii="Calibri" w:eastAsia="Calibri" w:hAnsi="Calibri" w:cs="Calibri"/>
                <w:b/>
                <w:bCs/>
                <w:sz w:val="18"/>
                <w:szCs w:val="18"/>
              </w:rPr>
              <w:t>#</w:t>
            </w:r>
          </w:p>
        </w:tc>
        <w:tc>
          <w:tcPr>
            <w:tcW w:w="2526"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43CFFE81" w14:textId="77777777" w:rsidR="00E932E3" w:rsidRDefault="00000000">
            <w:pPr>
              <w:jc w:val="center"/>
            </w:pPr>
            <w:r>
              <w:rPr>
                <w:rFonts w:ascii="Calibri" w:eastAsia="Calibri" w:hAnsi="Calibri" w:cs="Calibri"/>
                <w:b/>
                <w:bCs/>
                <w:sz w:val="18"/>
                <w:szCs w:val="18"/>
              </w:rPr>
              <w:t>Issue</w:t>
            </w:r>
          </w:p>
        </w:tc>
        <w:tc>
          <w:tcPr>
            <w:tcW w:w="595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1D636352" w14:textId="77777777" w:rsidR="00E932E3" w:rsidRDefault="00000000">
            <w:pPr>
              <w:jc w:val="center"/>
            </w:pPr>
            <w:r>
              <w:rPr>
                <w:rFonts w:ascii="Calibri" w:eastAsia="Calibri" w:hAnsi="Calibri" w:cs="Calibri"/>
                <w:b/>
                <w:bCs/>
                <w:sz w:val="18"/>
                <w:szCs w:val="18"/>
              </w:rPr>
              <w:t>Resolution Adopted in This Study</w:t>
            </w:r>
          </w:p>
        </w:tc>
      </w:tr>
      <w:tr w:rsidR="00E932E3" w14:paraId="05CE8D5B" w14:textId="77777777">
        <w:tc>
          <w:tcPr>
            <w:tcW w:w="5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C901B91" w14:textId="77777777" w:rsidR="00E932E3" w:rsidRDefault="00000000">
            <w:r>
              <w:rPr>
                <w:rFonts w:ascii="Calibri" w:eastAsia="Calibri" w:hAnsi="Calibri" w:cs="Calibri"/>
                <w:sz w:val="18"/>
                <w:szCs w:val="18"/>
              </w:rPr>
              <w:t>1</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7E7413" w14:textId="77777777" w:rsidR="00E932E3" w:rsidRDefault="00000000">
            <w:r>
              <w:rPr>
                <w:rFonts w:ascii="Calibri" w:eastAsia="Calibri" w:hAnsi="Calibri" w:cs="Calibri"/>
                <w:sz w:val="18"/>
                <w:szCs w:val="18"/>
              </w:rPr>
              <w:t>Cross-platform mixing (RNA-seq vs. microarray) can shrink common gene overlap below 100 genes after harmonisation [28]</w:t>
            </w:r>
          </w:p>
        </w:tc>
        <w:tc>
          <w:tcPr>
            <w:tcW w:w="59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137D40B" w14:textId="77777777" w:rsidR="00E932E3" w:rsidRDefault="00000000">
            <w:r>
              <w:rPr>
                <w:rFonts w:ascii="Calibri" w:eastAsia="Calibri" w:hAnsi="Calibri" w:cs="Calibri"/>
                <w:sz w:val="18"/>
                <w:szCs w:val="18"/>
              </w:rPr>
              <w:t>Primary analysis restricted to RNA-seq cohorts only (TCGA-COAD plus RNA-seq GEO series). Microarray-based cohorts (e.g., GSE39582, GSE17536 [49], used as external validation) are kept as a separate, explicitly labelled validation layer rather than merged into the training matrix, avoiding the common-feature collapse documented in the platform-mixing literature.</w:t>
            </w:r>
          </w:p>
        </w:tc>
      </w:tr>
      <w:tr w:rsidR="00E932E3" w14:paraId="3B1C82AD" w14:textId="77777777">
        <w:tc>
          <w:tcPr>
            <w:tcW w:w="5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0118A23" w14:textId="77777777" w:rsidR="00E932E3" w:rsidRDefault="00000000">
            <w:r>
              <w:rPr>
                <w:rFonts w:ascii="Calibri" w:eastAsia="Calibri" w:hAnsi="Calibri" w:cs="Calibri"/>
                <w:sz w:val="18"/>
                <w:szCs w:val="18"/>
              </w:rPr>
              <w:t>2</w:t>
            </w:r>
          </w:p>
        </w:tc>
        <w:tc>
          <w:tcPr>
            <w:tcW w:w="2526"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BED55C1" w14:textId="77777777" w:rsidR="00E932E3" w:rsidRDefault="00000000">
            <w:r>
              <w:rPr>
                <w:rFonts w:ascii="Calibri" w:eastAsia="Calibri" w:hAnsi="Calibri" w:cs="Calibri"/>
                <w:sz w:val="18"/>
                <w:szCs w:val="18"/>
              </w:rPr>
              <w:t>Stage-stratified subgroups, particularly Stage I (n=45), may be too small for stable SHAP attribution</w:t>
            </w:r>
          </w:p>
        </w:tc>
        <w:tc>
          <w:tcPr>
            <w:tcW w:w="59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7AFF9C4F" w14:textId="77777777" w:rsidR="00E932E3" w:rsidRDefault="00000000">
            <w:r>
              <w:rPr>
                <w:rFonts w:ascii="Calibri" w:eastAsia="Calibri" w:hAnsi="Calibri" w:cs="Calibri"/>
                <w:sz w:val="18"/>
                <w:szCs w:val="18"/>
              </w:rPr>
              <w:t>Three layered safeguards: (i) no model is trained on any single small subgroup — SHAP attributions are a post-hoc stratification of one full-cohort model (Section 2.5.4); (ii) a minimum-n-per-stage threshold (n≥30) and a 1,000-iteration bootstrap SHAP-ranking stability check (top-10 Spearman ρ&gt;0.7) are pre-specified; (iii) a pre-registered fallback collapses the analysis to well-powered early-stage (I–II) versus late-stage (III–IV) groups if any subgroup fails the stability bar, with the outcome of this rule reported explicitly either way (Section 2.5.4).</w:t>
            </w:r>
          </w:p>
        </w:tc>
      </w:tr>
      <w:tr w:rsidR="00E932E3" w14:paraId="3FC3982E" w14:textId="77777777">
        <w:tc>
          <w:tcPr>
            <w:tcW w:w="5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FCE09FA" w14:textId="77777777" w:rsidR="00E932E3" w:rsidRDefault="00000000">
            <w:r>
              <w:rPr>
                <w:rFonts w:ascii="Calibri" w:eastAsia="Calibri" w:hAnsi="Calibri" w:cs="Calibri"/>
                <w:sz w:val="18"/>
                <w:szCs w:val="18"/>
              </w:rPr>
              <w:t>3</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61A193" w14:textId="77777777" w:rsidR="00E932E3" w:rsidRDefault="00000000">
            <w:r>
              <w:rPr>
                <w:rFonts w:ascii="Calibri" w:eastAsia="Calibri" w:hAnsi="Calibri" w:cs="Calibri"/>
                <w:sz w:val="18"/>
                <w:szCs w:val="18"/>
              </w:rPr>
              <w:t>Low event (death) counts per stage may violate the events-per-variable heuristic for survival modelling [42]</w:t>
            </w:r>
          </w:p>
        </w:tc>
        <w:tc>
          <w:tcPr>
            <w:tcW w:w="59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2805180" w14:textId="77777777" w:rsidR="00E932E3" w:rsidRDefault="00000000">
            <w:r>
              <w:rPr>
                <w:rFonts w:ascii="Calibri" w:eastAsia="Calibri" w:hAnsi="Calibri" w:cs="Calibri"/>
                <w:sz w:val="18"/>
                <w:szCs w:val="18"/>
              </w:rPr>
              <w:t>Actual event counts per AJCC stage are tabulated immediately after data acquisition (Section 2.2.1) and reported transparently. Stage-specific survival benchmarking is reported as confirmatory only for stages meeting the conventional EPV≥10 threshold; stages below this are explicitly labelled exploratory.</w:t>
            </w:r>
          </w:p>
        </w:tc>
      </w:tr>
      <w:tr w:rsidR="00E932E3" w14:paraId="5BA44E4F" w14:textId="77777777">
        <w:tc>
          <w:tcPr>
            <w:tcW w:w="5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4DB20024" w14:textId="77777777" w:rsidR="00E932E3" w:rsidRDefault="00000000">
            <w:r>
              <w:rPr>
                <w:rFonts w:ascii="Calibri" w:eastAsia="Calibri" w:hAnsi="Calibri" w:cs="Calibri"/>
                <w:sz w:val="18"/>
                <w:szCs w:val="18"/>
              </w:rPr>
              <w:t>4</w:t>
            </w:r>
          </w:p>
        </w:tc>
        <w:tc>
          <w:tcPr>
            <w:tcW w:w="2526"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40BC4057" w14:textId="77777777" w:rsidR="00E932E3" w:rsidRDefault="00000000">
            <w:r>
              <w:rPr>
                <w:rFonts w:ascii="Calibri" w:eastAsia="Calibri" w:hAnsi="Calibri" w:cs="Calibri"/>
                <w:sz w:val="18"/>
                <w:szCs w:val="18"/>
              </w:rPr>
              <w:t>Multiple-testing burden across four stage-stratified DEG analyses could inflate false-positive ‘stage-specific’ findings</w:t>
            </w:r>
          </w:p>
        </w:tc>
        <w:tc>
          <w:tcPr>
            <w:tcW w:w="59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0FD2C97" w14:textId="77777777" w:rsidR="00E932E3" w:rsidRDefault="00000000">
            <w:r>
              <w:rPr>
                <w:rFonts w:ascii="Calibri" w:eastAsia="Calibri" w:hAnsi="Calibri" w:cs="Calibri"/>
                <w:sz w:val="18"/>
                <w:szCs w:val="18"/>
              </w:rPr>
              <w:t>Benjamini-Hochberg FDR correction [41] is applied within each stage-specific analysis and is also reported after a second, more conservative correction pooling all stage-by-gene tests performed across the study, so that the reader can see results under both the per-stage and the pooled multiple-testing regime.</w:t>
            </w:r>
          </w:p>
        </w:tc>
      </w:tr>
      <w:tr w:rsidR="00E932E3" w14:paraId="07F56022" w14:textId="77777777">
        <w:tc>
          <w:tcPr>
            <w:tcW w:w="5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95D020B" w14:textId="77777777" w:rsidR="00E932E3" w:rsidRDefault="00000000">
            <w:r>
              <w:rPr>
                <w:rFonts w:ascii="Calibri" w:eastAsia="Calibri" w:hAnsi="Calibri" w:cs="Calibri"/>
                <w:sz w:val="18"/>
                <w:szCs w:val="18"/>
              </w:rPr>
              <w:t>5</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0243591" w14:textId="77777777" w:rsidR="00E932E3" w:rsidRDefault="00000000">
            <w:r>
              <w:rPr>
                <w:rFonts w:ascii="Calibri" w:eastAsia="Calibri" w:hAnsi="Calibri" w:cs="Calibri"/>
                <w:sz w:val="18"/>
                <w:szCs w:val="18"/>
              </w:rPr>
              <w:t>Saudi pathway cross-reference (Section 2.6) could be perceived as selectively reported only if favourable</w:t>
            </w:r>
          </w:p>
        </w:tc>
        <w:tc>
          <w:tcPr>
            <w:tcW w:w="59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827BFC9" w14:textId="77777777" w:rsidR="00E932E3" w:rsidRDefault="00000000">
            <w:r>
              <w:rPr>
                <w:rFonts w:ascii="Calibri" w:eastAsia="Calibri" w:hAnsi="Calibri" w:cs="Calibri"/>
                <w:sz w:val="18"/>
                <w:szCs w:val="18"/>
              </w:rPr>
              <w:t>This Methods section pre-commits, in writing, to reporting the outcome of the Saudi pathway comparison regardless of direction — convergence or non-convergence are both reported in the Results and Discussion, and this pre-commitment is stated here prior to any analysis being run.</w:t>
            </w:r>
          </w:p>
        </w:tc>
      </w:tr>
      <w:tr w:rsidR="00E932E3" w14:paraId="5AEF8514" w14:textId="77777777">
        <w:tc>
          <w:tcPr>
            <w:tcW w:w="5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B75B138" w14:textId="77777777" w:rsidR="00E932E3" w:rsidRDefault="00000000">
            <w:r>
              <w:rPr>
                <w:rFonts w:ascii="Calibri" w:eastAsia="Calibri" w:hAnsi="Calibri" w:cs="Calibri"/>
                <w:sz w:val="18"/>
                <w:szCs w:val="18"/>
              </w:rPr>
              <w:t>6</w:t>
            </w:r>
          </w:p>
        </w:tc>
        <w:tc>
          <w:tcPr>
            <w:tcW w:w="2526"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D1CAC61" w14:textId="77777777" w:rsidR="00E932E3" w:rsidRDefault="00000000">
            <w:r>
              <w:rPr>
                <w:rFonts w:ascii="Calibri" w:eastAsia="Calibri" w:hAnsi="Calibri" w:cs="Calibri"/>
                <w:sz w:val="18"/>
                <w:szCs w:val="18"/>
              </w:rPr>
              <w:t>ICGC data portal was retired in June 2024; ICGC controlled-access data (including detailed clinical/survival annotation) now requires DACO approval and is not freely downloadable [47]</w:t>
            </w:r>
          </w:p>
        </w:tc>
        <w:tc>
          <w:tcPr>
            <w:tcW w:w="59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700DC29A" w14:textId="77777777" w:rsidR="00E932E3" w:rsidRDefault="00000000">
            <w:r>
              <w:rPr>
                <w:rFonts w:ascii="Calibri" w:eastAsia="Calibri" w:hAnsi="Calibri" w:cs="Calibri"/>
                <w:sz w:val="18"/>
                <w:szCs w:val="18"/>
              </w:rPr>
              <w:t>ICGC COAD-READ is replaced as the external validation cohort. External validation is instead performed on GSE39582 and GSE17536/GSE17537 [49], established, fully open-access GEO cohorts with complete survival annotation that have been used as external validation in multiple published CRC prognostic studies, requiring no data access committee approval.</w:t>
            </w:r>
          </w:p>
        </w:tc>
      </w:tr>
      <w:tr w:rsidR="00E932E3" w14:paraId="0C6B7A7B" w14:textId="77777777">
        <w:tc>
          <w:tcPr>
            <w:tcW w:w="5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1D14947" w14:textId="77777777" w:rsidR="00E932E3" w:rsidRDefault="00000000">
            <w:r>
              <w:rPr>
                <w:rFonts w:ascii="Calibri" w:eastAsia="Calibri" w:hAnsi="Calibri" w:cs="Calibri"/>
                <w:sz w:val="18"/>
                <w:szCs w:val="18"/>
              </w:rPr>
              <w:lastRenderedPageBreak/>
              <w:t>7</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4F4E9AE" w14:textId="77777777" w:rsidR="00E932E3" w:rsidRDefault="00000000">
            <w:r>
              <w:rPr>
                <w:rFonts w:ascii="Calibri" w:eastAsia="Calibri" w:hAnsi="Calibri" w:cs="Calibri"/>
                <w:sz w:val="18"/>
                <w:szCs w:val="18"/>
              </w:rPr>
              <w:t>AJCC staging edition may differ across cohorts and collection years, risking silent stage mismatches when merging</w:t>
            </w:r>
          </w:p>
        </w:tc>
        <w:tc>
          <w:tcPr>
            <w:tcW w:w="59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B59D98" w14:textId="77777777" w:rsidR="00E932E3" w:rsidRDefault="00000000">
            <w:r>
              <w:rPr>
                <w:rFonts w:ascii="Calibri" w:eastAsia="Calibri" w:hAnsi="Calibri" w:cs="Calibri"/>
                <w:sz w:val="18"/>
                <w:szCs w:val="18"/>
              </w:rPr>
              <w:t>The AJCC edition associated with each cohort's clinical metadata [8] is recorded explicitly during data acquisition (Section 2.2.1); where a cohort's documentation does not specify edition, conservative re-mapping to AJCC 8th edition stage groups (collapsing sub-stages, e.g., IIIA/IIIB/IIIC → III) is applied uniformly before any cross-cohort stage-stratified analysis.</w:t>
            </w:r>
          </w:p>
        </w:tc>
      </w:tr>
      <w:tr w:rsidR="00E932E3" w14:paraId="06B881DB" w14:textId="77777777">
        <w:tc>
          <w:tcPr>
            <w:tcW w:w="5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12468540" w14:textId="77777777" w:rsidR="00E932E3" w:rsidRDefault="00000000">
            <w:r>
              <w:rPr>
                <w:rFonts w:ascii="Calibri" w:eastAsia="Calibri" w:hAnsi="Calibri" w:cs="Calibri"/>
                <w:sz w:val="18"/>
                <w:szCs w:val="18"/>
              </w:rPr>
              <w:t>8</w:t>
            </w:r>
          </w:p>
        </w:tc>
        <w:tc>
          <w:tcPr>
            <w:tcW w:w="2526"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6729413" w14:textId="77777777" w:rsidR="00E932E3" w:rsidRDefault="00000000">
            <w:r>
              <w:rPr>
                <w:rFonts w:ascii="Calibri" w:eastAsia="Calibri" w:hAnsi="Calibri" w:cs="Calibri"/>
                <w:sz w:val="18"/>
                <w:szCs w:val="18"/>
              </w:rPr>
              <w:t>Public GitHub/code-release plans require co-author review and a settled licence before submission</w:t>
            </w:r>
          </w:p>
        </w:tc>
        <w:tc>
          <w:tcPr>
            <w:tcW w:w="595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4A77175" w14:textId="77777777" w:rsidR="00E932E3" w:rsidRDefault="00000000">
            <w:r>
              <w:rPr>
                <w:rFonts w:ascii="Calibri" w:eastAsia="Calibri" w:hAnsi="Calibri" w:cs="Calibri"/>
                <w:sz w:val="18"/>
                <w:szCs w:val="18"/>
              </w:rPr>
              <w:t>MIT licence is adopted for all released code (consistent with the existing PyImpetus-SHAP repository precedent); the repository is shared with co-author Sultan Alhayyani for review prior to being made public, and this step is scheduled before, not during, manuscript submission.</w:t>
            </w:r>
          </w:p>
        </w:tc>
      </w:tr>
    </w:tbl>
    <w:p w14:paraId="6F5A54B2" w14:textId="77777777" w:rsidR="00E932E3" w:rsidRDefault="00000000">
      <w:pPr>
        <w:pStyle w:val="Heading2"/>
        <w:spacing w:before="260" w:after="100"/>
      </w:pPr>
      <w:r>
        <w:rPr>
          <w:rFonts w:ascii="Calibri" w:eastAsia="Calibri" w:hAnsi="Calibri" w:cs="Calibri"/>
          <w:i/>
          <w:iCs/>
          <w:color w:val="111111"/>
          <w:sz w:val="24"/>
          <w:szCs w:val="24"/>
        </w:rPr>
        <w:t>2.10 Audited Study Limitations and Their Doability Status</w:t>
      </w:r>
    </w:p>
    <w:p w14:paraId="77701BF5" w14:textId="77777777" w:rsidR="00E932E3" w:rsidRDefault="00000000">
      <w:pPr>
        <w:spacing w:after="160"/>
        <w:jc w:val="both"/>
      </w:pPr>
      <w:r>
        <w:rPr>
          <w:rFonts w:ascii="Calibri" w:eastAsia="Calibri" w:hAnsi="Calibri" w:cs="Calibri"/>
        </w:rPr>
        <w:t>Every limitation of this study was audited against a single explicit test before being accepted as a limitation: is it actually fixable within the scope of a computational study using public data? A limitation is only legitimately declared as such if the answer is no, or if the doable portion has already been performed and only an inherent residual remains. This standard prevents the use of a limitations statement as a shield for avoidable gaps. Table 7 records the outcome of this audit. Two limitations that an earlier draft would have simply declared — external stage-stratified validation, and biological corroboration of prioritised genes — were found to be partly doable; the doable portions have been incorporated into the methodology above (Sections 2.2.2 and 2.6.1 respectively), and only the genuinely unavoidable residuals are carried forward to the manuscript's Limitations section. This audited inventory is provided here so that the eventual Limitations and Future Work sections report only constraints that survive the doability test, paired where appropriate with the future work that would resolve them.</w:t>
      </w:r>
    </w:p>
    <w:p w14:paraId="22ED8A68" w14:textId="77777777" w:rsidR="00E932E3" w:rsidRDefault="00000000">
      <w:pPr>
        <w:spacing w:before="100" w:after="80"/>
        <w:jc w:val="both"/>
      </w:pPr>
      <w:r>
        <w:rPr>
          <w:rFonts w:ascii="Calibri" w:eastAsia="Calibri" w:hAnsi="Calibri" w:cs="Calibri"/>
          <w:sz w:val="20"/>
          <w:szCs w:val="20"/>
        </w:rPr>
        <w:t>Table 7. Audited inventory of study limitations, each tested for whether it is fixable within scope. Only genuinely unavoidable constraints, or inherent residuals remaining after the doable portion has been performed, are carried to the manuscript's Limitations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463"/>
        <w:gridCol w:w="3463"/>
      </w:tblGrid>
      <w:tr w:rsidR="00E932E3" w14:paraId="04D99FD6" w14:textId="77777777">
        <w:tc>
          <w:tcPr>
            <w:tcW w:w="2100"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0DE369C3" w14:textId="77777777" w:rsidR="00E932E3" w:rsidRDefault="00000000">
            <w:pPr>
              <w:jc w:val="center"/>
            </w:pPr>
            <w:r>
              <w:rPr>
                <w:rFonts w:ascii="Calibri" w:eastAsia="Calibri" w:hAnsi="Calibri" w:cs="Calibri"/>
                <w:b/>
                <w:bCs/>
                <w:sz w:val="18"/>
                <w:szCs w:val="18"/>
              </w:rPr>
              <w:t>Limitation</w:t>
            </w:r>
          </w:p>
        </w:tc>
        <w:tc>
          <w:tcPr>
            <w:tcW w:w="346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685D173C" w14:textId="77777777" w:rsidR="00E932E3" w:rsidRDefault="00000000">
            <w:pPr>
              <w:jc w:val="center"/>
            </w:pPr>
            <w:r>
              <w:rPr>
                <w:rFonts w:ascii="Calibri" w:eastAsia="Calibri" w:hAnsi="Calibri" w:cs="Calibri"/>
                <w:b/>
                <w:bCs/>
                <w:sz w:val="18"/>
                <w:szCs w:val="18"/>
              </w:rPr>
              <w:t>Doability Assessment</w:t>
            </w:r>
          </w:p>
        </w:tc>
        <w:tc>
          <w:tcPr>
            <w:tcW w:w="3463" w:type="dxa"/>
            <w:tcBorders>
              <w:top w:val="single" w:sz="1" w:space="0" w:color="1F5C99"/>
              <w:left w:val="single" w:sz="1" w:space="0" w:color="1F5C99"/>
              <w:bottom w:val="single" w:sz="1" w:space="0" w:color="1F5C99"/>
              <w:right w:val="single" w:sz="1" w:space="0" w:color="1F5C99"/>
            </w:tcBorders>
            <w:shd w:val="clear" w:color="auto" w:fill="D0E4F5"/>
            <w:tcMar>
              <w:top w:w="80" w:type="dxa"/>
              <w:left w:w="110" w:type="dxa"/>
              <w:bottom w:w="80" w:type="dxa"/>
              <w:right w:w="110" w:type="dxa"/>
            </w:tcMar>
          </w:tcPr>
          <w:p w14:paraId="565137E1" w14:textId="77777777" w:rsidR="00E932E3" w:rsidRDefault="00000000">
            <w:pPr>
              <w:jc w:val="center"/>
            </w:pPr>
            <w:r>
              <w:rPr>
                <w:rFonts w:ascii="Calibri" w:eastAsia="Calibri" w:hAnsi="Calibri" w:cs="Calibri"/>
                <w:b/>
                <w:bCs/>
                <w:sz w:val="18"/>
                <w:szCs w:val="18"/>
              </w:rPr>
              <w:t>Action Taken / Status</w:t>
            </w:r>
          </w:p>
        </w:tc>
      </w:tr>
      <w:tr w:rsidR="00E932E3" w14:paraId="0177D55D"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BD59A34" w14:textId="77777777" w:rsidR="00E932E3" w:rsidRDefault="00000000">
            <w:r>
              <w:rPr>
                <w:rFonts w:ascii="Calibri" w:eastAsia="Calibri" w:hAnsi="Calibri" w:cs="Calibri"/>
                <w:sz w:val="18"/>
                <w:szCs w:val="18"/>
              </w:rPr>
              <w:t>External validation of the stage-stratified attribution</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897EFA" w14:textId="77777777" w:rsidR="00E932E3" w:rsidRDefault="00000000">
            <w:r>
              <w:rPr>
                <w:rFonts w:ascii="Calibri" w:eastAsia="Calibri" w:hAnsi="Calibri" w:cs="Calibri"/>
                <w:sz w:val="18"/>
                <w:szCs w:val="18"/>
              </w:rPr>
              <w:t>PARTLY DOABLE — GSE39582 carries full TNM staging, so a cross-platform stage-stratified external validation is achievable; only same-platform (RNA-seq) stage validation is impossible because no such public cohort exists.</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1D91E9B" w14:textId="77777777" w:rsidR="00E932E3" w:rsidRDefault="00000000">
            <w:r>
              <w:rPr>
                <w:rFonts w:ascii="Calibri" w:eastAsia="Calibri" w:hAnsi="Calibri" w:cs="Calibri"/>
                <w:sz w:val="18"/>
                <w:szCs w:val="18"/>
              </w:rPr>
              <w:t>Doable part performed: stage-stratified signature transferred to and validated on GSE39582 (Section 2.2.2, Tier 2). Residual declared: external stage validation is cross-platform, not same-platform.</w:t>
            </w:r>
          </w:p>
        </w:tc>
      </w:tr>
      <w:tr w:rsidR="00E932E3" w14:paraId="0003FF40"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D40F4FA" w14:textId="77777777" w:rsidR="00E932E3" w:rsidRDefault="00000000">
            <w:r>
              <w:rPr>
                <w:rFonts w:ascii="Calibri" w:eastAsia="Calibri" w:hAnsi="Calibri" w:cs="Calibri"/>
                <w:sz w:val="18"/>
                <w:szCs w:val="18"/>
              </w:rPr>
              <w:t>Absence of prospective wet-lab validation of prioritised genes</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70030164" w14:textId="77777777" w:rsidR="00E932E3" w:rsidRDefault="00000000">
            <w:r>
              <w:rPr>
                <w:rFonts w:ascii="Calibri" w:eastAsia="Calibri" w:hAnsi="Calibri" w:cs="Calibri"/>
                <w:sz w:val="18"/>
                <w:szCs w:val="18"/>
              </w:rPr>
              <w:t>PARTLY DOABLE — prospective qRT-PCR/IHC is outside computational scope, but two computational corroboration steps are doable: cross-referencing against published experimental evidence, and confirming expression direction in an independent transcriptomic cohort.</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E59399D" w14:textId="77777777" w:rsidR="00E932E3" w:rsidRDefault="00000000">
            <w:r>
              <w:rPr>
                <w:rFonts w:ascii="Calibri" w:eastAsia="Calibri" w:hAnsi="Calibri" w:cs="Calibri"/>
                <w:sz w:val="18"/>
                <w:szCs w:val="18"/>
              </w:rPr>
              <w:t xml:space="preserve">Doable parts performed: literature-based corroboration (Section 2.6.1) and independent-cohort expression-direction confirmation (Section 2.6.2). Residual declared honestly: both remain within or borrow from existing evidence and are not orthogonal wet-lab validation of this study's specific findings; prospective experimental </w:t>
            </w:r>
            <w:r>
              <w:rPr>
                <w:rFonts w:ascii="Calibri" w:eastAsia="Calibri" w:hAnsi="Calibri" w:cs="Calibri"/>
                <w:sz w:val="18"/>
                <w:szCs w:val="18"/>
              </w:rPr>
              <w:lastRenderedPageBreak/>
              <w:t>validation flagged as future work.</w:t>
            </w:r>
          </w:p>
        </w:tc>
      </w:tr>
      <w:tr w:rsidR="00E932E3" w14:paraId="24CB9164"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63EB1B" w14:textId="77777777" w:rsidR="00E932E3" w:rsidRDefault="00000000">
            <w:r>
              <w:rPr>
                <w:rFonts w:ascii="Calibri" w:eastAsia="Calibri" w:hAnsi="Calibri" w:cs="Calibri"/>
                <w:sz w:val="18"/>
                <w:szCs w:val="18"/>
              </w:rPr>
              <w:lastRenderedPageBreak/>
              <w:t>No Saudi transcriptomic cohort for training or validation</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83F2EC4" w14:textId="77777777" w:rsidR="00E932E3" w:rsidRDefault="00000000">
            <w:r>
              <w:rPr>
                <w:rFonts w:ascii="Calibri" w:eastAsia="Calibri" w:hAnsi="Calibri" w:cs="Calibri"/>
                <w:sz w:val="18"/>
                <w:szCs w:val="18"/>
              </w:rPr>
              <w:t>TRULY UNAVOIDABLE — no public Saudi CRC transcriptomic dataset exists; generating one requires wet-lab work outside scope.</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F21991" w14:textId="77777777" w:rsidR="00E932E3" w:rsidRDefault="00000000">
            <w:r>
              <w:rPr>
                <w:rFonts w:ascii="Calibri" w:eastAsia="Calibri" w:hAnsi="Calibri" w:cs="Calibri"/>
                <w:sz w:val="18"/>
                <w:szCs w:val="18"/>
              </w:rPr>
              <w:t>Doable part performed: pathway-level contextualisation against published Saudi mutation data (Section 2.6). Residual declared as a genuine, unavoidable limitation.</w:t>
            </w:r>
          </w:p>
        </w:tc>
      </w:tr>
      <w:tr w:rsidR="00E932E3" w14:paraId="17FEEACD"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0956845" w14:textId="77777777" w:rsidR="00E932E3" w:rsidRDefault="00000000">
            <w:r>
              <w:rPr>
                <w:rFonts w:ascii="Calibri" w:eastAsia="Calibri" w:hAnsi="Calibri" w:cs="Calibri"/>
                <w:sz w:val="18"/>
                <w:szCs w:val="18"/>
              </w:rPr>
              <w:t>Single primary training cohort (TCGA-COAD only)</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ECDE8B8" w14:textId="77777777" w:rsidR="00E932E3" w:rsidRDefault="00000000">
            <w:r>
              <w:rPr>
                <w:rFonts w:ascii="Calibri" w:eastAsia="Calibri" w:hAnsi="Calibri" w:cs="Calibri"/>
                <w:sz w:val="18"/>
                <w:szCs w:val="18"/>
              </w:rPr>
              <w:t>EFFECTIVELY UNAVOIDABLE — candidate RNA-seq augmentation cohorts identified were too small or lacked stage labels; forcing them in would introduce batch artefacts without meaningful gain.</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C65C9E3" w14:textId="77777777" w:rsidR="00E932E3" w:rsidRDefault="00000000">
            <w:r>
              <w:rPr>
                <w:rFonts w:ascii="Calibri" w:eastAsia="Calibri" w:hAnsi="Calibri" w:cs="Calibri"/>
                <w:sz w:val="18"/>
                <w:szCs w:val="18"/>
              </w:rPr>
              <w:t>Declared explicitly with justification that available RNA-seq cohorts were inadequate for augmentation; mitigated by rigorous internal nested CV and multi-tier external validation.</w:t>
            </w:r>
          </w:p>
        </w:tc>
      </w:tr>
      <w:tr w:rsidR="00E932E3" w14:paraId="3FC0B47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826C27" w14:textId="77777777" w:rsidR="00E932E3" w:rsidRDefault="00000000">
            <w:r>
              <w:rPr>
                <w:rFonts w:ascii="Calibri" w:eastAsia="Calibri" w:hAnsi="Calibri" w:cs="Calibri"/>
                <w:sz w:val="18"/>
                <w:szCs w:val="18"/>
              </w:rPr>
              <w:t>Small Stage I subgroup (n=45)</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B7BD80E" w14:textId="77777777" w:rsidR="00E932E3" w:rsidRDefault="00000000">
            <w:r>
              <w:rPr>
                <w:rFonts w:ascii="Calibri" w:eastAsia="Calibri" w:hAnsi="Calibri" w:cs="Calibri"/>
                <w:sz w:val="18"/>
                <w:szCs w:val="18"/>
              </w:rPr>
              <w:t>PARTLY DOABLE — the doable safeguards (no per-subgroup training, bootstrap stability check, early-vs-late fallback) are implemented; residual small-n is inherent.</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1C5A4B" w14:textId="77777777" w:rsidR="00E932E3" w:rsidRDefault="00000000">
            <w:r>
              <w:rPr>
                <w:rFonts w:ascii="Calibri" w:eastAsia="Calibri" w:hAnsi="Calibri" w:cs="Calibri"/>
                <w:sz w:val="18"/>
                <w:szCs w:val="18"/>
              </w:rPr>
              <w:t>Doable parts performed (Sections 2.5.3–2.5.4). Residual inherent small-n declared.</w:t>
            </w:r>
          </w:p>
        </w:tc>
      </w:tr>
      <w:tr w:rsidR="00E932E3" w14:paraId="5C98F92F"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5ED8A63A" w14:textId="77777777" w:rsidR="00E932E3" w:rsidRDefault="00000000">
            <w:r>
              <w:rPr>
                <w:rFonts w:ascii="Calibri" w:eastAsia="Calibri" w:hAnsi="Calibri" w:cs="Calibri"/>
                <w:sz w:val="18"/>
                <w:szCs w:val="18"/>
              </w:rPr>
              <w:t>Cross-sectional design; no longitudinal expression trajectories</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386DED37" w14:textId="77777777" w:rsidR="00E932E3" w:rsidRDefault="00000000">
            <w:r>
              <w:rPr>
                <w:rFonts w:ascii="Calibri" w:eastAsia="Calibri" w:hAnsi="Calibri" w:cs="Calibri"/>
                <w:sz w:val="18"/>
                <w:szCs w:val="18"/>
              </w:rPr>
              <w:t>TRULY UNAVOIDABLE — TCGA and the validation cohorts are cross-sectional by construction.</w:t>
            </w:r>
          </w:p>
        </w:tc>
        <w:tc>
          <w:tcPr>
            <w:tcW w:w="3463" w:type="dxa"/>
            <w:tcBorders>
              <w:top w:val="single" w:sz="1" w:space="0" w:color="AAAAAA"/>
              <w:left w:val="single" w:sz="1" w:space="0" w:color="AAAAAA"/>
              <w:bottom w:val="single" w:sz="1" w:space="0" w:color="AAAAAA"/>
              <w:right w:val="single" w:sz="1" w:space="0" w:color="AAAAAA"/>
            </w:tcBorders>
            <w:shd w:val="clear" w:color="auto" w:fill="F5FAFF"/>
            <w:tcMar>
              <w:top w:w="70" w:type="dxa"/>
              <w:left w:w="100" w:type="dxa"/>
              <w:bottom w:w="70" w:type="dxa"/>
              <w:right w:w="100" w:type="dxa"/>
            </w:tcMar>
          </w:tcPr>
          <w:p w14:paraId="6C323144" w14:textId="77777777" w:rsidR="00E932E3" w:rsidRDefault="00000000">
            <w:r>
              <w:rPr>
                <w:rFonts w:ascii="Calibri" w:eastAsia="Calibri" w:hAnsi="Calibri" w:cs="Calibri"/>
                <w:sz w:val="18"/>
                <w:szCs w:val="18"/>
              </w:rPr>
              <w:t>Declared as a genuine limitation; longitudinal validation noted as future work.</w:t>
            </w:r>
          </w:p>
        </w:tc>
      </w:tr>
      <w:tr w:rsidR="00E932E3" w14:paraId="16D4B09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39C6719" w14:textId="77777777" w:rsidR="00E932E3" w:rsidRDefault="00000000">
            <w:r>
              <w:rPr>
                <w:rFonts w:ascii="Calibri" w:eastAsia="Calibri" w:hAnsi="Calibri" w:cs="Calibri"/>
                <w:sz w:val="18"/>
                <w:szCs w:val="18"/>
              </w:rPr>
              <w:t>SHAP attribution reflects association, not proven biological causation</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22C20EB" w14:textId="77777777" w:rsidR="00E932E3" w:rsidRDefault="00000000">
            <w:r>
              <w:rPr>
                <w:rFonts w:ascii="Calibri" w:eastAsia="Calibri" w:hAnsi="Calibri" w:cs="Calibri"/>
                <w:sz w:val="18"/>
                <w:szCs w:val="18"/>
              </w:rPr>
              <w:t>TRULY UNAVOIDABLE — a property of attribution methods; no computational step converts attribution into causal proof.</w:t>
            </w:r>
          </w:p>
        </w:tc>
        <w:tc>
          <w:tcPr>
            <w:tcW w:w="346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1F7B483" w14:textId="77777777" w:rsidR="00E932E3" w:rsidRDefault="00000000">
            <w:r>
              <w:rPr>
                <w:rFonts w:ascii="Calibri" w:eastAsia="Calibri" w:hAnsi="Calibri" w:cs="Calibri"/>
                <w:sz w:val="18"/>
                <w:szCs w:val="18"/>
              </w:rPr>
              <w:t>Declared honestly to avoid mechanistic overclaim; causal interpretation explicitly disclaimed.</w:t>
            </w:r>
          </w:p>
        </w:tc>
      </w:tr>
    </w:tbl>
    <w:p w14:paraId="7887C176" w14:textId="77777777" w:rsidR="00E932E3" w:rsidRDefault="00000000">
      <w:pPr>
        <w:pStyle w:val="Heading1"/>
        <w:spacing w:before="280" w:after="160"/>
      </w:pPr>
      <w:r>
        <w:rPr>
          <w:rFonts w:ascii="Times New Roman" w:eastAsia="Times New Roman" w:hAnsi="Times New Roman" w:cs="Times New Roman"/>
        </w:rPr>
        <w:t>3. Results</w:t>
      </w:r>
    </w:p>
    <w:p w14:paraId="0B15C195" w14:textId="77777777" w:rsidR="00E932E3" w:rsidRDefault="00000000">
      <w:pPr>
        <w:pStyle w:val="Heading2"/>
        <w:spacing w:before="220" w:after="120"/>
      </w:pPr>
      <w:r>
        <w:rPr>
          <w:rFonts w:ascii="Times New Roman" w:eastAsia="Times New Roman" w:hAnsi="Times New Roman" w:cs="Times New Roman"/>
          <w:sz w:val="24"/>
          <w:szCs w:val="24"/>
        </w:rPr>
        <w:t>3.1. Differential Expression Reveals Extensive, Reproducible Transcriptomic Reprogramming</w:t>
      </w:r>
    </w:p>
    <w:p w14:paraId="5CB03264" w14:textId="77777777" w:rsidR="00E932E3" w:rsidRDefault="00000000">
      <w:pPr>
        <w:spacing w:after="160"/>
        <w:jc w:val="both"/>
      </w:pPr>
      <w:r>
        <w:rPr>
          <w:rFonts w:eastAsia="Times New Roman" w:cs="Times New Roman"/>
        </w:rPr>
        <w:t>Canonical limma analysis [24,25] of the discovery cohort identified 4,810 differentially expressed genes (DEGs; 1,567 up-regulated, 3,243 down-regulated) at FDR &lt; 0.05 and |log2FC| ≥ 1 (Figure 3). An independent Python re-implementation reproduced this set almost exactly (Jaccard 0.995; Spearman correlation of log2FC = 1.000; 100% direction agreement across all contrasts; Table S1), so the differential-expression layer is implementation-independent. Comparable DEG counts at every AJCC stage (4,682–4,979; Table S1) indicate that substantial reprogramming is established already at Stage I rather than accruing gradually, motivating the stage-resolved interpretation that follows.</w:t>
      </w:r>
    </w:p>
    <w:p w14:paraId="6E8A082F" w14:textId="77777777" w:rsidR="00E932E3" w:rsidRDefault="00000000">
      <w:pPr>
        <w:spacing w:before="200" w:after="80"/>
        <w:jc w:val="center"/>
      </w:pPr>
      <w:r>
        <w:rPr>
          <w:noProof/>
        </w:rPr>
        <w:lastRenderedPageBreak/>
        <w:drawing>
          <wp:inline distT="0" distB="0" distL="0" distR="0" wp14:anchorId="5AC5FBDA" wp14:editId="785BB262">
            <wp:extent cx="5669280" cy="5984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mbed.png"/>
                    <pic:cNvPicPr/>
                  </pic:nvPicPr>
                  <pic:blipFill>
                    <a:blip r:embed="rId7"/>
                    <a:stretch>
                      <a:fillRect/>
                    </a:stretch>
                  </pic:blipFill>
                  <pic:spPr>
                    <a:xfrm>
                      <a:off x="0" y="0"/>
                      <a:ext cx="5669280" cy="5984634"/>
                    </a:xfrm>
                    <a:prstGeom prst="rect">
                      <a:avLst/>
                    </a:prstGeom>
                  </pic:spPr>
                </pic:pic>
              </a:graphicData>
            </a:graphic>
          </wp:inline>
        </w:drawing>
      </w:r>
    </w:p>
    <w:p w14:paraId="4068D575" w14:textId="77777777" w:rsidR="00E932E3" w:rsidRDefault="00000000">
      <w:pPr>
        <w:spacing w:after="240"/>
        <w:jc w:val="both"/>
      </w:pPr>
      <w:r>
        <w:rPr>
          <w:b/>
          <w:sz w:val="18"/>
        </w:rPr>
        <w:t xml:space="preserve">Figure 2. </w:t>
      </w:r>
      <w:r>
        <w:rPr>
          <w:sz w:val="18"/>
        </w:rPr>
        <w:t>Quality-control overview of the discovery cohort: library-size and expression-distribution diagnostics and the sample-level structure retained after filtering.</w:t>
      </w:r>
    </w:p>
    <w:p w14:paraId="10D1B004" w14:textId="77777777" w:rsidR="00E932E3" w:rsidRDefault="00000000">
      <w:pPr>
        <w:spacing w:before="200" w:after="80"/>
        <w:jc w:val="center"/>
      </w:pPr>
      <w:r>
        <w:rPr>
          <w:noProof/>
        </w:rPr>
        <w:lastRenderedPageBreak/>
        <w:drawing>
          <wp:inline distT="0" distB="0" distL="0" distR="0" wp14:anchorId="70D751C9" wp14:editId="0F697359">
            <wp:extent cx="5669280" cy="4648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mbed.png"/>
                    <pic:cNvPicPr/>
                  </pic:nvPicPr>
                  <pic:blipFill>
                    <a:blip r:embed="rId8"/>
                    <a:stretch>
                      <a:fillRect/>
                    </a:stretch>
                  </pic:blipFill>
                  <pic:spPr>
                    <a:xfrm>
                      <a:off x="0" y="0"/>
                      <a:ext cx="5669280" cy="4648810"/>
                    </a:xfrm>
                    <a:prstGeom prst="rect">
                      <a:avLst/>
                    </a:prstGeom>
                  </pic:spPr>
                </pic:pic>
              </a:graphicData>
            </a:graphic>
          </wp:inline>
        </w:drawing>
      </w:r>
    </w:p>
    <w:p w14:paraId="575A3A01" w14:textId="77777777" w:rsidR="00E932E3" w:rsidRDefault="00000000">
      <w:pPr>
        <w:spacing w:after="240"/>
        <w:jc w:val="both"/>
      </w:pPr>
      <w:r>
        <w:rPr>
          <w:b/>
          <w:sz w:val="18"/>
        </w:rPr>
        <w:t xml:space="preserve">Figure 3. </w:t>
      </w:r>
      <w:r>
        <w:rPr>
          <w:sz w:val="18"/>
        </w:rPr>
        <w:t>Differential-expression landscape for the tumour-versus-normal contrast; the volcano panel plots log2 fold-change against statistical significance, with the panel genes highlighted.</w:t>
      </w:r>
    </w:p>
    <w:p w14:paraId="3B702D2D" w14:textId="77777777" w:rsidR="00E932E3" w:rsidRDefault="00000000">
      <w:pPr>
        <w:pStyle w:val="Heading2"/>
        <w:spacing w:before="220" w:after="120"/>
      </w:pPr>
      <w:r>
        <w:rPr>
          <w:rFonts w:ascii="Times New Roman" w:eastAsia="Times New Roman" w:hAnsi="Times New Roman" w:cs="Times New Roman"/>
          <w:sz w:val="24"/>
          <w:szCs w:val="24"/>
        </w:rPr>
        <w:t>3.2. A Compact Ten-Gene Panel Classifies Tumour Versus Normal, Robustly to Class Imbalance</w:t>
      </w:r>
    </w:p>
    <w:p w14:paraId="5981F801" w14:textId="77777777" w:rsidR="00E932E3" w:rsidRDefault="00000000">
      <w:pPr>
        <w:spacing w:after="160"/>
        <w:jc w:val="both"/>
      </w:pPr>
      <w:r>
        <w:rPr>
          <w:rFonts w:eastAsia="Times New Roman" w:cs="Times New Roman"/>
        </w:rPr>
        <w:t>Cross-validated stability selection converged on a ten-gene panel (CDH3, OTOP2, DHRS7C, AADACL2, KRT80, ETV4, ESM1, TMEFF2, LGI1, KHDRBS2; seven genes recurring in all five folds). Six classifiers were benchmarked under a leakage-free protocol with 1,000-iteration bootstrap confidence intervals (CIs) (Figure 4). The Elastic Net, Random Forest and LightGBM each reached an internal AUC of 1.000 (95% CI 1.000–1.000); because all leading models were statistically indistinguishable by the DeLong test (pairwise p &gt; 0.05), the Elastic Net was carried forward as the most parsimonious and interpretable member of the tied set.</w:t>
      </w:r>
    </w:p>
    <w:p w14:paraId="6A142457" w14:textId="77777777" w:rsidR="00E932E3" w:rsidRDefault="00000000">
      <w:pPr>
        <w:spacing w:before="200" w:after="80"/>
        <w:jc w:val="center"/>
      </w:pPr>
      <w:r>
        <w:rPr>
          <w:noProof/>
        </w:rPr>
        <w:lastRenderedPageBreak/>
        <w:drawing>
          <wp:inline distT="0" distB="0" distL="0" distR="0" wp14:anchorId="5B7AE363" wp14:editId="147246CD">
            <wp:extent cx="5669280" cy="4698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mbed.png"/>
                    <pic:cNvPicPr/>
                  </pic:nvPicPr>
                  <pic:blipFill>
                    <a:blip r:embed="rId9"/>
                    <a:stretch>
                      <a:fillRect/>
                    </a:stretch>
                  </pic:blipFill>
                  <pic:spPr>
                    <a:xfrm>
                      <a:off x="0" y="0"/>
                      <a:ext cx="5669280" cy="4698416"/>
                    </a:xfrm>
                    <a:prstGeom prst="rect">
                      <a:avLst/>
                    </a:prstGeom>
                  </pic:spPr>
                </pic:pic>
              </a:graphicData>
            </a:graphic>
          </wp:inline>
        </w:drawing>
      </w:r>
    </w:p>
    <w:p w14:paraId="21C2FF9D" w14:textId="77777777" w:rsidR="00E932E3" w:rsidRDefault="00000000">
      <w:pPr>
        <w:spacing w:after="240"/>
        <w:jc w:val="both"/>
      </w:pPr>
      <w:r>
        <w:rPr>
          <w:b/>
          <w:sz w:val="18"/>
        </w:rPr>
        <w:t xml:space="preserve">Figure 4. </w:t>
      </w:r>
      <w:r>
        <w:rPr>
          <w:sz w:val="18"/>
        </w:rPr>
        <w:t>Cross-validated performance of the six classifiers across discrimination and imbalance-robust metrics, with 1,000-iteration bootstrap confidence intervals shown as error bars; weighted and unweighted variants are displayed.</w:t>
      </w:r>
    </w:p>
    <w:p w14:paraId="50D4F3FD" w14:textId="77777777" w:rsidR="00E932E3" w:rsidRDefault="00000000">
      <w:pPr>
        <w:spacing w:after="160"/>
        <w:jc w:val="both"/>
      </w:pPr>
      <w:r>
        <w:rPr>
          <w:rFonts w:eastAsia="Times New Roman" w:cs="Times New Roman"/>
        </w:rPr>
        <w:t xml:space="preserve">Because the cohort is imbalanced (286 tumour versus 41 normal, ≈7:1), a dedicated analysis established that this imbalance did not distort model behaviour — a question of sufficient importance that it was tested directly rather than assumed (Table 1). Three lines of evidence converge. </w:t>
      </w:r>
      <w:r>
        <w:rPr>
          <w:rFonts w:eastAsia="Times New Roman" w:cs="Times New Roman"/>
          <w:b/>
          <w:bCs/>
        </w:rPr>
        <w:t>First</w:t>
      </w:r>
      <w:r>
        <w:rPr>
          <w:rFonts w:eastAsia="Times New Roman" w:cs="Times New Roman"/>
        </w:rPr>
        <w:t xml:space="preserve">, the imbalance-robust area under the precision–recall curve (AUPRC) remained at or near 1.000 for every leading model, demonstrating that performance was not an artefact of the majority class. </w:t>
      </w:r>
      <w:r>
        <w:rPr>
          <w:rFonts w:eastAsia="Times New Roman" w:cs="Times New Roman"/>
          <w:b/>
          <w:bCs/>
        </w:rPr>
        <w:t>Second</w:t>
      </w:r>
      <w:r>
        <w:rPr>
          <w:rFonts w:eastAsia="Times New Roman" w:cs="Times New Roman"/>
        </w:rPr>
        <w:t xml:space="preserve">, inverse-frequency class weighting produced no material change in any metric (for the Elastic Net, Matthews correlation coefficient [MCC] 1.000 unweighted versus 0.988 weighted; balanced accuracy 1.000 versus 0.998), indicating the decision boundary was already well calibrated to both classes. </w:t>
      </w:r>
      <w:r>
        <w:rPr>
          <w:rFonts w:eastAsia="Times New Roman" w:cs="Times New Roman"/>
          <w:b/>
          <w:bCs/>
        </w:rPr>
        <w:t>Third</w:t>
      </w:r>
      <w:r>
        <w:rPr>
          <w:rFonts w:eastAsia="Times New Roman" w:cs="Times New Roman"/>
        </w:rPr>
        <w:t>, synthetic minority oversampling (SMOTE) was deliberately avoided: interpolation within a high-dimensional expression space risks generating biologically implausible profiles and cross-validation leakage, and the preceding two results showed it to be unnecessary. The panel therefore classifies reliably on both classes rather than defaulting to the majority.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1450"/>
        <w:gridCol w:w="1550"/>
        <w:gridCol w:w="1550"/>
        <w:gridCol w:w="2160"/>
      </w:tblGrid>
      <w:tr w:rsidR="00E932E3" w14:paraId="3D69C0AC" w14:textId="77777777">
        <w:trPr>
          <w:tblHeader/>
        </w:trPr>
        <w:tc>
          <w:tcPr>
            <w:tcW w:w="20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14A11578" w14:textId="77777777" w:rsidR="00E932E3" w:rsidRDefault="00000000">
            <w:pPr>
              <w:spacing w:after="0" w:line="240" w:lineRule="auto"/>
              <w:jc w:val="center"/>
            </w:pPr>
            <w:r>
              <w:rPr>
                <w:rFonts w:eastAsia="Times New Roman" w:cs="Times New Roman"/>
                <w:b/>
                <w:bCs/>
                <w:sz w:val="19"/>
                <w:szCs w:val="19"/>
              </w:rPr>
              <w:t>Model (variant)</w:t>
            </w:r>
          </w:p>
        </w:tc>
        <w:tc>
          <w:tcPr>
            <w:tcW w:w="14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02C146EF" w14:textId="77777777" w:rsidR="00E932E3" w:rsidRDefault="00000000">
            <w:pPr>
              <w:spacing w:after="0" w:line="240" w:lineRule="auto"/>
              <w:jc w:val="center"/>
            </w:pPr>
            <w:r>
              <w:rPr>
                <w:rFonts w:eastAsia="Times New Roman" w:cs="Times New Roman"/>
                <w:b/>
                <w:bCs/>
                <w:sz w:val="19"/>
                <w:szCs w:val="19"/>
              </w:rPr>
              <w:t>AUC</w:t>
            </w:r>
          </w:p>
        </w:tc>
        <w:tc>
          <w:tcPr>
            <w:tcW w:w="15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4BCAE3FD" w14:textId="77777777" w:rsidR="00E932E3" w:rsidRDefault="00000000">
            <w:pPr>
              <w:spacing w:after="0" w:line="240" w:lineRule="auto"/>
              <w:jc w:val="center"/>
            </w:pPr>
            <w:r>
              <w:rPr>
                <w:rFonts w:eastAsia="Times New Roman" w:cs="Times New Roman"/>
                <w:b/>
                <w:bCs/>
                <w:sz w:val="19"/>
                <w:szCs w:val="19"/>
              </w:rPr>
              <w:t>AUPRC</w:t>
            </w:r>
          </w:p>
        </w:tc>
        <w:tc>
          <w:tcPr>
            <w:tcW w:w="15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41993E59" w14:textId="77777777" w:rsidR="00E932E3" w:rsidRDefault="00000000">
            <w:pPr>
              <w:spacing w:after="0" w:line="240" w:lineRule="auto"/>
              <w:jc w:val="center"/>
            </w:pPr>
            <w:r>
              <w:rPr>
                <w:rFonts w:eastAsia="Times New Roman" w:cs="Times New Roman"/>
                <w:b/>
                <w:bCs/>
                <w:sz w:val="19"/>
                <w:szCs w:val="19"/>
              </w:rPr>
              <w:t>MCC</w:t>
            </w:r>
          </w:p>
        </w:tc>
        <w:tc>
          <w:tcPr>
            <w:tcW w:w="21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2EF9BA38" w14:textId="77777777" w:rsidR="00E932E3" w:rsidRDefault="00000000">
            <w:pPr>
              <w:spacing w:after="0" w:line="240" w:lineRule="auto"/>
              <w:jc w:val="center"/>
            </w:pPr>
            <w:r>
              <w:rPr>
                <w:rFonts w:eastAsia="Times New Roman" w:cs="Times New Roman"/>
                <w:b/>
                <w:bCs/>
                <w:sz w:val="19"/>
                <w:szCs w:val="19"/>
              </w:rPr>
              <w:t>Balanced accuracy</w:t>
            </w:r>
          </w:p>
        </w:tc>
      </w:tr>
      <w:tr w:rsidR="00E932E3" w14:paraId="3AF22CF0"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D116785" w14:textId="77777777" w:rsidR="00E932E3" w:rsidRDefault="00000000">
            <w:pPr>
              <w:spacing w:after="0" w:line="240" w:lineRule="auto"/>
            </w:pPr>
            <w:r>
              <w:rPr>
                <w:rFonts w:eastAsia="Times New Roman" w:cs="Times New Roman"/>
                <w:sz w:val="19"/>
                <w:szCs w:val="19"/>
              </w:rPr>
              <w:t>Elastic Net (unweighted)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FBD1569"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3EB2A8B"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FCC08AF" w14:textId="77777777" w:rsidR="00E932E3" w:rsidRDefault="00000000">
            <w:pPr>
              <w:spacing w:after="0" w:line="240" w:lineRule="auto"/>
              <w:jc w:val="center"/>
            </w:pPr>
            <w:r>
              <w:rPr>
                <w:rFonts w:eastAsia="Times New Roman" w:cs="Times New Roman"/>
                <w:sz w:val="19"/>
                <w:szCs w:val="19"/>
              </w:rPr>
              <w:t>1.000</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1761AE2" w14:textId="77777777" w:rsidR="00E932E3" w:rsidRDefault="00000000">
            <w:pPr>
              <w:spacing w:after="0" w:line="240" w:lineRule="auto"/>
              <w:jc w:val="center"/>
            </w:pPr>
            <w:r>
              <w:rPr>
                <w:rFonts w:eastAsia="Times New Roman" w:cs="Times New Roman"/>
                <w:sz w:val="19"/>
                <w:szCs w:val="19"/>
              </w:rPr>
              <w:t>1.000</w:t>
            </w:r>
          </w:p>
        </w:tc>
      </w:tr>
      <w:tr w:rsidR="00E932E3" w14:paraId="444C4729"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7B2CF0C" w14:textId="77777777" w:rsidR="00E932E3" w:rsidRDefault="00000000">
            <w:pPr>
              <w:spacing w:after="0" w:line="240" w:lineRule="auto"/>
            </w:pPr>
            <w:r>
              <w:rPr>
                <w:rFonts w:eastAsia="Times New Roman" w:cs="Times New Roman"/>
                <w:sz w:val="19"/>
                <w:szCs w:val="19"/>
              </w:rPr>
              <w:lastRenderedPageBreak/>
              <w:t>Elastic Net (weighted)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1BDF3BA"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F3BDD7F"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6AD0A16" w14:textId="77777777" w:rsidR="00E932E3" w:rsidRDefault="00000000">
            <w:pPr>
              <w:spacing w:after="0" w:line="240" w:lineRule="auto"/>
              <w:jc w:val="center"/>
            </w:pPr>
            <w:r>
              <w:rPr>
                <w:rFonts w:eastAsia="Times New Roman" w:cs="Times New Roman"/>
                <w:sz w:val="19"/>
                <w:szCs w:val="19"/>
              </w:rPr>
              <w:t>0.988</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768A344" w14:textId="77777777" w:rsidR="00E932E3" w:rsidRDefault="00000000">
            <w:pPr>
              <w:spacing w:after="0" w:line="240" w:lineRule="auto"/>
              <w:jc w:val="center"/>
            </w:pPr>
            <w:r>
              <w:rPr>
                <w:rFonts w:eastAsia="Times New Roman" w:cs="Times New Roman"/>
                <w:sz w:val="19"/>
                <w:szCs w:val="19"/>
              </w:rPr>
              <w:t>0.998</w:t>
            </w:r>
          </w:p>
        </w:tc>
      </w:tr>
      <w:tr w:rsidR="00E932E3" w14:paraId="2CD1AA68"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D52D978" w14:textId="77777777" w:rsidR="00E932E3" w:rsidRDefault="00000000">
            <w:pPr>
              <w:spacing w:after="0" w:line="240" w:lineRule="auto"/>
            </w:pPr>
            <w:r>
              <w:rPr>
                <w:rFonts w:eastAsia="Times New Roman" w:cs="Times New Roman"/>
                <w:sz w:val="19"/>
                <w:szCs w:val="19"/>
              </w:rPr>
              <w:t>Random Forest (unweighted)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E6DA7D0"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FCB9A86"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0F3D6DB" w14:textId="77777777" w:rsidR="00E932E3" w:rsidRDefault="00000000">
            <w:pPr>
              <w:spacing w:after="0" w:line="240" w:lineRule="auto"/>
              <w:jc w:val="center"/>
            </w:pPr>
            <w:r>
              <w:rPr>
                <w:rFonts w:eastAsia="Times New Roman" w:cs="Times New Roman"/>
                <w:sz w:val="19"/>
                <w:szCs w:val="19"/>
              </w:rPr>
              <w:t>1.000</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58650AC" w14:textId="77777777" w:rsidR="00E932E3" w:rsidRDefault="00000000">
            <w:pPr>
              <w:spacing w:after="0" w:line="240" w:lineRule="auto"/>
              <w:jc w:val="center"/>
            </w:pPr>
            <w:r>
              <w:rPr>
                <w:rFonts w:eastAsia="Times New Roman" w:cs="Times New Roman"/>
                <w:sz w:val="19"/>
                <w:szCs w:val="19"/>
              </w:rPr>
              <w:t>1.000</w:t>
            </w:r>
          </w:p>
        </w:tc>
      </w:tr>
      <w:tr w:rsidR="00E932E3" w14:paraId="0E2DB3AB"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283278C" w14:textId="77777777" w:rsidR="00E932E3" w:rsidRDefault="00000000">
            <w:pPr>
              <w:spacing w:after="0" w:line="240" w:lineRule="auto"/>
            </w:pPr>
            <w:r>
              <w:rPr>
                <w:rFonts w:eastAsia="Times New Roman" w:cs="Times New Roman"/>
                <w:sz w:val="19"/>
                <w:szCs w:val="19"/>
              </w:rPr>
              <w:t>LightGBM (unweighted)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C90D3D3"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B1B436C" w14:textId="77777777" w:rsidR="00E932E3" w:rsidRDefault="00000000">
            <w:pPr>
              <w:spacing w:after="0" w:line="240" w:lineRule="auto"/>
              <w:jc w:val="center"/>
            </w:pPr>
            <w:r>
              <w:rPr>
                <w:rFonts w:eastAsia="Times New Roman" w:cs="Times New Roman"/>
                <w:sz w:val="19"/>
                <w:szCs w:val="19"/>
              </w:rPr>
              <w:t>1.000</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FF65F79" w14:textId="77777777" w:rsidR="00E932E3" w:rsidRDefault="00000000">
            <w:pPr>
              <w:spacing w:after="0" w:line="240" w:lineRule="auto"/>
              <w:jc w:val="center"/>
            </w:pPr>
            <w:r>
              <w:rPr>
                <w:rFonts w:eastAsia="Times New Roman" w:cs="Times New Roman"/>
                <w:sz w:val="19"/>
                <w:szCs w:val="19"/>
              </w:rPr>
              <w:t>1.000</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9B98B9B" w14:textId="77777777" w:rsidR="00E932E3" w:rsidRDefault="00000000">
            <w:pPr>
              <w:spacing w:after="0" w:line="240" w:lineRule="auto"/>
              <w:jc w:val="center"/>
            </w:pPr>
            <w:r>
              <w:rPr>
                <w:rFonts w:eastAsia="Times New Roman" w:cs="Times New Roman"/>
                <w:sz w:val="19"/>
                <w:szCs w:val="19"/>
              </w:rPr>
              <w:t>1.000</w:t>
            </w:r>
          </w:p>
        </w:tc>
      </w:tr>
      <w:tr w:rsidR="00E932E3" w14:paraId="79C109FD"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A52725A" w14:textId="77777777" w:rsidR="00E932E3" w:rsidRDefault="00000000">
            <w:pPr>
              <w:spacing w:after="0" w:line="240" w:lineRule="auto"/>
            </w:pPr>
            <w:r>
              <w:rPr>
                <w:rFonts w:eastAsia="Times New Roman" w:cs="Times New Roman"/>
                <w:sz w:val="19"/>
                <w:szCs w:val="19"/>
              </w:rPr>
              <w:t>XGBoost (unweighted)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7F9A843" w14:textId="77777777" w:rsidR="00E932E3" w:rsidRDefault="00000000">
            <w:pPr>
              <w:spacing w:after="0" w:line="240" w:lineRule="auto"/>
              <w:jc w:val="center"/>
            </w:pPr>
            <w:r>
              <w:rPr>
                <w:rFonts w:eastAsia="Times New Roman" w:cs="Times New Roman"/>
                <w:sz w:val="19"/>
                <w:szCs w:val="19"/>
              </w:rPr>
              <w:t>0.987</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FB8C357" w14:textId="77777777" w:rsidR="00E932E3" w:rsidRDefault="00000000">
            <w:pPr>
              <w:spacing w:after="0" w:line="240" w:lineRule="auto"/>
              <w:jc w:val="center"/>
            </w:pPr>
            <w:r>
              <w:rPr>
                <w:rFonts w:eastAsia="Times New Roman" w:cs="Times New Roman"/>
                <w:sz w:val="19"/>
                <w:szCs w:val="19"/>
              </w:rPr>
              <w:t>0.997</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E2AD8DD" w14:textId="77777777" w:rsidR="00E932E3" w:rsidRDefault="00000000">
            <w:pPr>
              <w:spacing w:after="0" w:line="240" w:lineRule="auto"/>
              <w:jc w:val="center"/>
            </w:pPr>
            <w:r>
              <w:rPr>
                <w:rFonts w:eastAsia="Times New Roman" w:cs="Times New Roman"/>
                <w:sz w:val="19"/>
                <w:szCs w:val="19"/>
              </w:rPr>
              <w:t>0.985</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CCE8494" w14:textId="77777777" w:rsidR="00E932E3" w:rsidRDefault="00000000">
            <w:pPr>
              <w:spacing w:after="0" w:line="240" w:lineRule="auto"/>
              <w:jc w:val="center"/>
            </w:pPr>
            <w:r>
              <w:rPr>
                <w:rFonts w:eastAsia="Times New Roman" w:cs="Times New Roman"/>
                <w:sz w:val="19"/>
                <w:szCs w:val="19"/>
              </w:rPr>
              <w:t>0.988</w:t>
            </w:r>
          </w:p>
        </w:tc>
      </w:tr>
      <w:tr w:rsidR="00E932E3" w14:paraId="77BEA6FA" w14:textId="77777777">
        <w:tc>
          <w:tcPr>
            <w:tcW w:w="20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DA92225" w14:textId="77777777" w:rsidR="00E932E3" w:rsidRDefault="00000000">
            <w:pPr>
              <w:spacing w:after="0" w:line="240" w:lineRule="auto"/>
            </w:pPr>
            <w:r>
              <w:rPr>
                <w:rFonts w:eastAsia="Times New Roman" w:cs="Times New Roman"/>
                <w:sz w:val="19"/>
                <w:szCs w:val="19"/>
              </w:rPr>
              <w:t>MLP (unweighted)</w:t>
            </w:r>
          </w:p>
        </w:tc>
        <w:tc>
          <w:tcPr>
            <w:tcW w:w="14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C8FF3BB" w14:textId="77777777" w:rsidR="00E932E3" w:rsidRDefault="00000000">
            <w:pPr>
              <w:spacing w:after="0" w:line="240" w:lineRule="auto"/>
              <w:jc w:val="center"/>
            </w:pPr>
            <w:r>
              <w:rPr>
                <w:rFonts w:eastAsia="Times New Roman" w:cs="Times New Roman"/>
                <w:sz w:val="19"/>
                <w:szCs w:val="19"/>
              </w:rPr>
              <w:t>0.987</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9862461" w14:textId="77777777" w:rsidR="00E932E3" w:rsidRDefault="00000000">
            <w:pPr>
              <w:spacing w:after="0" w:line="240" w:lineRule="auto"/>
              <w:jc w:val="center"/>
            </w:pPr>
            <w:r>
              <w:rPr>
                <w:rFonts w:eastAsia="Times New Roman" w:cs="Times New Roman"/>
                <w:sz w:val="19"/>
                <w:szCs w:val="19"/>
              </w:rPr>
              <w:t>0.998</w:t>
            </w:r>
          </w:p>
        </w:tc>
        <w:tc>
          <w:tcPr>
            <w:tcW w:w="15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A2E4FBD" w14:textId="77777777" w:rsidR="00E932E3" w:rsidRDefault="00000000">
            <w:pPr>
              <w:spacing w:after="0" w:line="240" w:lineRule="auto"/>
              <w:jc w:val="center"/>
            </w:pPr>
            <w:r>
              <w:rPr>
                <w:rFonts w:eastAsia="Times New Roman" w:cs="Times New Roman"/>
                <w:sz w:val="19"/>
                <w:szCs w:val="19"/>
              </w:rPr>
              <w:t>0.756</w:t>
            </w:r>
          </w:p>
        </w:tc>
        <w:tc>
          <w:tcPr>
            <w:tcW w:w="2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DB5EFD5" w14:textId="77777777" w:rsidR="00E932E3" w:rsidRDefault="00000000">
            <w:pPr>
              <w:spacing w:after="0" w:line="240" w:lineRule="auto"/>
              <w:jc w:val="center"/>
            </w:pPr>
            <w:r>
              <w:rPr>
                <w:rFonts w:eastAsia="Times New Roman" w:cs="Times New Roman"/>
                <w:sz w:val="19"/>
                <w:szCs w:val="19"/>
              </w:rPr>
              <w:t>0.942</w:t>
            </w:r>
          </w:p>
        </w:tc>
      </w:tr>
    </w:tbl>
    <w:p w14:paraId="6818B489" w14:textId="77777777" w:rsidR="00E932E3" w:rsidRDefault="00000000">
      <w:pPr>
        <w:spacing w:before="60" w:after="180" w:line="252" w:lineRule="auto"/>
        <w:jc w:val="both"/>
      </w:pPr>
      <w:r>
        <w:rPr>
          <w:rFonts w:eastAsia="Times New Roman" w:cs="Times New Roman"/>
          <w:b/>
          <w:bCs/>
          <w:sz w:val="19"/>
          <w:szCs w:val="19"/>
        </w:rPr>
        <w:t xml:space="preserve">Table 1. </w:t>
      </w:r>
      <w:r>
        <w:rPr>
          <w:rFonts w:eastAsia="Times New Roman" w:cs="Times New Roman"/>
          <w:sz w:val="19"/>
          <w:szCs w:val="19"/>
        </w:rPr>
        <w:t>Imbalance-robust performance metrics for the benchmarked classifiers, with weighted and unweighted variants of the selected model. Near-maximal AUPRC and the negligible effect of class weighting evidence that the ≈7:1 imbalance did not bias classification. Full per-model values and bootstrap CIs are given in Figure 4 and the released code.</w:t>
      </w:r>
    </w:p>
    <w:p w14:paraId="16D2E562" w14:textId="77777777" w:rsidR="00E932E3" w:rsidRDefault="00000000">
      <w:pPr>
        <w:pStyle w:val="Heading2"/>
        <w:spacing w:before="220" w:after="120"/>
      </w:pPr>
      <w:r>
        <w:rPr>
          <w:rFonts w:ascii="Times New Roman" w:eastAsia="Times New Roman" w:hAnsi="Times New Roman" w:cs="Times New Roman"/>
          <w:sz w:val="24"/>
          <w:szCs w:val="24"/>
        </w:rPr>
        <w:t>3.3. Feature-Importance Structure Shifts Measurably and Monotonically Across Stages</w:t>
      </w:r>
    </w:p>
    <w:p w14:paraId="33B68C83" w14:textId="77777777" w:rsidR="00E932E3" w:rsidRDefault="00000000">
      <w:pPr>
        <w:spacing w:after="160"/>
        <w:jc w:val="both"/>
      </w:pPr>
      <w:r>
        <w:rPr>
          <w:rFonts w:eastAsia="Times New Roman" w:cs="Times New Roman"/>
        </w:rPr>
        <w:t>Computing exact linear SHAP attributions [23] within each AJCC stage revealed that, although the panel classifies tumours at every stage, the internal ranking of feature importance reorganises as disease advances (Figure 5). Each stage-specific profile was individually stable under bootstrap resampling (mean Spearman ρ 0.86–0.95; all ρ &gt; 0.7), supporting a four-stage rather than a coarser analysis. A monotonic concordance gradient was observed: the extreme stages were least alike (Stage I versus IV, ρ = 0.661, p = 0.038), whereas adjacent late stages were highly concordant (Stage III versus IV, ρ = 0.927). Every stage profile also differed significantly from the stage-agnostic global ranking (all p &lt; 0.005), confirming that stratification recovers information a pooled model discards. The dominant shift was the ascent of ESM1 from mid-importance early to a leading late-stage position.</w:t>
      </w:r>
      <w:r>
        <w:rPr>
          <w:rFonts w:eastAsia="Times New Roman" w:cs="Times New Roman"/>
          <w:i/>
          <w:iCs/>
        </w:rPr>
      </w:r>
      <w:r>
        <w:rPr>
          <w:rFonts w:eastAsia="Times New Roman" w:cs="Times New Roman"/>
        </w:rPr>
      </w:r>
    </w:p>
    <w:p w14:paraId="7D3941FF" w14:textId="77777777" w:rsidR="00E932E3" w:rsidRDefault="00000000">
      <w:pPr>
        <w:spacing w:before="200" w:after="80"/>
        <w:jc w:val="center"/>
      </w:pPr>
      <w:r>
        <w:rPr>
          <w:noProof/>
        </w:rPr>
        <w:lastRenderedPageBreak/>
        <w:drawing>
          <wp:inline distT="0" distB="0" distL="0" distR="0" wp14:anchorId="7F12E748" wp14:editId="133FB9EF">
            <wp:extent cx="5669280" cy="4166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embed.png"/>
                    <pic:cNvPicPr/>
                  </pic:nvPicPr>
                  <pic:blipFill>
                    <a:blip r:embed="rId10"/>
                    <a:stretch>
                      <a:fillRect/>
                    </a:stretch>
                  </pic:blipFill>
                  <pic:spPr>
                    <a:xfrm>
                      <a:off x="0" y="0"/>
                      <a:ext cx="5669280" cy="4166921"/>
                    </a:xfrm>
                    <a:prstGeom prst="rect">
                      <a:avLst/>
                    </a:prstGeom>
                  </pic:spPr>
                </pic:pic>
              </a:graphicData>
            </a:graphic>
          </wp:inline>
        </w:drawing>
      </w:r>
    </w:p>
    <w:p w14:paraId="18A5CD9F" w14:textId="77777777" w:rsidR="00E932E3" w:rsidRDefault="00000000">
      <w:pPr>
        <w:spacing w:after="240"/>
        <w:jc w:val="both"/>
      </w:pPr>
      <w:r>
        <w:rPr>
          <w:b/>
          <w:sz w:val="18"/>
        </w:rPr>
        <w:t xml:space="preserve">Figure 5. </w:t>
      </w:r>
      <w:r>
        <w:rPr>
          <w:sz w:val="18"/>
        </w:rPr>
        <w:t>Stage-resolved SHAP attribution maps, one column per AJCC stage, with genes ordered by within-stage importance to permit comparison of the importance ranking from Stage I to Stage IV.</w:t>
      </w:r>
    </w:p>
    <w:p w14:paraId="2BCE1B83" w14:textId="77777777" w:rsidR="00E932E3" w:rsidRDefault="00000000">
      <w:pPr>
        <w:pStyle w:val="Heading2"/>
        <w:spacing w:before="220" w:after="120"/>
      </w:pPr>
      <w:r>
        <w:rPr>
          <w:rFonts w:ascii="Times New Roman" w:eastAsia="Times New Roman" w:hAnsi="Times New Roman" w:cs="Times New Roman"/>
          <w:sz w:val="24"/>
          <w:szCs w:val="24"/>
        </w:rPr>
        <w:t>3.4. The Stage-Dependent Importance Shift Replicates in an Independent Cohort</w:t>
      </w:r>
    </w:p>
    <w:p w14:paraId="1D0246C3" w14:textId="77777777" w:rsidR="00E932E3" w:rsidRDefault="00000000">
      <w:pPr>
        <w:spacing w:after="160"/>
        <w:jc w:val="both"/>
      </w:pPr>
      <w:r>
        <w:rPr>
          <w:rFonts w:eastAsia="Times New Roman" w:cs="Times New Roman"/>
        </w:rPr>
        <w:t xml:space="preserve">Transferring the exact attribution to the independent GSE39582 cohort (n = 579, full AJCC staging) tested whether this structure was cohort-specific (Figure 6). Per-stage importance concordance was significant at three of four stages (Stage I ρ = 0.83; Stage III ρ = 0.94; Stage IV ρ = 0.82; all p ≤ 0.004), with Stage II not reaching significance (ρ = 0.52, p = 0.13). Crucially, the late-stage prominence of </w:t>
      </w:r>
      <w:r>
        <w:rPr>
          <w:rFonts w:eastAsia="Times New Roman" w:cs="Times New Roman"/>
          <w:i/>
          <w:iCs/>
        </w:rPr>
        <w:t>ESM1</w:t>
      </w:r>
      <w:r>
        <w:rPr>
          <w:rFonts w:eastAsia="Times New Roman" w:cs="Times New Roman"/>
        </w:rPr>
        <w:t xml:space="preserve"> replicated, reaching top-two importance at Stage IV in both cohorts, whereas the TCGA-specific rise of ETV4 did not — demonstrating that the framework distinguishes reproducible stage-dependent drivers from cohort-specific signals rather than asserting uniform replication.</w:t>
      </w:r>
    </w:p>
    <w:p w14:paraId="7B6155F7" w14:textId="77777777" w:rsidR="00E932E3" w:rsidRDefault="00000000">
      <w:pPr>
        <w:spacing w:before="200" w:after="80"/>
        <w:jc w:val="center"/>
      </w:pPr>
      <w:r>
        <w:rPr>
          <w:noProof/>
        </w:rPr>
        <w:lastRenderedPageBreak/>
        <w:drawing>
          <wp:inline distT="0" distB="0" distL="0" distR="0" wp14:anchorId="0ECCB435" wp14:editId="5E2A1970">
            <wp:extent cx="5669280" cy="430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embed.png"/>
                    <pic:cNvPicPr/>
                  </pic:nvPicPr>
                  <pic:blipFill>
                    <a:blip r:embed="rId11"/>
                    <a:stretch>
                      <a:fillRect/>
                    </a:stretch>
                  </pic:blipFill>
                  <pic:spPr>
                    <a:xfrm>
                      <a:off x="0" y="0"/>
                      <a:ext cx="5669280" cy="4305110"/>
                    </a:xfrm>
                    <a:prstGeom prst="rect">
                      <a:avLst/>
                    </a:prstGeom>
                  </pic:spPr>
                </pic:pic>
              </a:graphicData>
            </a:graphic>
          </wp:inline>
        </w:drawing>
      </w:r>
    </w:p>
    <w:p w14:paraId="602BEE99" w14:textId="77777777" w:rsidR="00E932E3" w:rsidRDefault="00000000">
      <w:pPr>
        <w:spacing w:after="240"/>
        <w:jc w:val="both"/>
      </w:pPr>
      <w:r>
        <w:rPr>
          <w:b/>
          <w:sz w:val="18"/>
        </w:rPr>
        <w:t xml:space="preserve">Figure 6. </w:t>
      </w:r>
      <w:r>
        <w:rPr>
          <w:sz w:val="18"/>
        </w:rPr>
        <w:t>Cross-cohort comparison of per-stage feature importance between the discovery cohort and GSE39582; each panel pairs the two cohorts for one stage, annotated with the Spearman coefficient.</w:t>
      </w:r>
    </w:p>
    <w:p w14:paraId="106D45D1" w14:textId="77777777" w:rsidR="00E932E3" w:rsidRDefault="00000000">
      <w:pPr>
        <w:pStyle w:val="Heading2"/>
        <w:spacing w:before="220" w:after="120"/>
      </w:pPr>
      <w:r>
        <w:rPr>
          <w:rFonts w:ascii="Times New Roman" w:eastAsia="Times New Roman" w:hAnsi="Times New Roman" w:cs="Times New Roman"/>
          <w:sz w:val="24"/>
          <w:szCs w:val="24"/>
        </w:rPr>
        <w:t>3.5. Prognostic Assessment Defines the Signature's Scope</w:t>
      </w:r>
    </w:p>
    <w:p w14:paraId="4B1C1B6C" w14:textId="77777777" w:rsidR="00E932E3" w:rsidRDefault="00000000">
      <w:pPr>
        <w:spacing w:after="160"/>
        <w:jc w:val="both"/>
      </w:pPr>
      <w:r>
        <w:rPr>
          <w:rFonts w:eastAsia="Times New Roman" w:cs="Times New Roman"/>
        </w:rPr>
        <w:t>The panel's prognostic value for overall survival was evaluated against the pre-registered events-per-variable (EPV) criterion [41] (Figure 7). All per-stage subgroups fell below EPV ≥ 10 and were designated exploratory in advance. Across Cox proportional-hazards, DeepSurv and random survival forest models, discrimination was indistinguishable from chance (C-index 0.525, 0.506 and 0.504 respectively; every CI spanning 0.5), and Kaplan–Meier stratification showed no separation (log-rank p = 0.376). Rather than a shortcoming, this result defines the signature's operating scope: the panel was selected for, and excels at, tumour-versus-normal classification, and is explicitly not advanced as a prognostic model.</w:t>
      </w:r>
    </w:p>
    <w:p w14:paraId="1054D66E" w14:textId="77777777" w:rsidR="00E932E3" w:rsidRDefault="00000000">
      <w:pPr>
        <w:spacing w:before="200" w:after="80"/>
        <w:jc w:val="center"/>
      </w:pPr>
      <w:r>
        <w:rPr>
          <w:noProof/>
        </w:rPr>
        <w:lastRenderedPageBreak/>
        <w:drawing>
          <wp:inline distT="0" distB="0" distL="0" distR="0" wp14:anchorId="101EC2C5" wp14:editId="0722B452">
            <wp:extent cx="5669280" cy="423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embed.png"/>
                    <pic:cNvPicPr/>
                  </pic:nvPicPr>
                  <pic:blipFill>
                    <a:blip r:embed="rId12"/>
                    <a:stretch>
                      <a:fillRect/>
                    </a:stretch>
                  </pic:blipFill>
                  <pic:spPr>
                    <a:xfrm>
                      <a:off x="0" y="0"/>
                      <a:ext cx="5669280" cy="4230700"/>
                    </a:xfrm>
                    <a:prstGeom prst="rect">
                      <a:avLst/>
                    </a:prstGeom>
                  </pic:spPr>
                </pic:pic>
              </a:graphicData>
            </a:graphic>
          </wp:inline>
        </w:drawing>
      </w:r>
    </w:p>
    <w:p w14:paraId="21B2E56C" w14:textId="77777777" w:rsidR="00E932E3" w:rsidRDefault="00000000">
      <w:pPr>
        <w:spacing w:after="240"/>
        <w:jc w:val="both"/>
      </w:pPr>
      <w:r>
        <w:rPr>
          <w:b/>
          <w:sz w:val="18"/>
        </w:rPr>
        <w:t xml:space="preserve">Figure 7. </w:t>
      </w:r>
      <w:r>
        <w:rPr>
          <w:sz w:val="18"/>
        </w:rPr>
        <w:t>Survival-model benchmarking on the panel: concordance indices with bootstrap confidence intervals, time-dependent discrimination, and Kaplan-Meier curves for panel-defined risk strata, with the chance reference marked.</w:t>
      </w:r>
    </w:p>
    <w:p w14:paraId="67182132" w14:textId="77777777" w:rsidR="00E932E3" w:rsidRDefault="00000000">
      <w:pPr>
        <w:pStyle w:val="Heading2"/>
        <w:spacing w:before="220" w:after="120"/>
      </w:pPr>
      <w:r>
        <w:rPr>
          <w:rFonts w:ascii="Times New Roman" w:eastAsia="Times New Roman" w:hAnsi="Times New Roman" w:cs="Times New Roman"/>
          <w:sz w:val="24"/>
          <w:szCs w:val="24"/>
        </w:rPr>
        <w:t>3.6. External Validation Confirms a Generalisable Classifier of Defined Scope</w:t>
      </w:r>
    </w:p>
    <w:p w14:paraId="23BE6783" w14:textId="77777777" w:rsidR="00E932E3" w:rsidRDefault="00000000">
      <w:pPr>
        <w:spacing w:after="160"/>
        <w:jc w:val="both"/>
      </w:pPr>
      <w:r>
        <w:rPr>
          <w:rFonts w:eastAsia="Times New Roman" w:cs="Times New Roman"/>
        </w:rPr>
        <w:t>Three independent cohorts established the signature's external behaviour (Figure 8). As a classifier it generalised strongly: in the independent RNA-seq cohort GSE50760 the external AUC was 0.969 (95% CI 0.896–1.000; AUPRC 0.980), confirming that the tumour-versus-normal signal transfers to data generated by a different laboratory. Survival validation, by contrast, reaffirmed the null prognostic finding in the only adequately powered cohort (GSE39582, EPV 19.4; C-index 0.520, 95% CI 0.477–0.565). The convergent evidence delineates the scope precisely: a reproducible classifier (external AUC ≈ 0.97) that does not function as a prognostic model.</w:t>
      </w:r>
    </w:p>
    <w:p w14:paraId="5A95D917" w14:textId="77777777" w:rsidR="00E932E3" w:rsidRDefault="00000000">
      <w:pPr>
        <w:spacing w:before="200" w:after="80"/>
        <w:jc w:val="center"/>
      </w:pPr>
      <w:r>
        <w:rPr>
          <w:noProof/>
        </w:rPr>
        <w:lastRenderedPageBreak/>
        <w:drawing>
          <wp:inline distT="0" distB="0" distL="0" distR="0" wp14:anchorId="596C5C78" wp14:editId="2D2447A7">
            <wp:extent cx="5669280" cy="4301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mbed.png"/>
                    <pic:cNvPicPr/>
                  </pic:nvPicPr>
                  <pic:blipFill>
                    <a:blip r:embed="rId13"/>
                    <a:stretch>
                      <a:fillRect/>
                    </a:stretch>
                  </pic:blipFill>
                  <pic:spPr>
                    <a:xfrm>
                      <a:off x="0" y="0"/>
                      <a:ext cx="5669280" cy="4301566"/>
                    </a:xfrm>
                    <a:prstGeom prst="rect">
                      <a:avLst/>
                    </a:prstGeom>
                  </pic:spPr>
                </pic:pic>
              </a:graphicData>
            </a:graphic>
          </wp:inline>
        </w:drawing>
      </w:r>
    </w:p>
    <w:p w14:paraId="41B632A7" w14:textId="77777777" w:rsidR="00E932E3" w:rsidRDefault="00000000">
      <w:pPr>
        <w:spacing w:after="240"/>
        <w:jc w:val="both"/>
      </w:pPr>
      <w:r>
        <w:rPr>
          <w:b/>
          <w:sz w:val="18"/>
        </w:rPr>
        <w:t xml:space="preserve">Figure 8. </w:t>
      </w:r>
      <w:r>
        <w:rPr>
          <w:sz w:val="18"/>
        </w:rPr>
        <w:t>Three-tier external validation: classification performance in the independent RNA-seq cohort and survival discrimination in the two microarray cohorts, each with bootstrap confidence intervals and the relevant reference line.</w:t>
      </w:r>
    </w:p>
    <w:p w14:paraId="05C20EB5" w14:textId="77777777" w:rsidR="00E932E3" w:rsidRDefault="00000000">
      <w:pPr>
        <w:pStyle w:val="Heading2"/>
        <w:spacing w:before="220" w:after="120"/>
      </w:pPr>
      <w:r>
        <w:rPr>
          <w:rFonts w:ascii="Times New Roman" w:eastAsia="Times New Roman" w:hAnsi="Times New Roman" w:cs="Times New Roman"/>
          <w:sz w:val="24"/>
          <w:szCs w:val="24"/>
        </w:rPr>
        <w:t>3.7. The Panel Recovers Established Biology and Nominates Novel Candidates</w:t>
      </w:r>
    </w:p>
    <w:p w14:paraId="00BAE7A9" w14:textId="77777777" w:rsidR="00E932E3" w:rsidRDefault="00000000">
      <w:pPr>
        <w:spacing w:after="160"/>
        <w:jc w:val="both"/>
      </w:pPr>
      <w:r>
        <w:rPr>
          <w:rFonts w:eastAsia="Times New Roman" w:cs="Times New Roman"/>
        </w:rPr>
        <w:t>Biological corroboration was sought at three independent levels (Table S7). Six of the ten genes have direct experimental support in CRC, each matching the differential-expression direction recovered here: KRT80, previously reported as the most up-regulated gene in TCGA CRC [52]; the down-regulated tumour suppressor OTOP2 [55]; the over-expressed, prognosis-associated CDH3 [53]; the angiogenesis driver ESM1 [50,51]; the pro-metastatic transcription factor ETV4 [54]; and the methylation-silenced suppressor TMEFF2. Independent GEPIA2 analysis confirmed the expression direction of all ten genes, six reaching the platform's significance threshold (Figure S3). The remaining four genes (AADACL2, KHDRBS2, LGI1, DHRS7C) are poorly characterised in CRC and are advanced as hypothesis-generating candidates — the panel thus simultaneously recovers known biology, which validates the unbiased pipeline, and nominates new candidates.</w:t>
      </w:r>
    </w:p>
    <w:p w14:paraId="1D55F0D3" w14:textId="77777777" w:rsidR="00E932E3" w:rsidRDefault="00000000">
      <w:pPr>
        <w:pStyle w:val="Heading2"/>
        <w:spacing w:before="220" w:after="120"/>
      </w:pPr>
      <w:r>
        <w:rPr>
          <w:rFonts w:ascii="Times New Roman" w:eastAsia="Times New Roman" w:hAnsi="Times New Roman" w:cs="Times New Roman"/>
          <w:sz w:val="24"/>
          <w:szCs w:val="24"/>
        </w:rPr>
        <w:t>3.8. The Machine-Learning Signature Is Complementary to Classical Network Hubs</w:t>
      </w:r>
    </w:p>
    <w:p w14:paraId="05048B80" w14:textId="77777777" w:rsidR="00E932E3" w:rsidRDefault="00000000">
      <w:pPr>
        <w:spacing w:after="160"/>
        <w:jc w:val="both"/>
      </w:pPr>
      <w:r>
        <w:rPr>
          <w:rFonts w:eastAsia="Times New Roman" w:cs="Times New Roman"/>
        </w:rPr>
        <w:t xml:space="preserve">Triangulated enrichment of the full DEG set across four platforms identified 216 robustly enriched pathways (significant in ≥ 2 of 4; 55 in ≥ 3 of 4), dominated by canonical CRC processes including Wnt signalling, cytokine and calcium signalling, extracellular-matrix organisation and cell adhesion (Figure 9; Table S3). A two-level analysis then localised the panel within both the protein–protein interaction (PPI) </w:t>
      </w:r>
      <w:r>
        <w:rPr>
          <w:rFonts w:eastAsia="Times New Roman" w:cs="Times New Roman"/>
        </w:rPr>
        <w:lastRenderedPageBreak/>
        <w:t>network and this pathway landscape — and revealed an informative dissociation. The panel genes were largely absent from the high-confidence PPI core (one of ten present at confidence &gt; 0.9; three of ten at &gt; 0.7, none interconnected; Table S4) and belonged to none of the 32 MCODE hub modules, yet eight of ten resided in robustly enriched pathways (Table S5), with CDH3 in Wnt and adhesion pathways and ESM1 in angiogenesis. The signature is therefore embedded in cancer biology at the pathway level while being peripheral at the interaction-topology level, establishing that the explainable-AI panel is complementary to — not a rediscovery of — classical hub-gene analysis, and would have been missed by a connectivity-based pipeline.</w:t>
      </w:r>
    </w:p>
    <w:p w14:paraId="1A685900" w14:textId="77777777" w:rsidR="00E932E3" w:rsidRDefault="00000000">
      <w:pPr>
        <w:spacing w:before="200" w:after="80"/>
        <w:jc w:val="center"/>
      </w:pPr>
      <w:r>
        <w:rPr>
          <w:noProof/>
        </w:rPr>
        <w:drawing>
          <wp:inline distT="0" distB="0" distL="0" distR="0" wp14:anchorId="63DDA643" wp14:editId="494034F3">
            <wp:extent cx="5669280" cy="37948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embed.png"/>
                    <pic:cNvPicPr/>
                  </pic:nvPicPr>
                  <pic:blipFill>
                    <a:blip r:embed="rId14"/>
                    <a:stretch>
                      <a:fillRect/>
                    </a:stretch>
                  </pic:blipFill>
                  <pic:spPr>
                    <a:xfrm>
                      <a:off x="0" y="0"/>
                      <a:ext cx="5669280" cy="3794874"/>
                    </a:xfrm>
                    <a:prstGeom prst="rect">
                      <a:avLst/>
                    </a:prstGeom>
                  </pic:spPr>
                </pic:pic>
              </a:graphicData>
            </a:graphic>
          </wp:inline>
        </w:drawing>
      </w:r>
    </w:p>
    <w:p w14:paraId="302B0644" w14:textId="77777777" w:rsidR="00E932E3" w:rsidRDefault="00000000">
      <w:pPr>
        <w:spacing w:after="240"/>
        <w:jc w:val="both"/>
      </w:pPr>
      <w:r>
        <w:rPr>
          <w:b/>
          <w:sz w:val="18"/>
        </w:rPr>
        <w:t xml:space="preserve">Figure 9. </w:t>
      </w:r>
      <w:r>
        <w:rPr>
          <w:sz w:val="18"/>
        </w:rPr>
        <w:t>Integrated network and enrichment summary. (A) Robust pathways ranked by number of significant platforms; (B) robust pathways per panel gene; (C) panel-gene presence in the PPI network at two confidence thresholds; (D) convergence of robust pathways with Saudi colorectal-cancer alterations.</w:t>
      </w:r>
    </w:p>
    <w:p w14:paraId="7D9C35CE" w14:textId="77777777" w:rsidR="00E932E3" w:rsidRDefault="00000000">
      <w:pPr>
        <w:pStyle w:val="Heading2"/>
        <w:spacing w:before="220" w:after="120"/>
      </w:pPr>
      <w:r>
        <w:rPr>
          <w:rFonts w:ascii="Times New Roman" w:eastAsia="Times New Roman" w:hAnsi="Times New Roman" w:cs="Times New Roman"/>
          <w:sz w:val="24"/>
          <w:szCs w:val="24"/>
        </w:rPr>
        <w:t>3.9. Enriched Pathways Converge With the Saudi Colorectal-Cancer Landscape</w:t>
      </w:r>
    </w:p>
    <w:p w14:paraId="6CC912E3" w14:textId="77777777" w:rsidR="00E932E3" w:rsidRDefault="00000000">
      <w:pPr>
        <w:spacing w:after="160"/>
        <w:jc w:val="both"/>
      </w:pPr>
      <w:r>
        <w:rPr>
          <w:rFonts w:eastAsia="Times New Roman" w:cs="Times New Roman"/>
        </w:rPr>
        <w:t>To contextualise the findings for the Saudi population without using Saudi data for training or validation, the robust pathways were cross-referenced against published Saudi CRC molecular features (Table S6). Four of five frequently altered Saudi pathways converged with the robust enrichment set: Wnt/β-catenin (altered in 65% of Saudi cases [56]), PI3K (48% [56]), TP53 (~50% [9]), and KRAS/RAS–MAPK signalling; the single non-convergence, homologous recombination (61% [56]), is reported transparently. The Wnt axis is simultaneously the most frequently altered Saudi pathway, a robust pathway here, and the pathway containing the panel gene CDH3 — providing a direct, population-relevant link for the CDH3/Wnt axis and a concrete anchor for future Saudi-specific validation.</w:t>
      </w:r>
    </w:p>
    <w:p w14:paraId="78E67809" w14:textId="77777777" w:rsidR="00E932E3" w:rsidRDefault="00000000">
      <w:pPr>
        <w:pStyle w:val="Heading1"/>
        <w:spacing w:before="280" w:after="160"/>
      </w:pPr>
      <w:r>
        <w:rPr>
          <w:rFonts w:ascii="Times New Roman" w:eastAsia="Times New Roman" w:hAnsi="Times New Roman" w:cs="Times New Roman"/>
        </w:rPr>
        <w:lastRenderedPageBreak/>
        <w:t>4. Discussion</w:t>
      </w:r>
    </w:p>
    <w:p w14:paraId="3C97EEED" w14:textId="77777777" w:rsidR="00E932E3" w:rsidRDefault="00000000">
      <w:pPr>
        <w:spacing w:after="160"/>
        <w:jc w:val="both"/>
      </w:pPr>
      <w:r>
        <w:rPr>
          <w:rFonts w:eastAsia="Times New Roman" w:cs="Times New Roman"/>
        </w:rPr>
        <w:t xml:space="preserve">Most transcriptomic classifiers for colorectal cancer report a performance figure and a gene list, treating the disease as a static entity and leaving unexamined whether the model's internal reasoning is stable across the clinical stages over which the disease actually evolves. The present study reframes the question. Using a stage-stratified explainable-AI pipeline, we show that the feature-importance structure of a reproducible transcriptomic classifier is itself </w:t>
      </w:r>
      <w:r>
        <w:rPr>
          <w:rFonts w:eastAsia="Times New Roman" w:cs="Times New Roman"/>
          <w:b/>
          <w:bCs/>
        </w:rPr>
        <w:t>stage-dependent and externally replicable</w:t>
      </w:r>
      <w:r>
        <w:rPr>
          <w:rFonts w:eastAsia="Times New Roman" w:cs="Times New Roman"/>
        </w:rPr>
        <w:t>, and we delineate, rather than overstate, the resulting signature's scope. Three contributions distinguish this work from the prevailing literature, and we discuss each in turn before addressing limitations and future directions.</w:t>
      </w:r>
    </w:p>
    <w:p w14:paraId="2BB5C51A" w14:textId="77777777" w:rsidR="00E932E3" w:rsidRDefault="00000000">
      <w:pPr>
        <w:pStyle w:val="Heading2"/>
        <w:spacing w:before="220" w:after="120"/>
      </w:pPr>
      <w:r>
        <w:rPr>
          <w:rFonts w:ascii="Times New Roman" w:eastAsia="Times New Roman" w:hAnsi="Times New Roman" w:cs="Times New Roman"/>
          <w:sz w:val="24"/>
          <w:szCs w:val="24"/>
        </w:rPr>
        <w:t>4.1. A Shift From Explaining Predictions to Tracking How Explanations Change With Stage</w:t>
      </w:r>
    </w:p>
    <w:p w14:paraId="77574976" w14:textId="77777777" w:rsidR="00E932E3" w:rsidRDefault="00000000">
      <w:pPr>
        <w:spacing w:after="160"/>
        <w:jc w:val="both"/>
      </w:pPr>
      <w:r>
        <w:rPr>
          <w:rFonts w:eastAsia="Times New Roman" w:cs="Times New Roman"/>
        </w:rPr>
        <w:t xml:space="preserve">The principal novelty is conceptual. Explainable-AI studies in oncology typically apply SHAP or comparable methods once, to a single pooled model, and report which genes matter on average. We instead compute exact attributions </w:t>
      </w:r>
      <w:r>
        <w:rPr>
          <w:rFonts w:eastAsia="Times New Roman" w:cs="Times New Roman"/>
          <w:i/>
          <w:iCs/>
        </w:rPr>
        <w:t>within each disease stage</w:t>
      </w:r>
      <w:r>
        <w:rPr>
          <w:rFonts w:eastAsia="Times New Roman" w:cs="Times New Roman"/>
        </w:rPr>
        <w:t xml:space="preserve"> and ask whether the importance structure itself moves. It does: a stable, monotonic gradient separates early- from late-stage reasoning (Section 3.3), and — the decisive test — this gradient replicates in an independent cohort (Section 3.4). To our knowledge, this is the first demonstration in CRC that explainability output is not a static description of a model but a stage-resolved, reproducible biological signal in its own right. The practical consequence is that interpretability becomes a substrate for discovery rather than a post-hoc justification: the late-stage ascent of </w:t>
      </w:r>
      <w:r>
        <w:rPr>
          <w:rFonts w:eastAsia="Times New Roman" w:cs="Times New Roman"/>
          <w:i/>
          <w:iCs/>
        </w:rPr>
        <w:t>ESM1</w:t>
      </w:r>
      <w:r>
        <w:rPr>
          <w:rFonts w:eastAsia="Times New Roman" w:cs="Times New Roman"/>
        </w:rPr>
        <w:t xml:space="preserve"> was surfaced not by differential expression (where it is one of thousands of significant genes) but by the movement of its attribution across stages, and it is precisely this gene that carries the strongest independent mechanistic support.</w:t>
      </w:r>
    </w:p>
    <w:p w14:paraId="6AAA3DF5" w14:textId="77777777" w:rsidR="00E932E3" w:rsidRDefault="00000000">
      <w:pPr>
        <w:pStyle w:val="Heading2"/>
        <w:spacing w:before="220" w:after="120"/>
      </w:pPr>
      <w:r>
        <w:rPr>
          <w:rFonts w:ascii="Times New Roman" w:eastAsia="Times New Roman" w:hAnsi="Times New Roman" w:cs="Times New Roman"/>
          <w:sz w:val="24"/>
          <w:szCs w:val="24"/>
        </w:rPr>
        <w:t>4.2. ESM1 as a Reproducible, Mechanistically Supported Late-Stage Driver</w:t>
      </w:r>
    </w:p>
    <w:p w14:paraId="2017D738" w14:textId="77777777" w:rsidR="00E932E3" w:rsidRDefault="00000000">
      <w:pPr>
        <w:spacing w:after="160"/>
        <w:jc w:val="both"/>
      </w:pPr>
      <w:r>
        <w:rPr>
          <w:rFonts w:eastAsia="Times New Roman" w:cs="Times New Roman"/>
        </w:rPr>
        <w:t>The convergence of evidence on ESM1 (endocan) is the study's most biologically coherent finding. Its late-stage importance replicates across cohorts (Section 3.4); it resides in the angiogenesis pathway in our enrichment (Section 3.8); and experimental literature establishes that ESM1 promotes CRC angiogenesis through the PI3K/Akt/mTOR axis [50] and that elevated endocan marks deeper invasion, lymph-node metastasis and advanced TNM stage [51]. Three independent computational observations therefore align with a known mechanism, positioning ESM1 as a candidate marker of the angiogenic switch of advanced CRC. Because endocan is a secreted, serum-detectable glycoprotein [51], its stage-dependence is translationally attractive and motivates a focused, minimally invasive validation, which we identify below as a priority.</w:t>
      </w:r>
      <w:r>
        <w:rPr>
          <w:rFonts w:eastAsia="Times New Roman" w:cs="Times New Roman"/>
          <w:i/>
          <w:iCs/>
        </w:rPr>
      </w:r>
      <w:r>
        <w:rPr>
          <w:rFonts w:eastAsia="Times New Roman" w:cs="Times New Roman"/>
        </w:rPr>
      </w:r>
    </w:p>
    <w:p w14:paraId="4DA83272" w14:textId="77777777" w:rsidR="00E932E3" w:rsidRDefault="00000000">
      <w:pPr>
        <w:pStyle w:val="Heading2"/>
        <w:spacing w:before="220" w:after="120"/>
      </w:pPr>
      <w:r>
        <w:rPr>
          <w:rFonts w:ascii="Times New Roman" w:eastAsia="Times New Roman" w:hAnsi="Times New Roman" w:cs="Times New Roman"/>
          <w:sz w:val="24"/>
          <w:szCs w:val="24"/>
        </w:rPr>
        <w:t>4.3. Machine-Learning Importance and Network Centrality Capture Complementary Biology</w:t>
      </w:r>
    </w:p>
    <w:p w14:paraId="48A4149B" w14:textId="77777777" w:rsidR="00E932E3" w:rsidRDefault="00000000">
      <w:pPr>
        <w:spacing w:after="160"/>
        <w:jc w:val="both"/>
      </w:pPr>
      <w:r>
        <w:rPr>
          <w:rFonts w:eastAsia="Times New Roman" w:cs="Times New Roman"/>
        </w:rPr>
        <w:t xml:space="preserve">The second novel finding concerns the relationship between explainable-AI signatures and classical network biology. Hub-gene pipelines, which dominate transcriptomic biomarker discovery, prioritise highly connected nodes. Our panel is the opposite: peripheral to the high-confidence PPI core and absent from every detected hub module, yet embedded in robustly enriched cancer pathways (Section 3.8). This dissociation is robust to network stringency (it holds at both confidence 0.9 and 0.7) and carries a clear </w:t>
      </w:r>
      <w:r>
        <w:rPr>
          <w:rFonts w:eastAsia="Times New Roman" w:cs="Times New Roman"/>
        </w:rPr>
        <w:lastRenderedPageBreak/>
        <w:t xml:space="preserve">methodological message — discriminative importance and topological centrality are </w:t>
      </w:r>
      <w:r>
        <w:rPr>
          <w:rFonts w:eastAsia="Times New Roman" w:cs="Times New Roman"/>
          <w:b/>
          <w:bCs/>
        </w:rPr>
        <w:t>complementary, not interchangeable</w:t>
      </w:r>
      <w:r>
        <w:rPr>
          <w:rFonts w:eastAsia="Times New Roman" w:cs="Times New Roman"/>
        </w:rPr>
        <w:t>, axes of relevance. A connectivity-based pipeline would not have recovered this signature, and treating hub centrality as a proxy for biomarker utility would have discarded genes of demonstrable discriminative and, for ESM1, mechanistic value. This argues for pairing, rather than substituting, explainable-AI feature selection with network analysis.</w:t>
      </w:r>
    </w:p>
    <w:p w14:paraId="59B76C4D" w14:textId="77777777" w:rsidR="00E932E3" w:rsidRDefault="00000000">
      <w:pPr>
        <w:pStyle w:val="Heading2"/>
        <w:spacing w:before="220" w:after="120"/>
      </w:pPr>
      <w:r>
        <w:rPr>
          <w:rFonts w:ascii="Times New Roman" w:eastAsia="Times New Roman" w:hAnsi="Times New Roman" w:cs="Times New Roman"/>
          <w:sz w:val="24"/>
          <w:szCs w:val="24"/>
        </w:rPr>
        <w:t>4.4. Interpretability, Transparent Scope Delineation, and Trustworthy AI</w:t>
      </w:r>
    </w:p>
    <w:p w14:paraId="6CC2B8AF" w14:textId="77777777" w:rsidR="00E932E3" w:rsidRDefault="00000000">
      <w:pPr>
        <w:spacing w:after="160"/>
        <w:jc w:val="both"/>
      </w:pPr>
      <w:r>
        <w:rPr>
          <w:rFonts w:eastAsia="Times New Roman" w:cs="Times New Roman"/>
        </w:rPr>
        <w:t>The third contribution is methodological and is inseparable from the choice of an interpretable model. By selecting a linear Elastic Net from a statistically tied set, every attribution in this study is an exact Shapley value — the closed-form product of a model coefficient and a standardised expression value — rather than an approximation, which is what makes the cross-cohort transfer of attributions mathematically well defined and the stage-resolved importance maps trustworthy rather than indicative. This interpretability is not decorative: it is the mechanism by which the stage-dependent signal (Section 4.1) is both computed and externally tested. Coupled to interpretability is an equally deliberate commitment to scope. Through a pre-registered EPV criterion and three-tier external validation, we report plainly that the signature is a strong classifier and a null prognosticator (Sections 3.5–3.6). In a field where inflated single-cohort performance is common, this combination — exact interpretability, leakage-free validation, and transparent delineation of what a model can and cannot do — offers a transferable template for trustworthy explainable AI in precision oncology, consistent with emerging reporting standards [22].</w:t>
      </w:r>
      <w:r>
        <w:rPr>
          <w:rFonts w:eastAsia="Times New Roman" w:cs="Times New Roman"/>
          <w:i/>
          <w:iCs/>
        </w:rPr>
      </w:r>
      <w:r>
        <w:rPr>
          <w:rFonts w:eastAsia="Times New Roman" w:cs="Times New Roman"/>
        </w:rPr>
      </w:r>
    </w:p>
    <w:p w14:paraId="0534154D" w14:textId="77777777" w:rsidR="00E932E3" w:rsidRDefault="00000000">
      <w:pPr>
        <w:pStyle w:val="Heading2"/>
        <w:spacing w:before="220" w:after="120"/>
      </w:pPr>
      <w:r>
        <w:rPr>
          <w:rFonts w:ascii="Times New Roman" w:eastAsia="Times New Roman" w:hAnsi="Times New Roman" w:cs="Times New Roman"/>
          <w:sz w:val="24"/>
          <w:szCs w:val="24"/>
        </w:rPr>
        <w:t>4.5. Population Relevance for Saudi Colorectal Cancer</w:t>
      </w:r>
    </w:p>
    <w:p w14:paraId="3A21EB09" w14:textId="77777777" w:rsidR="00E932E3" w:rsidRDefault="00000000">
      <w:pPr>
        <w:spacing w:after="160"/>
        <w:jc w:val="both"/>
      </w:pPr>
      <w:r>
        <w:rPr>
          <w:rFonts w:eastAsia="Times New Roman" w:cs="Times New Roman"/>
        </w:rPr>
        <w:t>Although the models were trained and validated exclusively on international public cohorts, the convergence of the robustly enriched pathways with the Saudi CRC molecular landscape [9,56] provides a contextual bridge to a population that is under-represented in cancer genomics and that exhibits a distinct mutational profile, including a markedly lower APC and higher TP53 mutation frequency than Western cohorts [9]. The convergence at the Wnt, PI3K, TP53 and RAS–MAPK pathways, and specifically the CDH3/Wnt link, indicates that the signature engages biology active in Saudi patients and identifies concrete, pre-specified targets for subsequent locally grounded validation. This contextualisation is deliberately framed as hypothesis-anchoring rather than validation, since no Saudi transcriptomic data were used at any stage.</w:t>
      </w:r>
    </w:p>
    <w:p w14:paraId="42429DB9" w14:textId="77777777" w:rsidR="00E932E3" w:rsidRDefault="00000000">
      <w:pPr>
        <w:pStyle w:val="Heading2"/>
        <w:spacing w:before="220" w:after="120"/>
      </w:pPr>
      <w:r>
        <w:rPr>
          <w:rFonts w:ascii="Times New Roman" w:eastAsia="Times New Roman" w:hAnsi="Times New Roman" w:cs="Times New Roman"/>
          <w:sz w:val="24"/>
          <w:szCs w:val="24"/>
        </w:rPr>
        <w:t>4.6. Limitations</w:t>
      </w:r>
    </w:p>
    <w:p w14:paraId="10A999CD" w14:textId="77777777" w:rsidR="00E932E3" w:rsidRDefault="00000000">
      <w:pPr>
        <w:spacing w:after="160"/>
        <w:jc w:val="both"/>
      </w:pPr>
      <w:r>
        <w:rPr>
          <w:rFonts w:eastAsia="Times New Roman" w:cs="Times New Roman"/>
        </w:rPr>
        <w:t>Several limitations bound these conclusions. First, the high classification accuracy, although externally replicated, reflects the large transcriptomic distance between tumour and adjacent-normal tissue and must not be read as clinical readiness; the harder tasks of separating tumour from pre-malignant lesions, or detecting disease from liquid biopsy, were beyond the present scope. Second, the panel is explicitly not prognostic, and the per-stage survival analyses were underpowered (EPV &lt; 10) and reported only as exploratory. Third, four of the ten genes remain poorly characterised in CRC and are hypothesis-generating rather than validated. Fourth, the Saudi link is at the pathway level only, as no Saudi or Middle Eastern transcriptomic cohort was available for direct validation. Fifth, bulk transcriptomics cannot resolve the cellular source of signals such as ESM1, which single-cell evidence attributes partly to tumour endothelium [51]. Finally, the cross-platform external stage validation (microarray validation of an RNA-seq-derived signature) reflects the absence of a suitably staged public RNA-seq cohort rather than a design choice, and represents the strongest external stage-level test the available public data permit.</w:t>
      </w:r>
      <w:r>
        <w:rPr>
          <w:rFonts w:eastAsia="Times New Roman" w:cs="Times New Roman"/>
          <w:b/>
          <w:bCs/>
        </w:rPr>
      </w:r>
      <w:r>
        <w:rPr>
          <w:rFonts w:eastAsia="Times New Roman" w:cs="Times New Roman"/>
        </w:rPr>
      </w:r>
      <w:r>
        <w:rPr>
          <w:rFonts w:eastAsia="Times New Roman" w:cs="Times New Roman"/>
          <w:b/>
          <w:bCs/>
        </w:rPr>
      </w:r>
      <w:r>
        <w:rPr>
          <w:rFonts w:eastAsia="Times New Roman" w:cs="Times New Roman"/>
        </w:rPr>
      </w:r>
      <w:r>
        <w:rPr>
          <w:rFonts w:eastAsia="Times New Roman" w:cs="Times New Roman"/>
          <w:b/>
          <w:bCs/>
        </w:rPr>
      </w:r>
      <w:r>
        <w:rPr>
          <w:rFonts w:eastAsia="Times New Roman" w:cs="Times New Roman"/>
        </w:rPr>
      </w:r>
      <w:r>
        <w:rPr>
          <w:rFonts w:eastAsia="Times New Roman" w:cs="Times New Roman"/>
          <w:b/>
          <w:bCs/>
        </w:rPr>
      </w:r>
      <w:r>
        <w:rPr>
          <w:rFonts w:eastAsia="Times New Roman" w:cs="Times New Roman"/>
        </w:rPr>
      </w:r>
      <w:r>
        <w:rPr>
          <w:rFonts w:eastAsia="Times New Roman" w:cs="Times New Roman"/>
          <w:b/>
          <w:bCs/>
        </w:rPr>
      </w:r>
      <w:r>
        <w:rPr>
          <w:rFonts w:eastAsia="Times New Roman" w:cs="Times New Roman"/>
        </w:rPr>
      </w:r>
      <w:r>
        <w:rPr>
          <w:rFonts w:eastAsia="Times New Roman" w:cs="Times New Roman"/>
          <w:b/>
          <w:bCs/>
        </w:rPr>
      </w:r>
      <w:r>
        <w:rPr>
          <w:rFonts w:eastAsia="Times New Roman" w:cs="Times New Roman"/>
        </w:rPr>
      </w:r>
      <w:r>
        <w:rPr>
          <w:rFonts w:eastAsia="Times New Roman" w:cs="Times New Roman"/>
        </w:rPr>
      </w:r>
    </w:p>
    <w:p w14:paraId="557E0DE9" w14:textId="77777777" w:rsidR="00E932E3" w:rsidRDefault="00000000">
      <w:pPr>
        <w:pStyle w:val="Heading2"/>
        <w:spacing w:before="220" w:after="120"/>
      </w:pPr>
      <w:r>
        <w:rPr>
          <w:rFonts w:ascii="Times New Roman" w:eastAsia="Times New Roman" w:hAnsi="Times New Roman" w:cs="Times New Roman"/>
          <w:sz w:val="24"/>
          <w:szCs w:val="24"/>
        </w:rPr>
        <w:t>4.7. Future Directions</w:t>
      </w:r>
    </w:p>
    <w:p w14:paraId="5FE88593" w14:textId="77777777" w:rsidR="00E932E3" w:rsidRDefault="00000000">
      <w:pPr>
        <w:spacing w:after="160"/>
        <w:jc w:val="both"/>
      </w:pPr>
      <w:r>
        <w:rPr>
          <w:rFonts w:eastAsia="Times New Roman" w:cs="Times New Roman"/>
        </w:rPr>
        <w:t>These limitations define a concrete programme of future work. The immediate priority is prospective validation in a Saudi CRC transcriptomic cohort, which would convert the present pathway-level population link into direct evidence. The reproducible late-stage ESM1 signal motivates a focused serum-endocan study across AJCC stages, exploiting its secreted nature for a minimally invasive assay. Single-cell or spatial transcriptomics would resolve the cellular origin of the stage-dependent drivers and test the tumour-endothelium hypothesis for ESM1, while the four uncharacterised candidate genes warrant targeted experimental follow-up. More broadly, the stage-stratified explainability framework is disease-agnostic: applying it to other staged malignancies would test whether stage-dependent shifts in feature importance are a general property of progressing tumour transcriptomes, potentially establishing a new, interpretability-driven mode of biomarker discovery.</w:t>
      </w:r>
    </w:p>
    <w:p w14:paraId="765941C0" w14:textId="77777777" w:rsidR="00E932E3" w:rsidRDefault="00000000">
      <w:pPr>
        <w:pStyle w:val="Heading1"/>
        <w:spacing w:before="280" w:after="160"/>
      </w:pPr>
      <w:r>
        <w:rPr>
          <w:rFonts w:ascii="Times New Roman" w:eastAsia="Times New Roman" w:hAnsi="Times New Roman" w:cs="Times New Roman"/>
        </w:rPr>
        <w:t>5. Conclusions</w:t>
      </w:r>
    </w:p>
    <w:p w14:paraId="593C4B6C" w14:textId="77777777" w:rsidR="00E932E3" w:rsidRDefault="00000000">
      <w:pPr>
        <w:spacing w:after="160"/>
        <w:jc w:val="both"/>
      </w:pPr>
      <w:r>
        <w:rPr>
          <w:rFonts w:eastAsia="Times New Roman" w:cs="Times New Roman"/>
        </w:rPr>
        <w:t xml:space="preserve">This study advances colorectal-cancer transcriptomic modelling from static prediction toward a stage-resolved, interpretability-driven analysis. Three findings define its contribution. Conceptually, we demonstrate for the first time in CRC that the feature-importance structure of an explainable classifier is itself stage-dependent and externally replicable, with </w:t>
      </w:r>
      <w:r>
        <w:rPr>
          <w:rFonts w:eastAsia="Times New Roman" w:cs="Times New Roman"/>
          <w:i/>
          <w:iCs/>
        </w:rPr>
        <w:t>ESM1</w:t>
      </w:r>
      <w:r>
        <w:rPr>
          <w:rFonts w:eastAsia="Times New Roman" w:cs="Times New Roman"/>
        </w:rPr>
        <w:t xml:space="preserve"> emerging as a reproducible, mechanistically supported late-stage driver surfaced by the movement of its attribution rather than by expression alone. Methodologically, the use of an exactly interpretable model, a leakage-free protocol, multi-cohort validation, and a pre-registered prognostic assessment allows the signature's scope to be delineated transparently — a strong, generalisable tumour-versus-normal classifier that is deliberately not advanced as a prognostic model. Biologically, the signature proves complementary to classical network hubs, recovering genes that connectivity-based methods would overlook, and its enriched pathways converge with the Saudi colorectal-cancer landscape, anchoring future population-specific validation. By prioritising exact interpretability, reproducibility and transparent scope over inflated performance, the work offers a transferable template for trustworthy explainable artificial intelligence in precision oncology.</w:t>
      </w:r>
    </w:p>
    <w:p w14:paraId="792664FE" w14:textId="77777777" w:rsidR="00E932E3" w:rsidRDefault="00000000">
      <w:pPr>
        <w:pStyle w:val="Heading1"/>
        <w:spacing w:before="280" w:after="140"/>
      </w:pPr>
      <w:r>
        <w:rPr>
          <w:rFonts w:ascii="Times New Roman" w:eastAsia="Times New Roman" w:hAnsi="Times New Roman" w:cs="Times New Roman"/>
        </w:rPr>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E932E3" w14:paraId="60F56A3D" w14:textId="77777777">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50FD60A7" w14:textId="77777777" w:rsidR="00E932E3" w:rsidRDefault="00000000">
            <w:pPr>
              <w:spacing w:after="0" w:line="240" w:lineRule="auto"/>
              <w:jc w:val="center"/>
            </w:pPr>
            <w:r>
              <w:rPr>
                <w:rFonts w:eastAsia="Times New Roman" w:cs="Times New Roman"/>
                <w:b/>
                <w:bCs/>
                <w:sz w:val="20"/>
                <w:szCs w:val="20"/>
              </w:rPr>
              <w:t>Abbreviation</w:t>
            </w:r>
          </w:p>
        </w:tc>
        <w:tc>
          <w:tcPr>
            <w:tcW w:w="6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2371D497" w14:textId="77777777" w:rsidR="00E932E3" w:rsidRDefault="00000000">
            <w:pPr>
              <w:spacing w:after="0" w:line="240" w:lineRule="auto"/>
              <w:jc w:val="center"/>
            </w:pPr>
            <w:r>
              <w:rPr>
                <w:rFonts w:eastAsia="Times New Roman" w:cs="Times New Roman"/>
                <w:b/>
                <w:bCs/>
                <w:sz w:val="20"/>
                <w:szCs w:val="20"/>
              </w:rPr>
              <w:t>Definition</w:t>
            </w:r>
          </w:p>
        </w:tc>
      </w:tr>
      <w:tr w:rsidR="00E932E3" w14:paraId="46483DB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1F987A4" w14:textId="77777777" w:rsidR="00E932E3" w:rsidRDefault="00000000">
            <w:pPr>
              <w:spacing w:after="0" w:line="240" w:lineRule="auto"/>
            </w:pPr>
            <w:r>
              <w:rPr>
                <w:rFonts w:eastAsia="Times New Roman" w:cs="Times New Roman"/>
                <w:sz w:val="20"/>
                <w:szCs w:val="20"/>
              </w:rPr>
              <w:t>AJCC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CD5847C" w14:textId="77777777" w:rsidR="00E932E3" w:rsidRDefault="00000000">
            <w:pPr>
              <w:spacing w:after="0" w:line="240" w:lineRule="auto"/>
              <w:jc w:val="center"/>
            </w:pPr>
            <w:r>
              <w:rPr>
                <w:rFonts w:eastAsia="Times New Roman" w:cs="Times New Roman"/>
                <w:sz w:val="20"/>
                <w:szCs w:val="20"/>
              </w:rPr>
              <w:t>American Joint Committee on Cancer</w:t>
            </w:r>
          </w:p>
        </w:tc>
      </w:tr>
      <w:tr w:rsidR="00E932E3" w14:paraId="04161D77"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C74B048" w14:textId="77777777" w:rsidR="00E932E3" w:rsidRDefault="00000000">
            <w:pPr>
              <w:spacing w:after="0" w:line="240" w:lineRule="auto"/>
            </w:pPr>
            <w:r>
              <w:rPr>
                <w:rFonts w:eastAsia="Times New Roman" w:cs="Times New Roman"/>
                <w:sz w:val="20"/>
                <w:szCs w:val="20"/>
              </w:rPr>
              <w:t>AUC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39B9E57" w14:textId="77777777" w:rsidR="00E932E3" w:rsidRDefault="00000000">
            <w:pPr>
              <w:spacing w:after="0" w:line="240" w:lineRule="auto"/>
              <w:jc w:val="center"/>
            </w:pPr>
            <w:r>
              <w:rPr>
                <w:rFonts w:eastAsia="Times New Roman" w:cs="Times New Roman"/>
                <w:sz w:val="20"/>
                <w:szCs w:val="20"/>
              </w:rPr>
              <w:t>Area under the receiver-operating-characteristic curve</w:t>
            </w:r>
          </w:p>
        </w:tc>
      </w:tr>
      <w:tr w:rsidR="00E932E3" w14:paraId="24F7D3CE"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F751800" w14:textId="77777777" w:rsidR="00E932E3" w:rsidRDefault="00000000">
            <w:pPr>
              <w:spacing w:after="0" w:line="240" w:lineRule="auto"/>
            </w:pPr>
            <w:r>
              <w:rPr>
                <w:rFonts w:eastAsia="Times New Roman" w:cs="Times New Roman"/>
                <w:sz w:val="20"/>
                <w:szCs w:val="20"/>
              </w:rPr>
              <w:t>AUPRC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A269390" w14:textId="77777777" w:rsidR="00E932E3" w:rsidRDefault="00000000">
            <w:pPr>
              <w:spacing w:after="0" w:line="240" w:lineRule="auto"/>
              <w:jc w:val="center"/>
            </w:pPr>
            <w:r>
              <w:rPr>
                <w:rFonts w:eastAsia="Times New Roman" w:cs="Times New Roman"/>
                <w:sz w:val="20"/>
                <w:szCs w:val="20"/>
              </w:rPr>
              <w:t>Area under the precision–recall curve</w:t>
            </w:r>
          </w:p>
        </w:tc>
      </w:tr>
      <w:tr w:rsidR="00E932E3" w14:paraId="755239B6"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2854D2B" w14:textId="77777777" w:rsidR="00E932E3" w:rsidRDefault="00000000">
            <w:pPr>
              <w:spacing w:after="0" w:line="240" w:lineRule="auto"/>
            </w:pPr>
            <w:r>
              <w:rPr>
                <w:rFonts w:eastAsia="Times New Roman" w:cs="Times New Roman"/>
                <w:sz w:val="20"/>
                <w:szCs w:val="20"/>
              </w:rPr>
              <w:t>CI</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EEE4176" w14:textId="77777777" w:rsidR="00E932E3" w:rsidRDefault="00000000">
            <w:pPr>
              <w:spacing w:after="0" w:line="240" w:lineRule="auto"/>
              <w:jc w:val="center"/>
            </w:pPr>
            <w:r>
              <w:rPr>
                <w:rFonts w:eastAsia="Times New Roman" w:cs="Times New Roman"/>
                <w:sz w:val="20"/>
                <w:szCs w:val="20"/>
              </w:rPr>
              <w:t>Confidence interval</w:t>
            </w:r>
          </w:p>
        </w:tc>
      </w:tr>
      <w:tr w:rsidR="00E932E3" w14:paraId="4F06E638"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E7CDFE5" w14:textId="77777777" w:rsidR="00E932E3" w:rsidRDefault="00000000">
            <w:pPr>
              <w:spacing w:after="0" w:line="240" w:lineRule="auto"/>
            </w:pPr>
            <w:r>
              <w:rPr>
                <w:rFonts w:eastAsia="Times New Roman" w:cs="Times New Roman"/>
                <w:sz w:val="20"/>
                <w:szCs w:val="20"/>
              </w:rPr>
              <w:t>C-index</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7A639DE" w14:textId="77777777" w:rsidR="00E932E3" w:rsidRDefault="00000000">
            <w:pPr>
              <w:spacing w:after="0" w:line="240" w:lineRule="auto"/>
              <w:jc w:val="center"/>
            </w:pPr>
            <w:r>
              <w:rPr>
                <w:rFonts w:eastAsia="Times New Roman" w:cs="Times New Roman"/>
                <w:sz w:val="20"/>
                <w:szCs w:val="20"/>
              </w:rPr>
              <w:t>Concordance index</w:t>
            </w:r>
          </w:p>
        </w:tc>
      </w:tr>
      <w:tr w:rsidR="00E932E3" w14:paraId="1B1657BC"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6BAD3C0" w14:textId="77777777" w:rsidR="00E932E3" w:rsidRDefault="00000000">
            <w:pPr>
              <w:spacing w:after="0" w:line="240" w:lineRule="auto"/>
            </w:pPr>
            <w:r>
              <w:rPr>
                <w:rFonts w:eastAsia="Times New Roman" w:cs="Times New Roman"/>
                <w:sz w:val="20"/>
                <w:szCs w:val="20"/>
              </w:rPr>
              <w:t>COAD</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85A4BAF" w14:textId="77777777" w:rsidR="00E932E3" w:rsidRDefault="00000000">
            <w:pPr>
              <w:spacing w:after="0" w:line="240" w:lineRule="auto"/>
              <w:jc w:val="center"/>
            </w:pPr>
            <w:r>
              <w:rPr>
                <w:rFonts w:eastAsia="Times New Roman" w:cs="Times New Roman"/>
                <w:sz w:val="20"/>
                <w:szCs w:val="20"/>
              </w:rPr>
              <w:t>Colon adenocarcinoma</w:t>
            </w:r>
          </w:p>
        </w:tc>
      </w:tr>
      <w:tr w:rsidR="00E932E3" w14:paraId="1D87E612"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33094FF" w14:textId="77777777" w:rsidR="00E932E3" w:rsidRDefault="00000000">
            <w:pPr>
              <w:spacing w:after="0" w:line="240" w:lineRule="auto"/>
            </w:pPr>
            <w:r>
              <w:rPr>
                <w:rFonts w:eastAsia="Times New Roman" w:cs="Times New Roman"/>
                <w:sz w:val="20"/>
                <w:szCs w:val="20"/>
              </w:rPr>
              <w:t>CRC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9D0E257" w14:textId="77777777" w:rsidR="00E932E3" w:rsidRDefault="00000000">
            <w:pPr>
              <w:spacing w:after="0" w:line="240" w:lineRule="auto"/>
              <w:jc w:val="center"/>
            </w:pPr>
            <w:r>
              <w:rPr>
                <w:rFonts w:eastAsia="Times New Roman" w:cs="Times New Roman"/>
                <w:sz w:val="20"/>
                <w:szCs w:val="20"/>
              </w:rPr>
              <w:t>Colorectal cancer</w:t>
            </w:r>
          </w:p>
        </w:tc>
      </w:tr>
      <w:tr w:rsidR="00E932E3" w14:paraId="5FCA7F9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191F871" w14:textId="77777777" w:rsidR="00E932E3" w:rsidRDefault="00000000">
            <w:pPr>
              <w:spacing w:after="0" w:line="240" w:lineRule="auto"/>
            </w:pPr>
            <w:r>
              <w:rPr>
                <w:rFonts w:eastAsia="Times New Roman" w:cs="Times New Roman"/>
                <w:sz w:val="20"/>
                <w:szCs w:val="20"/>
              </w:rPr>
              <w:lastRenderedPageBreak/>
              <w:t>DEG</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7F4A77E" w14:textId="77777777" w:rsidR="00E932E3" w:rsidRDefault="00000000">
            <w:pPr>
              <w:spacing w:after="0" w:line="240" w:lineRule="auto"/>
              <w:jc w:val="center"/>
            </w:pPr>
            <w:r>
              <w:rPr>
                <w:rFonts w:eastAsia="Times New Roman" w:cs="Times New Roman"/>
                <w:sz w:val="20"/>
                <w:szCs w:val="20"/>
              </w:rPr>
              <w:t>Differentially expressed gene</w:t>
            </w:r>
          </w:p>
        </w:tc>
      </w:tr>
      <w:tr w:rsidR="00E932E3" w14:paraId="770C8188"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68CA71A" w14:textId="77777777" w:rsidR="00E932E3" w:rsidRDefault="00000000">
            <w:pPr>
              <w:spacing w:after="0" w:line="240" w:lineRule="auto"/>
            </w:pPr>
            <w:r>
              <w:rPr>
                <w:rFonts w:eastAsia="Times New Roman" w:cs="Times New Roman"/>
                <w:sz w:val="20"/>
                <w:szCs w:val="20"/>
              </w:rPr>
              <w:t>EPV</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CF390F3" w14:textId="77777777" w:rsidR="00E932E3" w:rsidRDefault="00000000">
            <w:pPr>
              <w:spacing w:after="0" w:line="240" w:lineRule="auto"/>
              <w:jc w:val="center"/>
            </w:pPr>
            <w:r>
              <w:rPr>
                <w:rFonts w:eastAsia="Times New Roman" w:cs="Times New Roman"/>
                <w:sz w:val="20"/>
                <w:szCs w:val="20"/>
              </w:rPr>
              <w:t>Events per variable</w:t>
            </w:r>
          </w:p>
        </w:tc>
      </w:tr>
      <w:tr w:rsidR="00E932E3" w14:paraId="47F59DA4"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5D234A5" w14:textId="77777777" w:rsidR="00E932E3" w:rsidRDefault="00000000">
            <w:pPr>
              <w:spacing w:after="0" w:line="240" w:lineRule="auto"/>
            </w:pPr>
            <w:r>
              <w:rPr>
                <w:rFonts w:eastAsia="Times New Roman" w:cs="Times New Roman"/>
                <w:sz w:val="20"/>
                <w:szCs w:val="20"/>
              </w:rPr>
              <w:t>FDR</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C3A69B1" w14:textId="77777777" w:rsidR="00E932E3" w:rsidRDefault="00000000">
            <w:pPr>
              <w:spacing w:after="0" w:line="240" w:lineRule="auto"/>
              <w:jc w:val="center"/>
            </w:pPr>
            <w:r>
              <w:rPr>
                <w:rFonts w:eastAsia="Times New Roman" w:cs="Times New Roman"/>
                <w:sz w:val="20"/>
                <w:szCs w:val="20"/>
              </w:rPr>
              <w:t>False discovery rate</w:t>
            </w:r>
          </w:p>
        </w:tc>
      </w:tr>
      <w:tr w:rsidR="00E932E3" w14:paraId="3123679C"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4AD7D76" w14:textId="77777777" w:rsidR="00E932E3" w:rsidRDefault="00000000">
            <w:pPr>
              <w:spacing w:after="0" w:line="240" w:lineRule="auto"/>
            </w:pPr>
            <w:r>
              <w:rPr>
                <w:rFonts w:eastAsia="Times New Roman" w:cs="Times New Roman"/>
                <w:sz w:val="20"/>
                <w:szCs w:val="20"/>
              </w:rPr>
              <w:t>GTEx</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EB2EC62" w14:textId="77777777" w:rsidR="00E932E3" w:rsidRDefault="00000000">
            <w:pPr>
              <w:spacing w:after="0" w:line="240" w:lineRule="auto"/>
              <w:jc w:val="center"/>
            </w:pPr>
            <w:r>
              <w:rPr>
                <w:rFonts w:eastAsia="Times New Roman" w:cs="Times New Roman"/>
                <w:sz w:val="20"/>
                <w:szCs w:val="20"/>
              </w:rPr>
              <w:t>Genotype-Tissue Expression project</w:t>
            </w:r>
          </w:p>
        </w:tc>
      </w:tr>
      <w:tr w:rsidR="00E932E3" w14:paraId="3076252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64A96D3" w14:textId="77777777" w:rsidR="00E932E3" w:rsidRDefault="00000000">
            <w:pPr>
              <w:spacing w:after="0" w:line="240" w:lineRule="auto"/>
            </w:pPr>
            <w:r>
              <w:rPr>
                <w:rFonts w:eastAsia="Times New Roman" w:cs="Times New Roman"/>
                <w:sz w:val="20"/>
                <w:szCs w:val="20"/>
              </w:rPr>
              <w:t>log2FC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688FD9C" w14:textId="77777777" w:rsidR="00E932E3" w:rsidRDefault="00000000">
            <w:pPr>
              <w:spacing w:after="0" w:line="240" w:lineRule="auto"/>
              <w:jc w:val="center"/>
            </w:pPr>
            <w:r>
              <w:rPr>
                <w:rFonts w:eastAsia="Times New Roman" w:cs="Times New Roman"/>
                <w:sz w:val="20"/>
                <w:szCs w:val="20"/>
              </w:rPr>
              <w:t>Log2 fold-change</w:t>
            </w:r>
          </w:p>
        </w:tc>
      </w:tr>
      <w:tr w:rsidR="00E932E3" w14:paraId="45C2299F"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F7C676B" w14:textId="77777777" w:rsidR="00E932E3" w:rsidRDefault="00000000">
            <w:pPr>
              <w:spacing w:after="0" w:line="240" w:lineRule="auto"/>
            </w:pPr>
            <w:r>
              <w:rPr>
                <w:rFonts w:eastAsia="Times New Roman" w:cs="Times New Roman"/>
                <w:sz w:val="20"/>
                <w:szCs w:val="20"/>
              </w:rPr>
              <w:t>MCC</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2983F53" w14:textId="77777777" w:rsidR="00E932E3" w:rsidRDefault="00000000">
            <w:pPr>
              <w:spacing w:after="0" w:line="240" w:lineRule="auto"/>
              <w:jc w:val="center"/>
            </w:pPr>
            <w:r>
              <w:rPr>
                <w:rFonts w:eastAsia="Times New Roman" w:cs="Times New Roman"/>
                <w:sz w:val="20"/>
                <w:szCs w:val="20"/>
              </w:rPr>
              <w:t>Matthews correlation coefficient</w:t>
            </w:r>
          </w:p>
        </w:tc>
      </w:tr>
      <w:tr w:rsidR="00E932E3" w14:paraId="4F0E737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4C383C4" w14:textId="77777777" w:rsidR="00E932E3" w:rsidRDefault="00000000">
            <w:pPr>
              <w:spacing w:after="0" w:line="240" w:lineRule="auto"/>
            </w:pPr>
            <w:r>
              <w:rPr>
                <w:rFonts w:eastAsia="Times New Roman" w:cs="Times New Roman"/>
                <w:sz w:val="20"/>
                <w:szCs w:val="20"/>
              </w:rPr>
              <w:t>MCODE</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BA2C93A" w14:textId="77777777" w:rsidR="00E932E3" w:rsidRDefault="00000000">
            <w:pPr>
              <w:spacing w:after="0" w:line="240" w:lineRule="auto"/>
              <w:jc w:val="center"/>
            </w:pPr>
            <w:r>
              <w:rPr>
                <w:rFonts w:eastAsia="Times New Roman" w:cs="Times New Roman"/>
                <w:sz w:val="20"/>
                <w:szCs w:val="20"/>
              </w:rPr>
              <w:t>Molecular Complex Detection</w:t>
            </w:r>
          </w:p>
        </w:tc>
      </w:tr>
      <w:tr w:rsidR="00E932E3" w14:paraId="65A8062C"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86F6075" w14:textId="77777777" w:rsidR="00E932E3" w:rsidRDefault="00000000">
            <w:pPr>
              <w:spacing w:after="0" w:line="240" w:lineRule="auto"/>
            </w:pPr>
            <w:r>
              <w:rPr>
                <w:rFonts w:eastAsia="Times New Roman" w:cs="Times New Roman"/>
                <w:sz w:val="20"/>
                <w:szCs w:val="20"/>
              </w:rPr>
              <w:t>OS</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3D4615D" w14:textId="77777777" w:rsidR="00E932E3" w:rsidRDefault="00000000">
            <w:pPr>
              <w:spacing w:after="0" w:line="240" w:lineRule="auto"/>
              <w:jc w:val="center"/>
            </w:pPr>
            <w:r>
              <w:rPr>
                <w:rFonts w:eastAsia="Times New Roman" w:cs="Times New Roman"/>
                <w:sz w:val="20"/>
                <w:szCs w:val="20"/>
              </w:rPr>
              <w:t>Overall survival</w:t>
            </w:r>
          </w:p>
        </w:tc>
      </w:tr>
      <w:tr w:rsidR="00E932E3" w14:paraId="79B87B95"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A01BA92" w14:textId="77777777" w:rsidR="00E932E3" w:rsidRDefault="00000000">
            <w:pPr>
              <w:spacing w:after="0" w:line="240" w:lineRule="auto"/>
            </w:pPr>
            <w:r>
              <w:rPr>
                <w:rFonts w:eastAsia="Times New Roman" w:cs="Times New Roman"/>
                <w:sz w:val="20"/>
                <w:szCs w:val="20"/>
              </w:rPr>
              <w:t>PPI</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F5F6528" w14:textId="77777777" w:rsidR="00E932E3" w:rsidRDefault="00000000">
            <w:pPr>
              <w:spacing w:after="0" w:line="240" w:lineRule="auto"/>
              <w:jc w:val="center"/>
            </w:pPr>
            <w:r>
              <w:rPr>
                <w:rFonts w:eastAsia="Times New Roman" w:cs="Times New Roman"/>
                <w:sz w:val="20"/>
                <w:szCs w:val="20"/>
              </w:rPr>
              <w:t>Protein–protein interaction</w:t>
            </w:r>
          </w:p>
        </w:tc>
      </w:tr>
      <w:tr w:rsidR="00E932E3" w14:paraId="30933CE4"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569EAFB" w14:textId="77777777" w:rsidR="00E932E3" w:rsidRDefault="00000000">
            <w:pPr>
              <w:spacing w:after="0" w:line="240" w:lineRule="auto"/>
            </w:pPr>
            <w:r>
              <w:rPr>
                <w:rFonts w:eastAsia="Times New Roman" w:cs="Times New Roman"/>
                <w:sz w:val="20"/>
                <w:szCs w:val="20"/>
              </w:rPr>
              <w:t>RSF</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B686FBB" w14:textId="77777777" w:rsidR="00E932E3" w:rsidRDefault="00000000">
            <w:pPr>
              <w:spacing w:after="0" w:line="240" w:lineRule="auto"/>
              <w:jc w:val="center"/>
            </w:pPr>
            <w:r>
              <w:rPr>
                <w:rFonts w:eastAsia="Times New Roman" w:cs="Times New Roman"/>
                <w:sz w:val="20"/>
                <w:szCs w:val="20"/>
              </w:rPr>
              <w:t>Random survival forest</w:t>
            </w:r>
          </w:p>
        </w:tc>
      </w:tr>
      <w:tr w:rsidR="00E932E3" w14:paraId="272834D8"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B93B625" w14:textId="77777777" w:rsidR="00E932E3" w:rsidRDefault="00000000">
            <w:pPr>
              <w:spacing w:after="0" w:line="240" w:lineRule="auto"/>
            </w:pPr>
            <w:r>
              <w:rPr>
                <w:rFonts w:eastAsia="Times New Roman" w:cs="Times New Roman"/>
                <w:sz w:val="20"/>
                <w:szCs w:val="20"/>
              </w:rPr>
              <w:t>SHAP</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CBF6F94" w14:textId="77777777" w:rsidR="00E932E3" w:rsidRDefault="00000000">
            <w:pPr>
              <w:spacing w:after="0" w:line="240" w:lineRule="auto"/>
              <w:jc w:val="center"/>
            </w:pPr>
            <w:r>
              <w:rPr>
                <w:rFonts w:eastAsia="Times New Roman" w:cs="Times New Roman"/>
                <w:sz w:val="20"/>
                <w:szCs w:val="20"/>
              </w:rPr>
              <w:t>SHapley Additive exPlanations</w:t>
            </w:r>
          </w:p>
        </w:tc>
      </w:tr>
      <w:tr w:rsidR="00E932E3" w14:paraId="1443327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C7FFF29" w14:textId="77777777" w:rsidR="00E932E3" w:rsidRDefault="00000000">
            <w:pPr>
              <w:spacing w:after="0" w:line="240" w:lineRule="auto"/>
            </w:pPr>
            <w:r>
              <w:rPr>
                <w:rFonts w:eastAsia="Times New Roman" w:cs="Times New Roman"/>
                <w:sz w:val="20"/>
                <w:szCs w:val="20"/>
              </w:rPr>
              <w:t>TCGA</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56CA6AD" w14:textId="77777777" w:rsidR="00E932E3" w:rsidRDefault="00000000">
            <w:pPr>
              <w:spacing w:after="0" w:line="240" w:lineRule="auto"/>
              <w:jc w:val="center"/>
            </w:pPr>
            <w:r>
              <w:rPr>
                <w:rFonts w:eastAsia="Times New Roman" w:cs="Times New Roman"/>
                <w:sz w:val="20"/>
                <w:szCs w:val="20"/>
              </w:rPr>
              <w:t>The Cancer Genome Atlas</w:t>
            </w:r>
          </w:p>
        </w:tc>
      </w:tr>
      <w:tr w:rsidR="00E932E3" w14:paraId="0E0E83B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0F2A244" w14:textId="77777777" w:rsidR="00E932E3" w:rsidRDefault="00000000">
            <w:pPr>
              <w:spacing w:after="0" w:line="240" w:lineRule="auto"/>
            </w:pPr>
            <w:r>
              <w:rPr>
                <w:rFonts w:eastAsia="Times New Roman" w:cs="Times New Roman"/>
                <w:sz w:val="20"/>
                <w:szCs w:val="20"/>
              </w:rPr>
              <w:t>TNM</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747F1A8" w14:textId="77777777" w:rsidR="00E932E3" w:rsidRDefault="00000000">
            <w:pPr>
              <w:spacing w:after="0" w:line="240" w:lineRule="auto"/>
              <w:jc w:val="center"/>
            </w:pPr>
            <w:r>
              <w:rPr>
                <w:rFonts w:eastAsia="Times New Roman" w:cs="Times New Roman"/>
                <w:sz w:val="20"/>
                <w:szCs w:val="20"/>
              </w:rPr>
              <w:t>Tumour–Node–Metastasis</w:t>
            </w:r>
          </w:p>
        </w:tc>
      </w:tr>
      <w:tr w:rsidR="00E932E3" w14:paraId="0C65AB2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DDEBF9E" w14:textId="77777777" w:rsidR="00E932E3" w:rsidRDefault="00000000">
            <w:pPr>
              <w:spacing w:after="0" w:line="240" w:lineRule="auto"/>
            </w:pPr>
            <w:r>
              <w:rPr>
                <w:rFonts w:eastAsia="Times New Roman" w:cs="Times New Roman"/>
                <w:sz w:val="20"/>
                <w:szCs w:val="20"/>
              </w:rPr>
              <w:t>XAI</w:t>
            </w:r>
          </w:p>
        </w:tc>
        <w:tc>
          <w:tcPr>
            <w:tcW w:w="67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569F195" w14:textId="77777777" w:rsidR="00E932E3" w:rsidRDefault="00000000">
            <w:pPr>
              <w:spacing w:after="0" w:line="240" w:lineRule="auto"/>
              <w:jc w:val="center"/>
            </w:pPr>
            <w:r>
              <w:rPr>
                <w:rFonts w:eastAsia="Times New Roman" w:cs="Times New Roman"/>
                <w:sz w:val="20"/>
                <w:szCs w:val="20"/>
              </w:rPr>
              <w:t>Explainable artificial intelligence</w:t>
            </w:r>
          </w:p>
        </w:tc>
      </w:tr>
    </w:tbl>
    <w:p w14:paraId="3364090E" w14:textId="77777777" w:rsidR="00E932E3" w:rsidRDefault="00E932E3">
      <w:pPr>
        <w:spacing w:after="100"/>
        <w:jc w:val="both"/>
      </w:pPr>
    </w:p>
    <w:p w14:paraId="1FBC2AAA" w14:textId="77777777" w:rsidR="00E932E3" w:rsidRDefault="00000000">
      <w:pPr>
        <w:pStyle w:val="Heading1"/>
        <w:spacing w:before="280" w:after="140"/>
      </w:pPr>
      <w:r>
        <w:rPr>
          <w:rFonts w:ascii="Times New Roman" w:eastAsia="Times New Roman" w:hAnsi="Times New Roman" w:cs="Times New Roman"/>
        </w:rPr>
        <w:t>Supplementary Materials</w:t>
      </w:r>
    </w:p>
    <w:p w14:paraId="10BD87AA" w14:textId="77777777" w:rsidR="00E932E3" w:rsidRDefault="00000000">
      <w:pPr>
        <w:spacing w:after="160"/>
        <w:jc w:val="both"/>
      </w:pPr>
      <w:r>
        <w:rPr>
          <w:rFonts w:eastAsia="Times New Roman" w:cs="Times New Roman"/>
        </w:rPr>
        <w:t xml:space="preserve">The following are provided as Supplementary Materials (companion file </w:t>
      </w:r>
      <w:r>
        <w:rPr>
          <w:rFonts w:eastAsia="Times New Roman" w:cs="Times New Roman"/>
          <w:b/>
          <w:bCs/>
        </w:rPr>
        <w:t>Paper1_Supplementary_v1.docx</w:t>
      </w:r>
      <w:r>
        <w:rPr>
          <w:rFonts w:eastAsia="Times New Roman" w:cs="Times New Roman"/>
        </w:rPr>
        <w:t>). Main-text figures are Figures 1–9. The items below are confirmatory, sensitivity, or large tabular content supporting but not carrying the principal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E932E3" w14:paraId="5A6969DF"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520A384F" w14:textId="77777777" w:rsidR="00E932E3" w:rsidRDefault="00000000">
            <w:pPr>
              <w:spacing w:after="0" w:line="240" w:lineRule="auto"/>
              <w:jc w:val="center"/>
            </w:pPr>
            <w:r>
              <w:rPr>
                <w:rFonts w:eastAsia="Times New Roman" w:cs="Times New Roman"/>
                <w:b/>
                <w:bCs/>
                <w:sz w:val="20"/>
                <w:szCs w:val="20"/>
              </w:rPr>
              <w:t>Item</w:t>
            </w:r>
          </w:p>
        </w:tc>
        <w:tc>
          <w:tcPr>
            <w:tcW w:w="71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90" w:type="dxa"/>
              <w:bottom w:w="60" w:type="dxa"/>
              <w:right w:w="90" w:type="dxa"/>
            </w:tcMar>
            <w:vAlign w:val="center"/>
          </w:tcPr>
          <w:p w14:paraId="6D1F0756" w14:textId="77777777" w:rsidR="00E932E3" w:rsidRDefault="00000000">
            <w:pPr>
              <w:spacing w:after="0" w:line="240" w:lineRule="auto"/>
              <w:jc w:val="center"/>
            </w:pPr>
            <w:r>
              <w:rPr>
                <w:rFonts w:eastAsia="Times New Roman" w:cs="Times New Roman"/>
                <w:b/>
                <w:bCs/>
                <w:sz w:val="20"/>
                <w:szCs w:val="20"/>
              </w:rPr>
              <w:t>Content</w:t>
            </w:r>
          </w:p>
        </w:tc>
      </w:tr>
      <w:tr w:rsidR="00E932E3" w14:paraId="6BD92B3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90F8521" w14:textId="77777777" w:rsidR="00E932E3" w:rsidRDefault="00000000">
            <w:pPr>
              <w:spacing w:after="0" w:line="240" w:lineRule="auto"/>
            </w:pPr>
            <w:r>
              <w:rPr>
                <w:rFonts w:eastAsia="Times New Roman" w:cs="Times New Roman"/>
                <w:sz w:val="20"/>
                <w:szCs w:val="20"/>
              </w:rPr>
              <w:t>Table S1</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372F2CC" w14:textId="77777777" w:rsidR="00E932E3" w:rsidRDefault="00000000">
            <w:pPr>
              <w:spacing w:after="0" w:line="240" w:lineRule="auto"/>
              <w:jc w:val="center"/>
            </w:pPr>
            <w:r>
              <w:rPr>
                <w:rFonts w:eastAsia="Times New Roman" w:cs="Times New Roman"/>
                <w:sz w:val="20"/>
                <w:szCs w:val="20"/>
              </w:rPr>
              <w:t>Per-contrast concordance between the canonical R-limma and Python differential-expression implementations (global and per-stage): DEG counts, Jaccard index, log2FC Spearman correlation, direction agreement.</w:t>
            </w:r>
          </w:p>
        </w:tc>
      </w:tr>
      <w:tr w:rsidR="00E932E3" w14:paraId="1FF02DC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55CA6AB" w14:textId="77777777" w:rsidR="00E932E3" w:rsidRDefault="00000000">
            <w:pPr>
              <w:spacing w:after="0" w:line="240" w:lineRule="auto"/>
            </w:pPr>
            <w:r>
              <w:rPr>
                <w:rFonts w:eastAsia="Times New Roman" w:cs="Times New Roman"/>
                <w:sz w:val="20"/>
                <w:szCs w:val="20"/>
              </w:rPr>
              <w:t>Table S2</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E72A9FD" w14:textId="77777777" w:rsidR="00E932E3" w:rsidRDefault="00000000">
            <w:pPr>
              <w:spacing w:after="0" w:line="240" w:lineRule="auto"/>
              <w:jc w:val="center"/>
            </w:pPr>
            <w:r>
              <w:rPr>
                <w:rFonts w:eastAsia="Times New Roman" w:cs="Times New Roman"/>
                <w:sz w:val="20"/>
                <w:szCs w:val="20"/>
              </w:rPr>
              <w:t>Differential-expression statistics for the ten panel genes in both implementations (log2FC, FDR, direction).</w:t>
            </w:r>
          </w:p>
        </w:tc>
      </w:tr>
      <w:tr w:rsidR="00E932E3" w14:paraId="08ED04F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C18B6C1" w14:textId="77777777" w:rsidR="00E932E3" w:rsidRDefault="00000000">
            <w:pPr>
              <w:spacing w:after="0" w:line="240" w:lineRule="auto"/>
            </w:pPr>
            <w:r>
              <w:rPr>
                <w:rFonts w:eastAsia="Times New Roman" w:cs="Times New Roman"/>
                <w:sz w:val="20"/>
                <w:szCs w:val="20"/>
              </w:rPr>
              <w:t>Table S3</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B28024D" w14:textId="77777777" w:rsidR="00E932E3" w:rsidRDefault="00000000">
            <w:pPr>
              <w:spacing w:after="0" w:line="240" w:lineRule="auto"/>
              <w:jc w:val="center"/>
            </w:pPr>
            <w:r>
              <w:rPr>
                <w:rFonts w:eastAsia="Times New Roman" w:cs="Times New Roman"/>
                <w:sz w:val="20"/>
                <w:szCs w:val="20"/>
              </w:rPr>
              <w:t>Full triangulated enrichment table (817 pathways) with per-platform significance and the 216 robust pathways flagged.</w:t>
            </w:r>
          </w:p>
        </w:tc>
      </w:tr>
      <w:tr w:rsidR="00E932E3" w14:paraId="4D914D5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7E3312D" w14:textId="77777777" w:rsidR="00E932E3" w:rsidRDefault="00000000">
            <w:pPr>
              <w:spacing w:after="0" w:line="240" w:lineRule="auto"/>
            </w:pPr>
            <w:r>
              <w:rPr>
                <w:rFonts w:eastAsia="Times New Roman" w:cs="Times New Roman"/>
                <w:sz w:val="20"/>
                <w:szCs w:val="20"/>
              </w:rPr>
              <w:t>Table S4</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31E2317D" w14:textId="77777777" w:rsidR="00E932E3" w:rsidRDefault="00000000">
            <w:pPr>
              <w:spacing w:after="0" w:line="240" w:lineRule="auto"/>
              <w:jc w:val="center"/>
            </w:pPr>
            <w:r>
              <w:rPr>
                <w:rFonts w:eastAsia="Times New Roman" w:cs="Times New Roman"/>
                <w:sz w:val="20"/>
                <w:szCs w:val="20"/>
              </w:rPr>
              <w:t>Two-level network analysis: degree, betweenness and neighbours of each panel gene at STRING confidence &gt; 0.9 and &gt; 0.7.</w:t>
            </w:r>
          </w:p>
        </w:tc>
      </w:tr>
      <w:tr w:rsidR="00E932E3" w14:paraId="515ABE4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5A510701" w14:textId="77777777" w:rsidR="00E932E3" w:rsidRDefault="00000000">
            <w:pPr>
              <w:spacing w:after="0" w:line="240" w:lineRule="auto"/>
            </w:pPr>
            <w:r>
              <w:rPr>
                <w:rFonts w:eastAsia="Times New Roman" w:cs="Times New Roman"/>
                <w:sz w:val="20"/>
                <w:szCs w:val="20"/>
              </w:rPr>
              <w:t>Table S5</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718689A0" w14:textId="77777777" w:rsidR="00E932E3" w:rsidRDefault="00000000">
            <w:pPr>
              <w:spacing w:after="0" w:line="240" w:lineRule="auto"/>
              <w:jc w:val="center"/>
            </w:pPr>
            <w:r>
              <w:rPr>
                <w:rFonts w:eastAsia="Times New Roman" w:cs="Times New Roman"/>
                <w:sz w:val="20"/>
                <w:szCs w:val="20"/>
              </w:rPr>
              <w:t>Panel-gene membership in robustly enriched pathways.</w:t>
            </w:r>
          </w:p>
        </w:tc>
      </w:tr>
      <w:tr w:rsidR="00E932E3" w14:paraId="34C29F4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1428D13" w14:textId="77777777" w:rsidR="00E932E3" w:rsidRDefault="00000000">
            <w:pPr>
              <w:spacing w:after="0" w:line="240" w:lineRule="auto"/>
            </w:pPr>
            <w:r>
              <w:rPr>
                <w:rFonts w:eastAsia="Times New Roman" w:cs="Times New Roman"/>
                <w:sz w:val="20"/>
                <w:szCs w:val="20"/>
              </w:rPr>
              <w:t>Table S6</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12ADF3B" w14:textId="77777777" w:rsidR="00E932E3" w:rsidRDefault="00000000">
            <w:pPr>
              <w:spacing w:after="0" w:line="240" w:lineRule="auto"/>
              <w:jc w:val="center"/>
            </w:pPr>
            <w:r>
              <w:rPr>
                <w:rFonts w:eastAsia="Times New Roman" w:cs="Times New Roman"/>
                <w:sz w:val="20"/>
                <w:szCs w:val="20"/>
              </w:rPr>
              <w:t>Saudi colorectal-cancer pathway cross-reference with literature sources.</w:t>
            </w:r>
          </w:p>
        </w:tc>
      </w:tr>
      <w:tr w:rsidR="00E932E3" w14:paraId="3D0BB83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2965D751" w14:textId="77777777" w:rsidR="00E932E3" w:rsidRDefault="00000000">
            <w:pPr>
              <w:spacing w:after="0" w:line="240" w:lineRule="auto"/>
            </w:pPr>
            <w:r>
              <w:rPr>
                <w:rFonts w:eastAsia="Times New Roman" w:cs="Times New Roman"/>
                <w:sz w:val="20"/>
                <w:szCs w:val="20"/>
              </w:rPr>
              <w:t>Table S7</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301F473" w14:textId="77777777" w:rsidR="00E932E3" w:rsidRDefault="00000000">
            <w:pPr>
              <w:spacing w:after="0" w:line="240" w:lineRule="auto"/>
              <w:jc w:val="center"/>
            </w:pPr>
            <w:r>
              <w:rPr>
                <w:rFonts w:eastAsia="Times New Roman" w:cs="Times New Roman"/>
                <w:sz w:val="20"/>
                <w:szCs w:val="20"/>
              </w:rPr>
              <w:t>Literature corroboration table for the ten panel genes (status, direction, references).</w:t>
            </w:r>
          </w:p>
        </w:tc>
      </w:tr>
      <w:tr w:rsidR="00E932E3" w14:paraId="56FB57D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5A61688" w14:textId="77777777" w:rsidR="00E932E3" w:rsidRDefault="00000000">
            <w:pPr>
              <w:spacing w:after="0" w:line="240" w:lineRule="auto"/>
            </w:pPr>
            <w:r>
              <w:rPr>
                <w:rFonts w:eastAsia="Times New Roman" w:cs="Times New Roman"/>
                <w:sz w:val="20"/>
                <w:szCs w:val="20"/>
              </w:rPr>
              <w:t>Figure S1</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4FBB1401" w14:textId="77777777" w:rsidR="00E932E3" w:rsidRDefault="00000000">
            <w:pPr>
              <w:spacing w:after="0" w:line="240" w:lineRule="auto"/>
              <w:jc w:val="center"/>
            </w:pPr>
            <w:r>
              <w:rPr>
                <w:rFonts w:eastAsia="Times New Roman" w:cs="Times New Roman"/>
                <w:sz w:val="20"/>
                <w:szCs w:val="20"/>
              </w:rPr>
              <w:t>Per-stage exploratory survival analyses (Kaplan–Meier curves and per-stage C-indices), explicitly underpowered (EPV &lt; 10).</w:t>
            </w:r>
          </w:p>
        </w:tc>
      </w:tr>
      <w:tr w:rsidR="00E932E3" w14:paraId="5D5445B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3656EAF" w14:textId="77777777" w:rsidR="00E932E3" w:rsidRDefault="00000000">
            <w:pPr>
              <w:spacing w:after="0" w:line="240" w:lineRule="auto"/>
            </w:pPr>
            <w:r>
              <w:rPr>
                <w:rFonts w:eastAsia="Times New Roman" w:cs="Times New Roman"/>
                <w:sz w:val="20"/>
                <w:szCs w:val="20"/>
              </w:rPr>
              <w:t>Figure S2</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6553DD0E" w14:textId="77777777" w:rsidR="00E932E3" w:rsidRDefault="00000000">
            <w:pPr>
              <w:spacing w:after="0" w:line="240" w:lineRule="auto"/>
              <w:jc w:val="center"/>
            </w:pPr>
            <w:r>
              <w:rPr>
                <w:rFonts w:eastAsia="Times New Roman" w:cs="Times New Roman"/>
                <w:sz w:val="20"/>
                <w:szCs w:val="20"/>
              </w:rPr>
              <w:t>Network-confidence sensitivity analysis (STRING 0.9 vs 0.7) underlying Figure 9C.</w:t>
            </w:r>
          </w:p>
        </w:tc>
      </w:tr>
      <w:tr w:rsidR="00E932E3" w14:paraId="280799C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050453D5" w14:textId="77777777" w:rsidR="00E932E3" w:rsidRDefault="00000000">
            <w:pPr>
              <w:spacing w:after="0" w:line="240" w:lineRule="auto"/>
            </w:pPr>
            <w:r>
              <w:rPr>
                <w:rFonts w:eastAsia="Times New Roman" w:cs="Times New Roman"/>
                <w:sz w:val="20"/>
                <w:szCs w:val="20"/>
              </w:rPr>
              <w:t>Figure S3</w:t>
            </w:r>
          </w:p>
        </w:tc>
        <w:tc>
          <w:tcPr>
            <w:tcW w:w="71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vAlign w:val="center"/>
          </w:tcPr>
          <w:p w14:paraId="1210C2A3" w14:textId="77777777" w:rsidR="00E932E3" w:rsidRDefault="00000000">
            <w:pPr>
              <w:spacing w:after="0" w:line="240" w:lineRule="auto"/>
              <w:jc w:val="center"/>
            </w:pPr>
            <w:r>
              <w:rPr>
                <w:rFonts w:eastAsia="Times New Roman" w:cs="Times New Roman"/>
                <w:sz w:val="20"/>
                <w:szCs w:val="20"/>
              </w:rPr>
              <w:t>GEPIA2 expression box plots for all ten panel genes and the ESM1 stage plot.</w:t>
            </w:r>
          </w:p>
        </w:tc>
      </w:tr>
    </w:tbl>
    <w:p w14:paraId="46A3CB86" w14:textId="77777777" w:rsidR="00E932E3" w:rsidRDefault="00000000">
      <w:pPr>
        <w:pStyle w:val="Heading1"/>
        <w:spacing w:before="280" w:after="140"/>
      </w:pPr>
      <w:r>
        <w:rPr>
          <w:rFonts w:ascii="Times New Roman" w:eastAsia="Times New Roman" w:hAnsi="Times New Roman" w:cs="Times New Roman"/>
        </w:rPr>
        <w:lastRenderedPageBreak/>
        <w:t>Data Availability Statement</w:t>
      </w:r>
    </w:p>
    <w:p w14:paraId="14C3B829" w14:textId="77777777" w:rsidR="00E932E3" w:rsidRDefault="00000000">
      <w:pPr>
        <w:spacing w:after="160"/>
        <w:jc w:val="both"/>
      </w:pPr>
      <w:r>
        <w:rPr>
          <w:rFonts w:eastAsia="Times New Roman" w:cs="Times New Roman"/>
        </w:rPr>
        <w:t>All data analysed in this study are publicly available: TCGA-COAD via the UCSC Xena platform; GSE50760, GSE39582 and GSE17536 via the Gene Expression Omnibus. All analysis code, processed data, trained models, and figure-generation scripts are released under the MIT licence in the project repository (https://github.com/SAH-ML), enabling complete reproduction of every result.</w:t>
      </w:r>
    </w:p>
    <w:p w14:paraId="337CC6A0" w14:textId="77777777" w:rsidR="00E932E3" w:rsidRDefault="00000000">
      <w:pPr>
        <w:spacing w:before="320" w:after="160"/>
      </w:pPr>
      <w:r>
        <w:rPr>
          <w:b/>
          <w:sz w:val="28"/>
        </w:rPr>
        <w:t>References</w:t>
      </w:r>
    </w:p>
    <w:p w14:paraId="54DCB7C6" w14:textId="77777777" w:rsidR="00E932E3" w:rsidRDefault="00000000">
      <w:pPr>
        <w:spacing w:after="80"/>
        <w:ind w:left="432" w:hanging="432"/>
      </w:pPr>
      <w:r>
        <w:rPr>
          <w:sz w:val="19"/>
        </w:rPr>
        <w:t>1. Wu, S.; Zhang, Y.; Lin, Z.; Wei, M. Global burden of colorectal cancer in 2022 and projections to 2050: incidence and mortality estimates from GLOBOCAN. BMC Cancer 2025, 25, 1770. https://doi.org/10.1186/s12885-025-15138-0.</w:t>
      </w:r>
    </w:p>
    <w:p w14:paraId="328303FE" w14:textId="77777777" w:rsidR="00E932E3" w:rsidRDefault="00000000">
      <w:pPr>
        <w:spacing w:after="80"/>
        <w:ind w:left="432" w:hanging="432"/>
      </w:pPr>
      <w:r>
        <w:rPr>
          <w:sz w:val="19"/>
        </w:rPr>
        <w:t>2. Bray, F.; Laversanne, M.; Sung, H.; Ferlay, J.; Siegel, R.L.; Soerjomataram, I.; Jemal, A. Global cancer statistics 2022: GLOBOCAN estimates of incidence and mortality worldwide for 36 cancers in 185 countries. CA Cancer J. Clin. 2024, 74, 229–263. https://doi.org/10.3322/caac.21834.</w:t>
      </w:r>
    </w:p>
    <w:p w14:paraId="673CF1AD" w14:textId="77777777" w:rsidR="00E932E3" w:rsidRDefault="00000000">
      <w:pPr>
        <w:spacing w:after="80"/>
        <w:ind w:left="432" w:hanging="432"/>
      </w:pPr>
      <w:r>
        <w:rPr>
          <w:sz w:val="19"/>
        </w:rPr>
        <w:t>3. Patel, S.G.; Karlitz, J.J.; Yen, T.; Lieu, C.H.; Boland, C.R. The rising tide of early-onset colorectal cancer: a comprehensive review of epidemiology, clinical features, biology, risk factors, prevention, and early detection. Lancet Gastroenterol. Hepatol. 2022, 7, 262–274. https://doi.org/10.1016/S2468-1253(21)00426-X.</w:t>
      </w:r>
    </w:p>
    <w:p w14:paraId="281061DA" w14:textId="77777777" w:rsidR="00E932E3" w:rsidRDefault="00000000">
      <w:pPr>
        <w:spacing w:after="80"/>
        <w:ind w:left="432" w:hanging="432"/>
      </w:pPr>
      <w:r>
        <w:rPr>
          <w:sz w:val="19"/>
        </w:rPr>
        <w:t>4. Alessa, A.M.; Khan, A.S. Epidemiology of colorectal cancer in Saudi Arabia: a review. Cureus 2024, 16, e64564. https://doi.org/10.7759/cureus.64564.</w:t>
      </w:r>
    </w:p>
    <w:p w14:paraId="1786A02B" w14:textId="77777777" w:rsidR="00E932E3" w:rsidRDefault="00000000">
      <w:pPr>
        <w:spacing w:after="80"/>
        <w:ind w:left="432" w:hanging="432"/>
      </w:pPr>
      <w:r>
        <w:rPr>
          <w:sz w:val="19"/>
        </w:rPr>
        <w:t>5. Aljabri, A.A.; Alharbi, A.G. Colorectal Cancer Screening in Saudi Arabia: Current Challenges and Future Directions. Saudi Med. J. 2026, 47, 10–20. https://doi.org/10.15537/smj.2026.47.1.20250597.</w:t>
      </w:r>
    </w:p>
    <w:p w14:paraId="22BB5F66" w14:textId="77777777" w:rsidR="00E932E3" w:rsidRDefault="00000000">
      <w:pPr>
        <w:spacing w:after="80"/>
        <w:ind w:left="432" w:hanging="432"/>
      </w:pPr>
      <w:r>
        <w:rPr>
          <w:sz w:val="19"/>
        </w:rPr>
        <w:t>6. Alhurishi, S.A.; Pujades-Rodriguez, M.; Shuweihdi, F.; et al. Demographic and clinical characteristics associated with advanced stage colorectal cancer: a registry-based cohort study in Saudi Arabia. BMC Cancer 2024, 24, 533. https://doi.org/10.1186/s12885-024-12270-1.</w:t>
      </w:r>
    </w:p>
    <w:p w14:paraId="0947945D" w14:textId="77777777" w:rsidR="00E932E3" w:rsidRDefault="00000000">
      <w:pPr>
        <w:spacing w:after="80"/>
        <w:ind w:left="432" w:hanging="432"/>
      </w:pPr>
      <w:r>
        <w:rPr>
          <w:sz w:val="19"/>
        </w:rPr>
        <w:t>7. Alsharm, A.A.; et al. Colorectal cancer in Saudi Arabia: the way forward. Asian Pac. J. Cancer Prev. 2023, 24, 13–19. https://doi.org/10.31557/APJCP.2023.24.1.13.</w:t>
      </w:r>
    </w:p>
    <w:p w14:paraId="1A137221" w14:textId="77777777" w:rsidR="00E932E3" w:rsidRDefault="00000000">
      <w:pPr>
        <w:spacing w:after="80"/>
        <w:ind w:left="432" w:hanging="432"/>
      </w:pPr>
      <w:r>
        <w:rPr>
          <w:sz w:val="19"/>
        </w:rPr>
        <w:t>8. Amin, M.B.; Edge, S.B.; Greene, F.L.; Byrd, D.R.; Brookland, R.K.; Washington, M.K.; et al. AJCC Cancer Staging Manual, 8th ed.; Springer: New York, NY, USA, 2017.</w:t>
      </w:r>
    </w:p>
    <w:p w14:paraId="770E1442" w14:textId="77777777" w:rsidR="00E932E3" w:rsidRDefault="00000000">
      <w:pPr>
        <w:spacing w:after="80"/>
        <w:ind w:left="432" w:hanging="432"/>
      </w:pPr>
      <w:r>
        <w:rPr>
          <w:sz w:val="19"/>
        </w:rPr>
        <w:t>9. Alsolme, E.; Alqahtani, S.; Fageeh, M.; Barakeh, D.; Sharma, N.K.; Mangul, S.; Robinson, H.A.; Fathaddin, A.; Hauser, C.A.E.; Abedalthagafi, M. The genomic landscape of colorectal cancer in the Saudi Arabian population using a comprehensive genomic panel. Diagnostics 2023, 13, 2993. https://doi.org/10.3390/diagnostics13182993.</w:t>
      </w:r>
    </w:p>
    <w:p w14:paraId="722C119F" w14:textId="77777777" w:rsidR="00E932E3" w:rsidRDefault="00000000">
      <w:pPr>
        <w:spacing w:after="80"/>
        <w:ind w:left="432" w:hanging="432"/>
      </w:pPr>
      <w:r>
        <w:rPr>
          <w:sz w:val="19"/>
        </w:rPr>
        <w:t>10. Phipps, A.I.; Alwers, E.; Harrison, T.; Banbury, B.; Brenner, H.; Campbell, P.T.; et al. Association between molecular subtypes of colorectal tumors and patient survival, based on pooled analysis of 7 international studies. Gastroenterology 2020, 158, 2158–2168. https://doi.org/10.1053/j.gastro.2020.02.029.</w:t>
      </w:r>
    </w:p>
    <w:p w14:paraId="1FAD0576" w14:textId="77777777" w:rsidR="00E932E3" w:rsidRDefault="00000000">
      <w:pPr>
        <w:spacing w:after="80"/>
        <w:ind w:left="432" w:hanging="432"/>
      </w:pPr>
      <w:r>
        <w:rPr>
          <w:sz w:val="19"/>
        </w:rPr>
        <w:t>11. Hasin, Y.; Seldin, M.; Lusis, A. Multi-omics approaches to disease. Genome Biol. 2017, 18, 83. https://doi.org/10.1186/s13059-017-1215-1.</w:t>
      </w:r>
    </w:p>
    <w:p w14:paraId="4BB74DB8" w14:textId="77777777" w:rsidR="00E932E3" w:rsidRDefault="00000000">
      <w:pPr>
        <w:spacing w:after="80"/>
        <w:ind w:left="432" w:hanging="432"/>
      </w:pPr>
      <w:r>
        <w:rPr>
          <w:sz w:val="19"/>
        </w:rPr>
        <w:t>12. Yiu, A.J.; Yiu, C.Y. Biomarkers in colorectal cancer. Anticancer Res. 2016, 36, 1093–1102.</w:t>
      </w:r>
    </w:p>
    <w:p w14:paraId="522D5B1E" w14:textId="77777777" w:rsidR="00E932E3" w:rsidRDefault="00000000">
      <w:pPr>
        <w:spacing w:after="80"/>
        <w:ind w:left="432" w:hanging="432"/>
      </w:pPr>
      <w:r>
        <w:rPr>
          <w:sz w:val="19"/>
        </w:rPr>
        <w:t>13. Chen, T.; Guestrin, C. XGBoost: a scalable tree boosting system. In Proceedings of the 22nd ACM SIGKDD International Conference on Knowledge Discovery and Data Mining, San Francisco, CA, USA, 13–17 August 2016; pp. 785–794. https://doi.org/10.1145/2939672.2939785.</w:t>
      </w:r>
    </w:p>
    <w:p w14:paraId="6B5443B1" w14:textId="77777777" w:rsidR="00E932E3" w:rsidRDefault="00000000">
      <w:pPr>
        <w:spacing w:after="80"/>
        <w:ind w:left="432" w:hanging="432"/>
      </w:pPr>
      <w:r>
        <w:rPr>
          <w:sz w:val="19"/>
        </w:rPr>
        <w:t>14. Yin, Y.; Yang, Z.; Li, X.; Gong, S.; Xu, C. Gene expression-based colorectal cancer prediction using machine learning and SHAP analysis. Genes 2026, 17, 114. https://doi.org/10.3390/genes17010114.</w:t>
      </w:r>
    </w:p>
    <w:p w14:paraId="1AB5C36E" w14:textId="77777777" w:rsidR="00E932E3" w:rsidRDefault="00000000">
      <w:pPr>
        <w:spacing w:after="80"/>
        <w:ind w:left="432" w:hanging="432"/>
      </w:pPr>
      <w:r>
        <w:rPr>
          <w:sz w:val="19"/>
        </w:rPr>
        <w:t>15. Wei, W.; Li, Y.; Huang, T. Using machine learning methods to study colorectal cancer tumor micro-environment and its biomarkers. Int. J. Mol. Sci. 2023, 24, 11133. https://doi.org/10.3390/ijms241311133.</w:t>
      </w:r>
    </w:p>
    <w:p w14:paraId="4A171C9D" w14:textId="77777777" w:rsidR="00E932E3" w:rsidRDefault="00000000">
      <w:pPr>
        <w:spacing w:after="80"/>
        <w:ind w:left="432" w:hanging="432"/>
      </w:pPr>
      <w:r>
        <w:rPr>
          <w:sz w:val="19"/>
        </w:rPr>
        <w:t>16. Kollampallath Radhakrishnan, S.; Nath, D.; Russ, D.; Bravo Merodio, L.; Lad, P.; Kola Daisi, F.; Acharjee, A. Machine learning-based identification of proteomic markers in colorectal cancer using UK Biobank data. Front. Oncol. 2025, 14, 1505675. https://doi.org/10.3389/fonc.2024.1505675.</w:t>
      </w:r>
    </w:p>
    <w:p w14:paraId="73B1A213" w14:textId="77777777" w:rsidR="00E932E3" w:rsidRDefault="00000000">
      <w:pPr>
        <w:spacing w:after="80"/>
        <w:ind w:left="432" w:hanging="432"/>
      </w:pPr>
      <w:r>
        <w:rPr>
          <w:sz w:val="19"/>
        </w:rPr>
        <w:t>17. Poorhasani, P.; Iancu, B. Stage-Specific Cancer Survival Prediction Enriched by Explainable Machine Learning. arXiv 2026, arXiv:2601.03977.</w:t>
      </w:r>
    </w:p>
    <w:p w14:paraId="00A3BA74" w14:textId="77777777" w:rsidR="00E932E3" w:rsidRDefault="00000000">
      <w:pPr>
        <w:spacing w:after="80"/>
        <w:ind w:left="432" w:hanging="432"/>
      </w:pPr>
      <w:r>
        <w:rPr>
          <w:sz w:val="19"/>
        </w:rPr>
        <w:t>18. Alhosani, F.; Alhamidi, R.S.; Yener Ilce, B.; Altaie, A.M.; Ali, N.; Hamad, A.M.; Künstner, A.; Khandanpour, C.; Busch, H.; Al-Ramadi, B.; Harati, R.; Sayed, K.; AlFazari, A.; Bendardaf, R.; Hamoudi, R. Transcriptome-wide analysis and experimental validation from FFPE tissue identifies stage-specific gene expression profiles differentiating adenoma, carcinoma in-situ and adenocarcinoma in colorectal cancer progression. Int. J. Mol. Sci. 2025, 26, 4194. https://doi.org/10.3390/ijms26094194.</w:t>
      </w:r>
    </w:p>
    <w:p w14:paraId="243497E2" w14:textId="77777777" w:rsidR="00E932E3" w:rsidRDefault="00000000">
      <w:pPr>
        <w:spacing w:after="80"/>
        <w:ind w:left="432" w:hanging="432"/>
      </w:pPr>
      <w:r>
        <w:rPr>
          <w:sz w:val="19"/>
        </w:rPr>
        <w:t>19. Palaniappan, A.; Ramar, K.; Ramalingam, S. Computational Identification of Novel Stage-Specific Biomarkers in Colorectal Cancer Progression. PLoS ONE 2016, 11, e0156665. https://doi.org/10.1371/journal.pone.0156665.</w:t>
      </w:r>
    </w:p>
    <w:p w14:paraId="10B3853C" w14:textId="77777777" w:rsidR="00E932E3" w:rsidRDefault="00000000">
      <w:pPr>
        <w:spacing w:after="80"/>
        <w:ind w:left="432" w:hanging="432"/>
      </w:pPr>
      <w:r>
        <w:rPr>
          <w:sz w:val="19"/>
        </w:rPr>
        <w:t>20. Shabani, S.; Elahi, E.; Bahraniasl, M.; Babaheidarian, P.; Sadeghpour, A.; Majidzadeh, T.; Talebi, A.; Mahjoubi, F. Multi-stage analysis of FOXM1, PYROXD1, hTERT, PPARA, PIM3, BMI1 and MCTP1 expression patterns in colorectal cancer. Gastroenterol. Hepatol. Bed Bench 2022, 15, 120–130.</w:t>
      </w:r>
    </w:p>
    <w:p w14:paraId="520AFC64" w14:textId="77777777" w:rsidR="00E932E3" w:rsidRDefault="00000000">
      <w:pPr>
        <w:spacing w:after="80"/>
        <w:ind w:left="432" w:hanging="432"/>
      </w:pPr>
      <w:r>
        <w:rPr>
          <w:sz w:val="19"/>
        </w:rPr>
        <w:t>21. Sardo, E.; Napolitano, S.; Della Corte, C.M.; Ciardiello, D.; Raucci, A.; Arrichiello, G.; Troiani, T.; Ciardiello, F.; Martinelli, E.; Martini, G. Multi-Omic Approaches in Colorectal Cancer beyond Genomic Data. J. Pers. Med. 2022, 12, 128. https://doi.org/10.3390/jpm12020128.</w:t>
      </w:r>
    </w:p>
    <w:p w14:paraId="0A816342" w14:textId="77777777" w:rsidR="00E932E3" w:rsidRDefault="00000000">
      <w:pPr>
        <w:spacing w:after="80"/>
        <w:ind w:left="432" w:hanging="432"/>
      </w:pPr>
      <w:r>
        <w:rPr>
          <w:sz w:val="19"/>
        </w:rPr>
        <w:t>22. Collins, G.S.; Moons, K.G.M.; Dhiman, P.; Riley, R.D.; Beam, A.L.; Van Calster, B.; et al. TRIPOD+AI statement: updated guidance for reporting clinical prediction models that use regression or machine learning methods. BMJ 2024, 385, e078378. https://doi.org/10.1136/bmj-2023-078378.</w:t>
      </w:r>
    </w:p>
    <w:p w14:paraId="20C98B62" w14:textId="77777777" w:rsidR="00E932E3" w:rsidRDefault="00000000">
      <w:pPr>
        <w:spacing w:after="80"/>
        <w:ind w:left="432" w:hanging="432"/>
      </w:pPr>
      <w:r>
        <w:rPr>
          <w:sz w:val="19"/>
        </w:rPr>
        <w:t>23. Lundberg, S.M.; Lee, S.-I. A unified approach to interpreting model predictions. In Advances in Neural Information Processing Systems 30; Curran Associates: Red Hook, NY, USA, 2017; pp. 4765–4774.</w:t>
      </w:r>
    </w:p>
    <w:p w14:paraId="6EF4EF1D" w14:textId="77777777" w:rsidR="00E932E3" w:rsidRDefault="00000000">
      <w:pPr>
        <w:spacing w:after="80"/>
        <w:ind w:left="432" w:hanging="432"/>
      </w:pPr>
      <w:r>
        <w:rPr>
          <w:sz w:val="19"/>
        </w:rPr>
        <w:t>24. Law, C.W.; Chen, Y.; Shi, W.; Smyth, G.K. voom: precision weights unlock linear model analysis tools for RNA-seq read counts. Genome Biol. 2014, 15, R29. https://doi.org/10.1186/gb-2014-15-2-r29.</w:t>
      </w:r>
    </w:p>
    <w:p w14:paraId="4586146F" w14:textId="77777777" w:rsidR="00E932E3" w:rsidRDefault="00000000">
      <w:pPr>
        <w:spacing w:after="80"/>
        <w:ind w:left="432" w:hanging="432"/>
      </w:pPr>
      <w:r>
        <w:rPr>
          <w:sz w:val="19"/>
        </w:rPr>
        <w:t>25. Ritchie, M.E.; Phipson, B.; Wu, D.; Hu, Y.; Law, C.W.; Shi, W.; Smyth, G.K. limma powers differential expression analyses for RNA-sequencing and microarray studies. Nucleic Acids Res. 2015, 43, e47. https://doi.org/10.1093/nar/gkv007.</w:t>
      </w:r>
    </w:p>
    <w:p w14:paraId="43CACB8D" w14:textId="77777777" w:rsidR="00E932E3" w:rsidRDefault="00000000">
      <w:pPr>
        <w:spacing w:after="80"/>
        <w:ind w:left="432" w:hanging="432"/>
      </w:pPr>
      <w:r>
        <w:rPr>
          <w:sz w:val="19"/>
        </w:rPr>
        <w:t>26. Johnson, W.E.; Li, C.; Rabinovic, A. Adjusting batch effects in microarray expression data using empirical Bayes methods. Biostatistics 2007, 8, 118–127. https://doi.org/10.1093/biostatistics/kxj037.</w:t>
      </w:r>
    </w:p>
    <w:p w14:paraId="55EFC945" w14:textId="77777777" w:rsidR="00E932E3" w:rsidRDefault="00000000">
      <w:pPr>
        <w:spacing w:after="80"/>
        <w:ind w:left="432" w:hanging="432"/>
      </w:pPr>
      <w:r>
        <w:rPr>
          <w:sz w:val="19"/>
        </w:rPr>
        <w:t>27. Barsoum Markarian, M. Batch-Harmonized Machine Learning Framework for Cross-Cohort RNA Biomarker Discovery in Pancreatic Adenocarcinoma. bioRxiv 2025. https://doi.org/10.1101/2025.11.14.688421.</w:t>
      </w:r>
    </w:p>
    <w:p w14:paraId="6B094F3B" w14:textId="77777777" w:rsidR="00E932E3" w:rsidRDefault="00000000">
      <w:pPr>
        <w:spacing w:after="80"/>
        <w:ind w:left="432" w:hanging="432"/>
      </w:pPr>
      <w:r>
        <w:rPr>
          <w:sz w:val="19"/>
        </w:rPr>
        <w:t>28. Szklarczyk, D.; Kirsch, R.; Koutrouli, M.; Nastou, K.; Mehryary, F.; Hachilif, R.; Gable, A.L.; Fang, T.; Doncheva, N.T.; Pyysalo, S.; Bork, P.; Jensen, L.J.; von Mering, C. The STRING database in 2023: protein-protein association networks and functional enrichment analyses for any sequenced genome of interest. Nucleic Acids Res. 2023, 51, D638–D646. https://doi.org/10.1093/nar/gkac1000.</w:t>
      </w:r>
    </w:p>
    <w:p w14:paraId="5F316B3D" w14:textId="77777777" w:rsidR="00E932E3" w:rsidRDefault="00000000">
      <w:pPr>
        <w:spacing w:after="80"/>
        <w:ind w:left="432" w:hanging="432"/>
      </w:pPr>
      <w:r>
        <w:rPr>
          <w:sz w:val="19"/>
        </w:rPr>
        <w:t>29. Bader, G.D.; Hogue, C.W.V. An automated method for finding molecular complexes in large protein interaction networks. BMC Bioinformatics 2003, 4, 2. https://doi.org/10.1186/1471-2105-4-2.</w:t>
      </w:r>
    </w:p>
    <w:p w14:paraId="05EBF714" w14:textId="77777777" w:rsidR="00E932E3" w:rsidRDefault="00000000">
      <w:pPr>
        <w:spacing w:after="80"/>
        <w:ind w:left="432" w:hanging="432"/>
      </w:pPr>
      <w:r>
        <w:rPr>
          <w:sz w:val="19"/>
        </w:rPr>
        <w:t>30. Huang, D.W.; Sherman, B.T.; Lempicki, R.A. Systematic and integrative analysis of large gene lists using DAVID bioinformatics resources. Nat. Protoc. 2009, 4, 44–57. https://doi.org/10.1038/nprot.2008.211.</w:t>
      </w:r>
    </w:p>
    <w:p w14:paraId="48726DAB" w14:textId="77777777" w:rsidR="00E932E3" w:rsidRDefault="00000000">
      <w:pPr>
        <w:spacing w:after="80"/>
        <w:ind w:left="432" w:hanging="432"/>
      </w:pPr>
      <w:r>
        <w:rPr>
          <w:sz w:val="19"/>
        </w:rPr>
        <w:t>31. Kanehisa, M.; Goto, S. KEGG: Kyoto Encyclopedia of Genes and Genomes. Nucleic Acids Res. 2000, 28, 27–30. https://doi.org/10.1093/nar/28.1.27.</w:t>
      </w:r>
    </w:p>
    <w:p w14:paraId="68E603D3" w14:textId="77777777" w:rsidR="00E932E3" w:rsidRDefault="00000000">
      <w:pPr>
        <w:spacing w:after="80"/>
        <w:ind w:left="432" w:hanging="432"/>
      </w:pPr>
      <w:r>
        <w:rPr>
          <w:sz w:val="19"/>
        </w:rPr>
        <w:t>32. Gillespie, M.; Jassal, B.; Stephan, R.; Milacic, M.; Rothfels, K.; Senff-Ribeiro, A.; et al. The reactome pathway knowledgebase 2022. Nucleic Acids Res. 2022, 50, D687–D692. https://doi.org/10.1093/nar/gkab1028.</w:t>
      </w:r>
    </w:p>
    <w:p w14:paraId="5B2D9329" w14:textId="77777777" w:rsidR="00E932E3" w:rsidRDefault="00000000">
      <w:pPr>
        <w:spacing w:after="80"/>
        <w:ind w:left="432" w:hanging="432"/>
      </w:pPr>
      <w:r>
        <w:rPr>
          <w:sz w:val="19"/>
        </w:rPr>
        <w:t>33. Bindea, G.; Mlecnik, B.; Hackl, H.; Charoentong, P.; Tosolini, M.; Kirilovsky, A.; Fridman, W.H.; Pagès, F.; Trajanoski, Z.; Galon, J. ClueGO: a Cytoscape plug-in to decipher functionally grouped gene ontology and pathway annotation networks. Bioinformatics 2009, 25, 1091–1093. https://doi.org/10.1093/bioinformatics/btp101.</w:t>
      </w:r>
    </w:p>
    <w:p w14:paraId="7E73801B" w14:textId="77777777" w:rsidR="00E932E3" w:rsidRDefault="00000000">
      <w:pPr>
        <w:spacing w:after="80"/>
        <w:ind w:left="432" w:hanging="432"/>
      </w:pPr>
      <w:r>
        <w:rPr>
          <w:sz w:val="19"/>
        </w:rPr>
        <w:t>34. Breiman, L. Random forests. Mach. Learn. 2001, 45, 5–32. https://doi.org/10.1023/A:1010933404324.</w:t>
      </w:r>
    </w:p>
    <w:p w14:paraId="30068173" w14:textId="77777777" w:rsidR="00E932E3" w:rsidRDefault="00000000">
      <w:pPr>
        <w:spacing w:after="80"/>
        <w:ind w:left="432" w:hanging="432"/>
      </w:pPr>
      <w:r>
        <w:rPr>
          <w:sz w:val="19"/>
        </w:rPr>
        <w:t>35. Ke, G.; Meng, Q.; Finley, T.; Wang, T.; Chen, W.; Ma, W.; Ye, Q.; Liu, T.-Y. LightGBM: a highly efficient gradient boosting decision tree. Adv. Neural Inf. Process. Syst. 2017, 30, 3146–3154.</w:t>
      </w:r>
    </w:p>
    <w:p w14:paraId="04A0D327" w14:textId="77777777" w:rsidR="00E932E3" w:rsidRDefault="00000000">
      <w:pPr>
        <w:spacing w:after="80"/>
        <w:ind w:left="432" w:hanging="432"/>
      </w:pPr>
      <w:r>
        <w:rPr>
          <w:sz w:val="19"/>
        </w:rPr>
        <w:t>36. Cortes, C.; Vapnik, V. Support-vector networks. Mach. Learn. 1995, 20, 273–297. https://doi.org/10.1007/BF00994018.</w:t>
      </w:r>
    </w:p>
    <w:p w14:paraId="28D11F64" w14:textId="77777777" w:rsidR="00E932E3" w:rsidRDefault="00000000">
      <w:pPr>
        <w:spacing w:after="80"/>
        <w:ind w:left="432" w:hanging="432"/>
      </w:pPr>
      <w:r>
        <w:rPr>
          <w:sz w:val="19"/>
        </w:rPr>
        <w:t>37. Zou, H.; Hastie, T. Regularization and variable selection via the elastic net. J. R. Stat. Soc. Series B Stat. Methodol. 2005, 67, 301–320. https://doi.org/10.1111/j.1467-9868.2005.00503.x.</w:t>
      </w:r>
    </w:p>
    <w:p w14:paraId="79ADF6D9" w14:textId="77777777" w:rsidR="00E932E3" w:rsidRDefault="00000000">
      <w:pPr>
        <w:spacing w:after="80"/>
        <w:ind w:left="432" w:hanging="432"/>
      </w:pPr>
      <w:r>
        <w:rPr>
          <w:sz w:val="19"/>
        </w:rPr>
        <w:t>38. Goodfellow, I.; Bengio, Y.; Courville, A. Deep Learning; MIT Press: Cambridge, MA, USA, 2016.</w:t>
      </w:r>
    </w:p>
    <w:p w14:paraId="21E3D387" w14:textId="77777777" w:rsidR="00E932E3" w:rsidRDefault="00000000">
      <w:pPr>
        <w:spacing w:after="80"/>
        <w:ind w:left="432" w:hanging="432"/>
      </w:pPr>
      <w:r>
        <w:rPr>
          <w:sz w:val="19"/>
        </w:rPr>
        <w:t>39. Akiba, T.; Sano, S.; Yanase, T.; Ohta, T.; Koyama, M. Optuna: a next-generation hyperparameter optimization framework. In Proceedings of the 25th ACM SIGKDD International Conference on Knowledge Discovery &amp; Data Mining, Anchorage, AK, USA, 4–8 August 2019; pp. 2623–2631. https://doi.org/10.1145/3292500.3330701.</w:t>
      </w:r>
    </w:p>
    <w:p w14:paraId="3C369CB6" w14:textId="77777777" w:rsidR="00E932E3" w:rsidRDefault="00000000">
      <w:pPr>
        <w:spacing w:after="80"/>
        <w:ind w:left="432" w:hanging="432"/>
      </w:pPr>
      <w:r>
        <w:rPr>
          <w:sz w:val="19"/>
        </w:rPr>
        <w:t>40. Benjamini, Y.; Hochberg, Y. Controlling the false discovery rate: a practical and powerful approach to multiple testing. J. R. Stat. Soc. Series B Stat. Methodol. 1995, 57, 289–300. https://doi.org/10.1111/j.2517-6161.1995.tb02031.x.</w:t>
      </w:r>
    </w:p>
    <w:p w14:paraId="1626D493" w14:textId="77777777" w:rsidR="00E932E3" w:rsidRDefault="00000000">
      <w:pPr>
        <w:spacing w:after="80"/>
        <w:ind w:left="432" w:hanging="432"/>
      </w:pPr>
      <w:r>
        <w:rPr>
          <w:sz w:val="19"/>
        </w:rPr>
        <w:t>41. Riley, R.D.; Snell, K.I.E.; Ensor, J.; Burke, D.L.; Harrell, F.E.; Moons, K.G.M.; Collins, G.S. Minimum sample size for developing a multivariable prediction model: PART II — binary and time-to-event outcomes. Stat. Med. 2019, 38, 1276–1296. https://doi.org/10.1002/sim.7992.</w:t>
      </w:r>
    </w:p>
    <w:p w14:paraId="6AB5D8CD" w14:textId="77777777" w:rsidR="00E932E3" w:rsidRDefault="00000000">
      <w:pPr>
        <w:spacing w:after="80"/>
        <w:ind w:left="432" w:hanging="432"/>
      </w:pPr>
      <w:r>
        <w:rPr>
          <w:sz w:val="19"/>
        </w:rPr>
        <w:t>42. Katzman, J.L.; Shaham, U.; Cloninger, A.; Bates, J.; Jiang, T.; Kluger, Y. DeepSurv: personalized treatment recommender system using a Cox proportional hazards deep neural network. BMC Med. Res. Methodol. 2018, 18, 24. https://doi.org/10.1186/s12874-018-0482-1.</w:t>
      </w:r>
    </w:p>
    <w:p w14:paraId="5D4B22A9" w14:textId="77777777" w:rsidR="00E932E3" w:rsidRDefault="00000000">
      <w:pPr>
        <w:spacing w:after="80"/>
        <w:ind w:left="432" w:hanging="432"/>
      </w:pPr>
      <w:r>
        <w:rPr>
          <w:sz w:val="19"/>
        </w:rPr>
        <w:t>43. Ishwaran, H.; Kogalur, U.B.; Blackstone, E.H.; Lauer, M.S. Random survival forests. Ann. Appl. Stat. 2008, 2, 841–860. https://doi.org/10.1214/08-AOAS169.</w:t>
      </w:r>
    </w:p>
    <w:p w14:paraId="267DA6B5" w14:textId="77777777" w:rsidR="00E932E3" w:rsidRDefault="00000000">
      <w:pPr>
        <w:spacing w:after="80"/>
        <w:ind w:left="432" w:hanging="432"/>
      </w:pPr>
      <w:r>
        <w:rPr>
          <w:sz w:val="19"/>
        </w:rPr>
        <w:t>44. Harrell, F.E.; Lee, K.L.; Mark, D.B. Multivariable prognostic models: issues in developing models, evaluating assumptions and adequacy, and measuring and reducing errors. Stat. Med. 1996, 15, 361–387.</w:t>
      </w:r>
    </w:p>
    <w:p w14:paraId="3D712427" w14:textId="77777777" w:rsidR="00E932E3" w:rsidRDefault="00000000">
      <w:pPr>
        <w:spacing w:after="80"/>
        <w:ind w:left="432" w:hanging="432"/>
      </w:pPr>
      <w:r>
        <w:rPr>
          <w:sz w:val="19"/>
        </w:rPr>
        <w:t>45. DeLong, E.R.; DeLong, D.M.; Clarke-Pearson, D.L. Comparing the areas under two or more correlated receiver operating characteristic curves: a nonparametric approach. Biometrics 1988, 44, 837–845.</w:t>
      </w:r>
    </w:p>
    <w:p w14:paraId="3884C110" w14:textId="77777777" w:rsidR="00E932E3" w:rsidRDefault="00000000">
      <w:pPr>
        <w:spacing w:after="80"/>
        <w:ind w:left="432" w:hanging="432"/>
      </w:pPr>
      <w:r>
        <w:rPr>
          <w:sz w:val="19"/>
        </w:rPr>
        <w:t>46. Joly, Y.; Dove, E.S.; Knoppers, B.M.; Bobrow, M.; Chalmers, D. Data sharing in the post-genomic world: the experience of the International Cancer Genome Consortium (ICGC) Data Access Compliance Office (DACO). PLoS Comput. Biol. 2012, 8, e1002549. https://doi.org/10.1371/journal.pcbi.1002549.</w:t>
      </w:r>
    </w:p>
    <w:p w14:paraId="57EF54EF" w14:textId="77777777" w:rsidR="00E932E3" w:rsidRDefault="00000000">
      <w:pPr>
        <w:spacing w:after="80"/>
        <w:ind w:left="432" w:hanging="432"/>
      </w:pPr>
      <w:r>
        <w:rPr>
          <w:sz w:val="19"/>
        </w:rPr>
        <w:t>47. Kim, S.-K.; Kim, S.-Y.; Kim, J.-H.; Roh, S.A.; Cho, D.-H.; Kim, Y.S.; Kim, J.C. A nineteen gene-based risk score classifier predicts prognosis of colorectal cancer patients. Mol. Oncol. 2014, 8, 1653–1666. (GEO accession GSE50760, RNA-seq of 18 matched normal-colon, primary tumour, and liver-metastasis samples.) https://doi.org/10.1016/j.molonc.2014.06.016.</w:t>
      </w:r>
    </w:p>
    <w:p w14:paraId="139A31AA" w14:textId="77777777" w:rsidR="00E932E3" w:rsidRDefault="00000000">
      <w:pPr>
        <w:spacing w:after="80"/>
        <w:ind w:left="432" w:hanging="432"/>
      </w:pPr>
      <w:r>
        <w:rPr>
          <w:sz w:val="19"/>
        </w:rPr>
        <w:t>48. Marisa, L.; de Reyniès, A.; Duval, A.; Selves, J.; Gaub, M.P.; Vescovo, L.; et al. Gene expression classification of colon cancer into molecular subtypes: characterization, validation, and prognostic value. PLoS Med. 2013, 10, e1001453. (GEO accession GSE39582; cross-platform external validation precedent with TCGA-COAD and GSE17536.) https://doi.org/10.1371/journal.pmed.1001453.</w:t>
      </w:r>
    </w:p>
    <w:p w14:paraId="1D6FFC42" w14:textId="77777777" w:rsidR="00E932E3" w:rsidRDefault="00000000">
      <w:pPr>
        <w:spacing w:after="80"/>
        <w:ind w:left="432" w:hanging="432"/>
      </w:pPr>
      <w:r>
        <w:rPr>
          <w:sz w:val="19"/>
        </w:rPr>
        <w:t>49. Goldman, M.J.; Craft, B.; Hastie, M.; Repečka, K.; McDade, F.; Kamath, A.; Banerjee, A.; Luo, Y.; Rogers, D.; Brooks, A.N.; Zhu, J.; Haussler, D. Visualizing and interpreting cancer genomics data via the Xena platform. Nat. Biotechnol. 2020, 38, 675–678. https://doi.org/10.1038/s41587-020-0546-8.</w:t>
      </w:r>
    </w:p>
    <w:p w14:paraId="6C2D3DF9" w14:textId="77777777" w:rsidR="00E932E3" w:rsidRDefault="00000000">
      <w:pPr>
        <w:spacing w:after="80"/>
        <w:ind w:left="432" w:hanging="432"/>
      </w:pPr>
      <w:r>
        <w:rPr>
          <w:sz w:val="19"/>
        </w:rPr>
        <w:t>50. Yang, L.; Dong, Z.; Li, S.; Chen, T. ESM1 promotes angiogenesis in colorectal cancer by activating PI3K/Akt/mTOR pathway, thus accelerating tumor progression. Aging 2023, 15, 2920–2936. https://doi.org/10.18632/aging.204559.</w:t>
      </w:r>
    </w:p>
    <w:p w14:paraId="1EAF7D09" w14:textId="77777777" w:rsidR="00E932E3" w:rsidRDefault="00000000">
      <w:pPr>
        <w:spacing w:after="80"/>
        <w:ind w:left="432" w:hanging="432"/>
      </w:pPr>
      <w:r>
        <w:rPr>
          <w:sz w:val="19"/>
        </w:rPr>
        <w:t>51. Ji, N.; Jiang, L.; et al. Prognostic role of endocan (ESM1) in colorectal cancer: elevated levels correlate with poor differentiation, deeper invasion, lymph-node metastasis, and advanced TNM stage. 2024. Available online: https://pmc.ncbi.nlm.nih.gov/articles/PMC13026901/ (accessed 27 June 2026).</w:t>
      </w:r>
    </w:p>
    <w:p w14:paraId="4D5C743F" w14:textId="77777777" w:rsidR="00E932E3" w:rsidRDefault="00000000">
      <w:pPr>
        <w:spacing w:after="80"/>
        <w:ind w:left="432" w:hanging="432"/>
      </w:pPr>
      <w:r>
        <w:rPr>
          <w:sz w:val="19"/>
        </w:rPr>
        <w:t>52. Li, Q.; et al. KRT80 is the most up-regulated gene in colorectal cancer and promotes proliferation and metastasis. 2020. Available online: https://pmc.ncbi.nlm.nih.gov/articles/PMC7579811/ (accessed 27 June 2026).</w:t>
      </w:r>
    </w:p>
    <w:p w14:paraId="6EE474A4" w14:textId="77777777" w:rsidR="00E932E3" w:rsidRDefault="00000000">
      <w:pPr>
        <w:spacing w:after="80"/>
        <w:ind w:left="432" w:hanging="432"/>
      </w:pPr>
      <w:r>
        <w:rPr>
          <w:sz w:val="19"/>
        </w:rPr>
        <w:t>53. Kumara, H.M.C.S.; et al. P-cadherin (CDH3) is overexpressed in colorectal tumours and associated with poor prognosis and metastasis. 2017. Available online: https://pmc.ncbi.nlm.nih.gov/articles/PMC5672898/ (accessed 27 June 2026).</w:t>
      </w:r>
    </w:p>
    <w:p w14:paraId="4D5BBD06" w14:textId="77777777" w:rsidR="00E932E3" w:rsidRDefault="00000000">
      <w:pPr>
        <w:spacing w:after="80"/>
        <w:ind w:left="432" w:hanging="432"/>
      </w:pPr>
      <w:r>
        <w:rPr>
          <w:sz w:val="19"/>
        </w:rPr>
        <w:t>54. ETV4 (PEA3) promotes invasion and metastasis in colorectal cancer. Cancer Cell Int. 2020, 20, 1111. https://doi.org/10.1186/s12935-020-1111-8.</w:t>
      </w:r>
    </w:p>
    <w:p w14:paraId="536F7C59" w14:textId="77777777" w:rsidR="00E932E3" w:rsidRDefault="00000000">
      <w:pPr>
        <w:spacing w:after="80"/>
        <w:ind w:left="432" w:hanging="432"/>
      </w:pPr>
      <w:r>
        <w:rPr>
          <w:sz w:val="19"/>
        </w:rPr>
        <w:t>55. OTOP2 is down-regulated in colon adenocarcinoma and functions as a tumour suppressor inhibiting proliferation, migration and invasion. 2024. Available online: https://pmc.ncbi.nlm.nih.gov/articles/PMC11310881/ (accessed 27 June 2026).</w:t>
      </w:r>
    </w:p>
    <w:p w14:paraId="7702551E" w14:textId="77777777" w:rsidR="00E932E3" w:rsidRDefault="00000000">
      <w:pPr>
        <w:spacing w:after="80"/>
        <w:ind w:left="432" w:hanging="432"/>
      </w:pPr>
      <w:r>
        <w:rPr>
          <w:sz w:val="19"/>
        </w:rPr>
        <w:t>56. Alatwi, H.E.; Alharbi, A.A.; Mir, R.; Alzahrani, O.R.; Alessa, A.H.; Hawsawi, Y.M.; Arishi, M.A.; Albalawi, A.D. Whole-exome sequencing in Saudi colorectal cancer patients reveals distinct mutational patterns and population-specific pathogenic variants. Front. Oncol. 2025, 15, 1679528. https://doi.org/10.3389/fonc.2025.1679528.</w:t>
      </w:r>
    </w:p>
    <w:sectPr w:rsidR="00E932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144786">
    <w:abstractNumId w:val="8"/>
  </w:num>
  <w:num w:numId="2" w16cid:durableId="1863082939">
    <w:abstractNumId w:val="6"/>
  </w:num>
  <w:num w:numId="3" w16cid:durableId="1776553598">
    <w:abstractNumId w:val="5"/>
  </w:num>
  <w:num w:numId="4" w16cid:durableId="1995065230">
    <w:abstractNumId w:val="4"/>
  </w:num>
  <w:num w:numId="5" w16cid:durableId="1336809860">
    <w:abstractNumId w:val="7"/>
  </w:num>
  <w:num w:numId="6" w16cid:durableId="654260625">
    <w:abstractNumId w:val="3"/>
  </w:num>
  <w:num w:numId="7" w16cid:durableId="1117676624">
    <w:abstractNumId w:val="2"/>
  </w:num>
  <w:num w:numId="8" w16cid:durableId="1640189796">
    <w:abstractNumId w:val="1"/>
  </w:num>
  <w:num w:numId="9" w16cid:durableId="164554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C18"/>
    <w:rsid w:val="004C65CF"/>
    <w:rsid w:val="00AA1D8D"/>
    <w:rsid w:val="00AE4761"/>
    <w:rsid w:val="00AF7FC2"/>
    <w:rsid w:val="00B47730"/>
    <w:rsid w:val="00CB0664"/>
    <w:rsid w:val="00E932E3"/>
    <w:rsid w:val="00F55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CE8E7"/>
  <w14:defaultImageDpi w14:val="32767"/>
  <w15:docId w15:val="{B1B3EE3F-0714-4800-970F-97C14F84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45</Pages>
  <Words>18479</Words>
  <Characters>105335</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 HASSAN</cp:lastModifiedBy>
  <cp:revision>4</cp:revision>
  <dcterms:created xsi:type="dcterms:W3CDTF">2026-06-28T01:48:00Z</dcterms:created>
  <dcterms:modified xsi:type="dcterms:W3CDTF">2026-06-28T04:27:00Z</dcterms:modified>
  <cp:category/>
</cp:coreProperties>
</file>