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Supplementary Materials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Stage-Stratified Explainable Machine Learning Identifies a Reproducible Transcriptomic Classifier with Shifting Importance Structure in Colorectal Cancer: A Multi-Cohort Study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S1. Differential-Expression Concordance (R-limma vs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200"/>
        <w:gridCol w:w="1300"/>
        <w:gridCol w:w="18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Contrast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 DEGs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Python DEGs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Jaccard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log2FC Spearman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 agreement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Global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4,810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4,807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Stage 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4,979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4,996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0.963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Stage II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4,865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4,857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Stage III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4,682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4,661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Stage IV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4,971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4,971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4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DEG counts at FDR &lt; 0.05 and |log2FC| ≥ 1. The two independent implementations agree near-perfectly, establishing the differential-expression layer as implementation-independent.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S2. Differential-Expression Statistics for the Ten Panel Genes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21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Gene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 log2FC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Python log2FC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 FDR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 match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CDH3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+6.548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+6.544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8.4 × 10⁻¹²⁸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OTOP2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−9.480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−9.475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8.4 × 10⁻¹²⁸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KRT80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+6.710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+6.713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2.6 × 10⁻¹⁰⁹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ETV4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+5.475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+5.476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 × 10⁻¹⁰¹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ESM1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+5.564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+5.563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 × 10⁻⁹⁹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DHRS7C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−2.757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−2.756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 × 10⁻¹¹⁵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AADACL2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−2.761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−2.760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 × 10⁻¹¹⁴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LGI1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−4.567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−4.563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 × 10⁻⁹⁰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TMEFF2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−3.344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−3.354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 × 10⁻⁸²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KHDRBS2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−2.474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−2.472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 × 10⁻⁷⁷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4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All ten panel genes are significant in the canonical limma analysis with concordant direction and near-identical fold-changes across implementations.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S4. Two-Level Network Analysis of Panel Genes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Gene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Present at conf &gt; 0.9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Present at conf &gt; 0.7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Degree (0.7)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CDH3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OTOP2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LGI1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KRT80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ETV4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ESM1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DHRS7C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AADACL2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TMEFF2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KHDRBS2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4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Panel genes are largely absent from or peripheral to the high-confidence STRING PPI network at both thresholds, and never interconnect, indicating complementarity to classical hub-gene approaches.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S5. Panel-Gene Membership in Robustly Enriched Pathways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Gene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 robust pathways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Representative pathway(s)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CDH3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Wnt signalling; cell adhesion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LGI1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synaptic / axon-guidance (neural)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ESM1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angiogenesis; receptor signalling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DHRS7C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ion / metabolic homeostasis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ETV4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signal transduction; differentiation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OTOP2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ion transport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KRT80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epithelial structure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KHDRBS2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RNA binding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AADACL2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TMEFF2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</w:tr>
    </w:tbl>
    <w:p>
      <w:pPr>
        <w:spacing w:after="14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Eight of ten panel genes belong to robustly enriched pathways; ESM1 maps to angiogenesis and CDH3 to Wnt/adhesion, linking the model's key genes to established CRC biology.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S6. Saudi Colorectal-Cancer Pathway Cross-Reference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Saudi-altered pathway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Convergent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Saudi frequency / source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Wnt/β-catenin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65%; Alatwi et al. 2025 [56]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PI3K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48%; Alatwi et al. 2025 [56]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TP53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~50%; Alsolme et al. 2023 [9]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KRAS/RAS–MAPK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variable; [9,56]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Homologous recombination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61%; [56]</w:t>
            </w:r>
          </w:p>
        </w:tc>
      </w:tr>
    </w:tbl>
    <w:p>
      <w:pPr>
        <w:spacing w:after="14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Four of five frequently altered Saudi CRC pathways converge with the robustly enriched pathways; the single non-convergence (homologous recombination) is reported transparently.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S7. Literature Corroboration of the Ten Panel Genes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6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Gene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Representative evidence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KRT80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Most up-regulated gene in TCGA CRC; metastasis [52]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OTOP2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Down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Down-regulated tumour suppressor in COAD [55]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CDH3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P-cadherin overexpressed; poor prognosis [53]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ESM1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Angiogenesis; advanced stage [50,51]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ETV4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Pro-metastatic ETS factor [54]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TMEFF2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Down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Methylation-silenced tumour suppressor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AADACL2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Down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Novel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Poorly characterised in CRC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KHDRBS2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Down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Novel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Poorly characterised in CRC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LGI1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Down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Novel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Limited CRC-specific evidence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DHRS7C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Down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Novel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Poorly characterised in CRC</w:t>
            </w:r>
          </w:p>
        </w:tc>
      </w:tr>
    </w:tbl>
    <w:p>
      <w:pPr>
        <w:spacing w:after="140" w:before="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Six of ten genes have direct experimental support in CRC, all matching the differential-expression direction; four are presented as hypothesis-generating candidates.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Supplementary Figures</w:t>
      </w:r>
    </w:p>
    <w:p>
      <w:pPr>
        <w:spacing w:after="140" w:before="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Figure S1.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Per-stage exploratory survival analyses (Kaplan–Meier curves and per-stage concordance indices). All per-stage subgroups fall below the events-per-variable threshold (EPV &lt; 10) and are reported as exploratory only.</w:t>
      </w:r>
    </w:p>
    <w:p>
      <w:pPr>
        <w:spacing w:after="140" w:before="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Figure S2.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Network-confidence sensitivity analysis comparing STRING confidence &gt; 0.9 and &gt; 0.7, underlying Figure 9C. Panel genes remain peripheral at both thresholds.</w:t>
      </w:r>
    </w:p>
    <w:p>
      <w:pPr>
        <w:spacing w:after="140" w:before="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Figure S3.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GEPIA2 expression box plots for all ten panel genes (tumour vs normal, TCGA + GTEx reference) and the ESM1 stage plot. All ten genes match the differential-expression direction; six reach the platform's significance threshold.</w:t>
      </w:r>
    </w:p>
    <w:p>
      <w:pPr>
        <w:spacing w:after="140" w:before="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Note: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Table S3 (the full 817-pathway triangulated enrichment table) is provided as a separate machine-readable file (triangulated_enrichment_all.csv) owing to its length.</w:t>
      </w:r>
    </w:p>
    <w:p/>
    <w:p>
      <w:pPr>
        <w:spacing w:before="280" w:after="160"/>
      </w:pPr>
      <w:r>
        <w:rPr>
          <w:rFonts w:ascii="Times New Roman" w:hAnsi="Times New Roman"/>
          <w:b/>
          <w:sz w:val="26"/>
        </w:rPr>
        <w:t>Supplementary Figure Images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83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_emb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both"/>
      </w:pPr>
      <w:r>
        <w:rPr>
          <w:rFonts w:ascii="Times New Roman" w:hAnsi="Times New Roman"/>
          <w:b/>
          <w:sz w:val="18"/>
        </w:rPr>
        <w:t xml:space="preserve">Figure S1. </w:t>
      </w:r>
      <w:r>
        <w:rPr>
          <w:rFonts w:ascii="Times New Roman" w:hAnsi="Times New Roman"/>
          <w:sz w:val="18"/>
        </w:rPr>
        <w:t>Overall-survival discrimination of the panel across three models, shown as concordance indices with 95% bootstrap confidence intervals against the chance reference; all per-stage subgroups were below the events-per-variable threshold and are exploratory.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91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2_emb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both"/>
      </w:pPr>
      <w:r>
        <w:rPr>
          <w:rFonts w:ascii="Times New Roman" w:hAnsi="Times New Roman"/>
          <w:b/>
          <w:sz w:val="18"/>
        </w:rPr>
        <w:t xml:space="preserve">Figure S2. </w:t>
      </w:r>
      <w:r>
        <w:rPr>
          <w:rFonts w:ascii="Times New Roman" w:hAnsi="Times New Roman"/>
          <w:sz w:val="18"/>
        </w:rPr>
        <w:t>Presence of each panel gene in the STRING protein-protein interaction network at confidence thresholds of 0.9 and 0.7, underlying the topological analysis summarised in the main text.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98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3_emb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both"/>
      </w:pPr>
      <w:r>
        <w:rPr>
          <w:rFonts w:ascii="Times New Roman" w:hAnsi="Times New Roman"/>
          <w:b/>
          <w:sz w:val="18"/>
        </w:rPr>
        <w:t xml:space="preserve">Figure S3. </w:t>
      </w:r>
      <w:r>
        <w:rPr>
          <w:rFonts w:ascii="Times New Roman" w:hAnsi="Times New Roman"/>
          <w:sz w:val="18"/>
        </w:rPr>
        <w:t>GEPIA2 expression box plots for the ten panel genes (tumour versus normal, TCGA plus GTEx reference), with the ESM1 stage plot; all ten genes match the differential-expression direction.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2026-06-27T20:05:32.583Z</dcterms:created>
  <dcterms:modified xsi:type="dcterms:W3CDTF">2026-06-27T20:05:32.584Z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