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pPr>
      <w:r>
        <w:t xml:space="preserve">Incremental Auto Loader Pipeline</w:t>
      </w:r>
    </w:p>
    <w:p>
      <w:pPr>
        <w:pStyle w:val="Subtitle"/>
        <w:spacing w:after="400" w:before="0"/>
      </w:pPr>
      <w:r>
        <w:t xml:space="preserve">Technical Documentation &amp; Implementation Guide</w:t>
      </w:r>
    </w:p>
    <w:p>
      <w:pPr>
        <w:pBdr>
          <w:bottom w:val="single" w:color="2E75B6" w:sz="12" w:space="1"/>
        </w:pBdr>
      </w:pPr>
      <w:r>
        <w:t xml:space="preserve"/>
      </w:r>
    </w:p>
    <w:p>
      <w:pPr>
        <w:tabs>
          <w:tab w:val="right" w:pos="9026"/>
        </w:tabs>
        <w:spacing w:after="0" w:before="300"/>
      </w:pPr>
      <w:r>
        <w:rPr>
          <w:b/>
          <w:bCs/>
        </w:rPr>
        <w:t xml:space="preserve">Document Version: </w:t>
      </w:r>
      <w:r>
        <w:t xml:space="preserve">1.0</w:t>
      </w:r>
      <w:r>
        <w:rPr>
          <w:b/>
          <w:bCs/>
        </w:rPr>
        <w:t xml:space="preserve">	Date: </w:t>
      </w:r>
      <w:r>
        <w:t xml:space="preserve">April 2026</w:t>
      </w:r>
    </w:p>
    <w:p>
      <w:pPr>
        <w:tabs>
          <w:tab w:val="right" w:pos="9026"/>
        </w:tabs>
        <w:spacing w:after="0" w:before="120"/>
      </w:pPr>
      <w:r>
        <w:rPr>
          <w:b/>
          <w:bCs/>
        </w:rPr>
        <w:t xml:space="preserve">Pipeline: </w:t>
      </w:r>
      <w:r>
        <w:t xml:space="preserve">Databricks Auto Loader + Delta Lake + ADF</w:t>
      </w:r>
      <w:r>
        <w:rPr>
          <w:b/>
          <w:bCs/>
        </w:rPr>
        <w:t xml:space="preserve">	Author: </w:t>
      </w:r>
      <w:r>
        <w:t xml:space="preserve">Data Engineering Team</w:t>
      </w:r>
    </w:p>
    <w:p>
      <w:r>
        <w:br w:type="page"/>
      </w:r>
    </w:p>
    <w:p>
      <w:pPr>
        <w:pStyle w:val="Heading1"/>
        <w:spacing w:after="180" w:before="360"/>
      </w:pPr>
      <w:r>
        <w:t xml:space="preserve">1. Architecture Overview</w:t>
      </w:r>
    </w:p>
    <w:p>
      <w:pPr>
        <w:spacing w:after="160" w:line="320"/>
        <w:jc w:val="both"/>
      </w:pPr>
      <w:r>
        <w:t xml:space="preserve">The pipeline implements a four-stage Medallion Architecture on Azure. Raw files land in an ADLS Gen2 container, Databricks Auto Loader incrementally ingests them into a Bronze Delta table, a Structured Streaming job cleanses and upserts the data into Silver, and a final streaming aggregation publishes KPI metrics to Gold. All three layers are registered in a Legacy Hive Metastore database (</w:t>
      </w:r>
      <w:r>
        <w:rPr>
          <w:rFonts w:ascii="Consolas" w:cs="Consolas" w:eastAsia="Consolas" w:hAnsi="Consolas"/>
          <w:sz w:val="20"/>
          <w:szCs w:val="20"/>
        </w:rPr>
        <w:t xml:space="preserve">legacy_hms_db</w:t>
      </w:r>
      <w:r>
        <w:t xml:space="preserve">) for seamless access by downstream BI tools and SQL consumers.</w:t>
      </w:r>
    </w:p>
    <w:p>
      <w:pPr>
        <w:pStyle w:val="Heading2"/>
        <w:spacing w:after="140" w:before="280"/>
      </w:pPr>
      <w:r>
        <w:t xml:space="preserve">1.1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[Source Systems]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[ADLS Gen2: /raw_landing/]        ← CSV/JSON/Parquet files land 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Auto Loader (cloudFiles, availableNow=True)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[Bronze Delta Table]              legacy_hms_db.bronze_transactions</w:t>
            </w:r>
          </w:p>
          <w:p>
            <w:pPr>
              <w:spacing w:after="0" w:line="260"/>
            </w:pPr>
            <w:r>
              <w:rPr>
                <w:rFonts w:ascii="Consolas" w:cs="Consolas" w:eastAsia="Consolas" w:hAnsi="Consolas"/>
                <w:sz w:val="18"/>
                <w:szCs w:val="18"/>
              </w:rPr>
              <w:t xml:space="preserve">      │                           + file_name, file_arrival_time, ingestion_time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Structured Stream + foreachBatch + MERGE INTO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[Silver Delta Table]              legacy_hms_db.silver_transactions</w:t>
            </w:r>
          </w:p>
          <w:p>
            <w:pPr>
              <w:spacing w:after="0" w:line="260"/>
            </w:pPr>
            <w:r>
              <w:rPr>
                <w:rFonts w:ascii="Consolas" w:cs="Consolas" w:eastAsia="Consolas" w:hAnsi="Consolas"/>
                <w:sz w:val="18"/>
                <w:szCs w:val="18"/>
              </w:rPr>
              <w:t xml:space="preserve">      │                           (deduplicated, null-filtered, upserted)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Structured Stream + groupBy aggregation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[Gold Delta Table]                legacy_hms_db.gold_kpi_metrics</w:t>
            </w:r>
          </w:p>
          <w:p>
            <w:pPr>
              <w:spacing w:after="0" w:line="260"/>
            </w:pPr>
            <w:r>
              <w:rPr>
                <w:rFonts w:ascii="Consolas" w:cs="Consolas" w:eastAsia="Consolas" w:hAnsi="Consolas"/>
                <w:sz w:val="18"/>
                <w:szCs w:val="18"/>
              </w:rPr>
              <w:t xml:space="preserve">                                  (record counts, data freshness)</w:t>
            </w:r>
          </w:p>
        </w:tc>
      </w:tr>
    </w:tbl>
    <w:p>
      <w:pPr>
        <w:spacing w:after="120"/>
      </w:pPr>
      <w:r>
        <w:t xml:space="preserve"/>
      </w:r>
    </w:p>
    <w:p>
      <w:pPr>
        <w:spacing w:after="160" w:line="320"/>
        <w:jc w:val="both"/>
      </w:pPr>
      <w:r>
        <w:t xml:space="preserve">Each layer writes to its own independent checkpoint directory under </w:t>
      </w:r>
      <w:r>
        <w:rPr>
          <w:rFonts w:ascii="Consolas" w:cs="Consolas" w:eastAsia="Consolas" w:hAnsi="Consolas"/>
          <w:sz w:val="20"/>
          <w:szCs w:val="20"/>
        </w:rPr>
        <w:t xml:space="preserve">{base_path}/checkpoints/</w:t>
      </w:r>
      <w:r>
        <w:t xml:space="preserve">. This decoupling means a failure in the Silver stream does not halt Bronze ingestion, and individual layers can be restarted or backfilled in isolation. Azure Data Factory owns the orchestration, invoking the notebook with environment-specific parameters and handling scheduling, alerting, retry policies, and cross-pipeline dependencies.</w:t>
      </w:r>
    </w:p>
    <w:p>
      <w:pPr>
        <w:pStyle w:val="Heading1"/>
        <w:spacing w:after="180" w:before="360"/>
      </w:pPr>
      <w:r>
        <w:t xml:space="preserve">2. Prerequisites and Setup</w:t>
      </w:r>
    </w:p>
    <w:p>
      <w:pPr>
        <w:pStyle w:val="Heading2"/>
        <w:spacing w:after="140" w:before="280"/>
      </w:pPr>
      <w:r>
        <w:t xml:space="preserve">2.1 Azure Resources</w:t>
      </w:r>
    </w:p>
    <w:p>
      <w:pPr>
        <w:pStyle w:val="ListParagraph"/>
        <w:numPr>
          <w:ilvl w:val="0"/>
          <w:numId w:val="2"/>
        </w:numPr>
        <w:spacing w:after="80" w:line="300"/>
      </w:pPr>
      <w:r>
        <w:rPr>
          <w:b/>
          <w:bCs/>
        </w:rPr>
        <w:t xml:space="preserve">ADLS Gen2 storage account</w:t>
      </w:r>
      <w:r>
        <w:t xml:space="preserve"> (example: </w:t>
      </w:r>
      <w:r>
        <w:rPr>
          <w:rFonts w:ascii="Consolas" w:cs="Consolas" w:eastAsia="Consolas" w:hAnsi="Consolas"/>
          <w:sz w:val="20"/>
          <w:szCs w:val="20"/>
        </w:rPr>
        <w:t xml:space="preserve">deltaforge</w:t>
      </w:r>
      <w:r>
        <w:t xml:space="preserve">) with the hierarchical namespace feature enabled.</w:t>
      </w:r>
    </w:p>
    <w:p>
      <w:pPr>
        <w:pStyle w:val="ListParagraph"/>
        <w:numPr>
          <w:ilvl w:val="0"/>
          <w:numId w:val="2"/>
        </w:numPr>
        <w:spacing w:after="80" w:line="300"/>
      </w:pPr>
      <w:r>
        <w:rPr>
          <w:b/>
          <w:bCs/>
        </w:rPr>
        <w:t xml:space="preserve">Storage container</w:t>
      </w:r>
      <w:r>
        <w:t xml:space="preserve"> (example: </w:t>
      </w:r>
      <w:r>
        <w:rPr>
          <w:rFonts w:ascii="Consolas" w:cs="Consolas" w:eastAsia="Consolas" w:hAnsi="Consolas"/>
          <w:sz w:val="20"/>
          <w:szCs w:val="20"/>
        </w:rPr>
        <w:t xml:space="preserve">delta-forge</w:t>
      </w:r>
      <w:r>
        <w:t xml:space="preserve">) containing the following directory layout: </w:t>
      </w:r>
      <w:r>
        <w:rPr>
          <w:rFonts w:ascii="Consolas" w:cs="Consolas" w:eastAsia="Consolas" w:hAnsi="Consolas"/>
          <w:sz w:val="20"/>
          <w:szCs w:val="20"/>
        </w:rPr>
        <w:t xml:space="preserve">/raw_landing/</w:t>
      </w:r>
      <w:r>
        <w:t xml:space="preserve"> for inbound files; </w:t>
      </w:r>
      <w:r>
        <w:rPr>
          <w:rFonts w:ascii="Consolas" w:cs="Consolas" w:eastAsia="Consolas" w:hAnsi="Consolas"/>
          <w:sz w:val="20"/>
          <w:szCs w:val="20"/>
        </w:rPr>
        <w:t xml:space="preserve">/bronze/</w:t>
      </w:r>
      <w:r>
        <w:t xml:space="preserve">, </w:t>
      </w:r>
      <w:r>
        <w:rPr>
          <w:rFonts w:ascii="Consolas" w:cs="Consolas" w:eastAsia="Consolas" w:hAnsi="Consolas"/>
          <w:sz w:val="20"/>
          <w:szCs w:val="20"/>
        </w:rPr>
        <w:t xml:space="preserve">/silver/</w:t>
      </w:r>
      <w:r>
        <w:t xml:space="preserve">, </w:t>
      </w:r>
      <w:r>
        <w:rPr>
          <w:rFonts w:ascii="Consolas" w:cs="Consolas" w:eastAsia="Consolas" w:hAnsi="Consolas"/>
          <w:sz w:val="20"/>
          <w:szCs w:val="20"/>
        </w:rPr>
        <w:t xml:space="preserve">/gold/</w:t>
      </w:r>
      <w:r>
        <w:t xml:space="preserve"> for managed table storage; and </w:t>
      </w:r>
      <w:r>
        <w:rPr>
          <w:rFonts w:ascii="Consolas" w:cs="Consolas" w:eastAsia="Consolas" w:hAnsi="Consolas"/>
          <w:sz w:val="20"/>
          <w:szCs w:val="20"/>
        </w:rPr>
        <w:t xml:space="preserve">/checkpoints/</w:t>
      </w:r>
      <w:r>
        <w:t xml:space="preserve"> for Auto Loader schema tracking and Structured Streaming state.</w:t>
      </w:r>
    </w:p>
    <w:p>
      <w:pPr>
        <w:pStyle w:val="ListParagraph"/>
        <w:numPr>
          <w:ilvl w:val="0"/>
          <w:numId w:val="2"/>
        </w:numPr>
        <w:spacing w:after="80" w:line="300"/>
      </w:pPr>
      <w:r>
        <w:rPr>
          <w:b/>
          <w:bCs/>
        </w:rPr>
        <w:t xml:space="preserve">Azure Data Factory</w:t>
      </w:r>
      <w:r>
        <w:t xml:space="preserve"> instance with a linked service to the target Databricks workspace.</w:t>
      </w:r>
    </w:p>
    <w:p>
      <w:pPr>
        <w:pStyle w:val="ListParagraph"/>
        <w:numPr>
          <w:ilvl w:val="0"/>
          <w:numId w:val="2"/>
        </w:numPr>
        <w:spacing w:after="80" w:line="300"/>
      </w:pPr>
      <w:r>
        <w:rPr>
          <w:b/>
          <w:bCs/>
        </w:rPr>
        <w:t xml:space="preserve">(Optional) Event Grid topic and Storage Queue</w:t>
      </w:r>
      <w:r>
        <w:t xml:space="preserve"> if Auto Loader file-notification mode will be used at very high file rates.</w:t>
      </w:r>
    </w:p>
    <w:p>
      <w:pPr>
        <w:pStyle w:val="Heading2"/>
        <w:spacing w:after="140" w:before="280"/>
      </w:pPr>
      <w:r>
        <w:t xml:space="preserve">2.2 Identity and Access Control</w:t>
      </w:r>
    </w:p>
    <w:p>
      <w:pPr>
        <w:pStyle w:val="ListParagraph"/>
        <w:numPr>
          <w:ilvl w:val="0"/>
          <w:numId w:val="2"/>
        </w:numPr>
        <w:spacing w:after="80" w:line="300"/>
      </w:pPr>
      <w:r>
        <w:t xml:space="preserve">Assign the Databricks cluster's managed identity (or service principal) the </w:t>
      </w:r>
      <w:r>
        <w:rPr>
          <w:b/>
          <w:bCs/>
        </w:rPr>
        <w:t xml:space="preserve">Storage Blob Data Contributor</w:t>
      </w:r>
      <w:r>
        <w:t xml:space="preserve"> role on the ADLS container.</w:t>
      </w:r>
    </w:p>
    <w:p>
      <w:pPr>
        <w:pStyle w:val="ListParagraph"/>
        <w:numPr>
          <w:ilvl w:val="0"/>
          <w:numId w:val="2"/>
        </w:numPr>
        <w:spacing w:after="80" w:line="300"/>
      </w:pPr>
      <w:r>
        <w:t xml:space="preserve">Configure ABFS authentication via OAuth (strongly recommended) or an access key, set in the cluster's Spark configuration — never hardcoded in the notebook.</w:t>
      </w:r>
    </w:p>
    <w:p>
      <w:pPr>
        <w:pStyle w:val="ListParagraph"/>
        <w:numPr>
          <w:ilvl w:val="0"/>
          <w:numId w:val="2"/>
        </w:numPr>
        <w:spacing w:after="80" w:line="300"/>
      </w:pPr>
      <w:r>
        <w:t xml:space="preserve">For file-notification mode, grant </w:t>
      </w:r>
      <w:r>
        <w:rPr>
          <w:b/>
          <w:bCs/>
        </w:rPr>
        <w:t xml:space="preserve">EventGrid Contributor</w:t>
      </w:r>
      <w:r>
        <w:t xml:space="preserve"> and </w:t>
      </w:r>
      <w:r>
        <w:rPr>
          <w:b/>
          <w:bCs/>
        </w:rPr>
        <w:t xml:space="preserve">Storage Queue Data Contributor</w:t>
      </w:r>
      <w:r>
        <w:t xml:space="preserve"> to the same identity.</w:t>
      </w:r>
    </w:p>
    <w:p>
      <w:pPr>
        <w:pStyle w:val="ListParagraph"/>
        <w:numPr>
          <w:ilvl w:val="0"/>
          <w:numId w:val="2"/>
        </w:numPr>
        <w:spacing w:after="80" w:line="300"/>
      </w:pPr>
      <w:r>
        <w:t xml:space="preserve">Grant the ADF managed identity </w:t>
      </w:r>
      <w:r>
        <w:rPr>
          <w:b/>
          <w:bCs/>
        </w:rPr>
        <w:t xml:space="preserve">Contributor</w:t>
      </w:r>
      <w:r>
        <w:t xml:space="preserve"> access on the Databricks workspace so it can submit notebook runs.</w:t>
      </w:r>
    </w:p>
    <w:p>
      <w:pPr>
        <w:pStyle w:val="Heading2"/>
        <w:spacing w:after="140" w:before="280"/>
      </w:pPr>
      <w:r>
        <w:t xml:space="preserve">2.3 Databricks Cluster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4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Setting</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Recommended Value</w:t>
            </w:r>
          </w:p>
        </w:tc>
        <w:tc>
          <w:tcPr>
            <w:tcW w:type="dxa" w:w="4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Rationale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Runtime</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DBR 13.3 LTS or newer</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Improved Auto Loader performance and Photon acceleration</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Cluster mode</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Job cluster (prod) / Single User (dev)</w:t>
            </w:r>
          </w:p>
        </w:tc>
        <w:tc>
          <w:tcPr>
            <w:tcW w:type="dxa" w:w="44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Job clusters auto-terminate, isolating cost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Node type</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Standard_E4ds_v5</w:t>
            </w:r>
            <w:r>
              <w:t xml:space="preserve"> or larger (memory-optimized)</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Schema inference and RocksDB state benefit from RAM</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Workers</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2–8 with autoscaling</w:t>
            </w:r>
          </w:p>
        </w:tc>
        <w:tc>
          <w:tcPr>
            <w:tcW w:type="dxa" w:w="44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Scales with backlog; minimum avoids single-node pressure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Photon</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Enabled</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Accelerates Delta writes and aggregations</w:t>
            </w:r>
          </w:p>
        </w:tc>
      </w:tr>
    </w:tbl>
    <w:p>
      <w:pPr>
        <w:spacing w:after="120"/>
      </w:pPr>
      <w:r>
        <w:t xml:space="preserve"/>
      </w:r>
    </w:p>
    <w:p>
      <w:pPr>
        <w:spacing w:after="160" w:line="320"/>
        <w:jc w:val="both"/>
      </w:pPr>
      <w:r>
        <w:t xml:space="preserve">The notebook itself enables Adaptive Query Execution and Delta auto-merge via in-session Spark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spark.conf.set("spark.sql.adaptive.enabled", "true")</w:t>
            </w:r>
          </w:p>
          <w:p>
            <w:pPr>
              <w:spacing w:after="0" w:line="260"/>
            </w:pPr>
            <w:r>
              <w:rPr>
                <w:rFonts w:ascii="Consolas" w:cs="Consolas" w:eastAsia="Consolas" w:hAnsi="Consolas"/>
                <w:sz w:val="18"/>
                <w:szCs w:val="18"/>
              </w:rPr>
              <w:t xml:space="preserve">spark.conf.set("spark.databricks.delta.schema.autoMerge.enabled", "true")</w:t>
            </w:r>
          </w:p>
        </w:tc>
      </w:tr>
    </w:tbl>
    <w:p>
      <w:pPr>
        <w:spacing w:after="120"/>
      </w:pPr>
      <w:r>
        <w:t xml:space="preserve"/>
      </w:r>
    </w:p>
    <w:p>
      <w:pPr>
        <w:pStyle w:val="Heading2"/>
        <w:spacing w:after="140" w:before="280"/>
      </w:pPr>
      <w:r>
        <w:t xml:space="preserve">2.4 Metastore</w:t>
      </w:r>
    </w:p>
    <w:p>
      <w:pPr>
        <w:spacing w:after="160" w:line="320"/>
        <w:jc w:val="both"/>
      </w:pPr>
      <w:r>
        <w:t xml:space="preserve">The notebook uses the </w:t>
      </w:r>
      <w:r>
        <w:rPr>
          <w:b/>
          <w:bCs/>
        </w:rPr>
        <w:t xml:space="preserve">Legacy Hive Metastore</w:t>
      </w:r>
      <w:r>
        <w:t xml:space="preserve"> database </w:t>
      </w:r>
      <w:r>
        <w:rPr>
          <w:rFonts w:ascii="Consolas" w:cs="Consolas" w:eastAsia="Consolas" w:hAnsi="Consolas"/>
          <w:sz w:val="20"/>
          <w:szCs w:val="20"/>
        </w:rPr>
        <w:t xml:space="preserve">legacy_hms_db</w:t>
      </w:r>
      <w:r>
        <w:t xml:space="preserve">, created via </w:t>
      </w:r>
      <w:r>
        <w:rPr>
          <w:rFonts w:ascii="Consolas" w:cs="Consolas" w:eastAsia="Consolas" w:hAnsi="Consolas"/>
          <w:sz w:val="20"/>
          <w:szCs w:val="20"/>
        </w:rPr>
        <w:t xml:space="preserve">CREATE DATABASE IF NOT EXISTS</w:t>
      </w:r>
      <w:r>
        <w:t xml:space="preserve"> on first run. No Unity Catalog setup is required. If the organization later migrates to Unity Catalog, replace each table reference with its three-part form (</w:t>
      </w:r>
      <w:r>
        <w:rPr>
          <w:rFonts w:ascii="Consolas" w:cs="Consolas" w:eastAsia="Consolas" w:hAnsi="Consolas"/>
          <w:sz w:val="20"/>
          <w:szCs w:val="20"/>
        </w:rPr>
        <w:t xml:space="preserve">&lt;catalog&gt;.&lt;schema&gt;.&lt;table&gt;</w:t>
      </w:r>
      <w:r>
        <w:t xml:space="preserve">) and grant the appropriate </w:t>
      </w:r>
      <w:r>
        <w:rPr>
          <w:rFonts w:ascii="Consolas" w:cs="Consolas" w:eastAsia="Consolas" w:hAnsi="Consolas"/>
          <w:sz w:val="20"/>
          <w:szCs w:val="20"/>
        </w:rPr>
        <w:t xml:space="preserve">USE CATALOG</w:t>
      </w:r>
      <w:r>
        <w:t xml:space="preserve"> and </w:t>
      </w:r>
      <w:r>
        <w:rPr>
          <w:rFonts w:ascii="Consolas" w:cs="Consolas" w:eastAsia="Consolas" w:hAnsi="Consolas"/>
          <w:sz w:val="20"/>
          <w:szCs w:val="20"/>
        </w:rPr>
        <w:t xml:space="preserve">USE SCHEMA</w:t>
      </w:r>
      <w:r>
        <w:t xml:space="preserve"> privileges to the job principal.</w:t>
      </w:r>
    </w:p>
    <w:p>
      <w:pPr>
        <w:pStyle w:val="Heading1"/>
        <w:spacing w:after="180" w:before="360"/>
      </w:pPr>
      <w:r>
        <w:t xml:space="preserve">3. Layer-by-Layer Breakdown</w:t>
      </w:r>
    </w:p>
    <w:p>
      <w:pPr>
        <w:pStyle w:val="Heading2"/>
        <w:spacing w:after="140" w:before="280"/>
      </w:pPr>
      <w:r>
        <w:t xml:space="preserve">3.1 Bronze Layer — Raw Ingestion with Auto Loader</w:t>
      </w:r>
    </w:p>
    <w:p>
      <w:pPr>
        <w:spacing w:after="160" w:line="320"/>
        <w:jc w:val="both"/>
      </w:pPr>
      <w:r>
        <w:rPr>
          <w:b/>
          <w:bCs/>
        </w:rPr>
        <w:t xml:space="preserve">Purpose:</w:t>
      </w:r>
      <w:r>
        <w:t xml:space="preserve"> Capture raw files exactly as they land, with minimal transformation, and enrich each record with operational metadata for lineage and debugging.</w:t>
      </w:r>
    </w:p>
    <w:p>
      <w:pPr>
        <w:pStyle w:val="Heading3"/>
        <w:spacing w:after="120" w:before="220"/>
      </w:pPr>
      <w:r>
        <w:t xml:space="preserve">Key Auto Loader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Option</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Value</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Purpose</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cloudFiles.format</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csv</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Source format — change to </w:t>
            </w:r>
            <w:r>
              <w:rPr>
                <w:rFonts w:ascii="Consolas" w:cs="Consolas" w:eastAsia="Consolas" w:hAnsi="Consolas"/>
                <w:sz w:val="20"/>
                <w:szCs w:val="20"/>
              </w:rPr>
              <w:t xml:space="preserve">json</w:t>
            </w:r>
            <w:r>
              <w:t xml:space="preserve">, </w:t>
            </w:r>
            <w:r>
              <w:rPr>
                <w:rFonts w:ascii="Consolas" w:cs="Consolas" w:eastAsia="Consolas" w:hAnsi="Consolas"/>
                <w:sz w:val="20"/>
                <w:szCs w:val="20"/>
              </w:rPr>
              <w:t xml:space="preserve">parquet</w:t>
            </w:r>
            <w:r>
              <w:t xml:space="preserve">, or </w:t>
            </w:r>
            <w:r>
              <w:rPr>
                <w:rFonts w:ascii="Consolas" w:cs="Consolas" w:eastAsia="Consolas" w:hAnsi="Consolas"/>
                <w:sz w:val="20"/>
                <w:szCs w:val="20"/>
              </w:rPr>
              <w:t xml:space="preserve">avro</w:t>
            </w:r>
            <w:r>
              <w:t xml:space="preserve"> as needed</w:t>
            </w:r>
          </w:p>
        </w:tc>
      </w:tr>
      <w:t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cloudFiles.schemaLocation</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{checkpoint_base}/bronze_schema</w:t>
            </w:r>
          </w:p>
        </w:tc>
        <w:tc>
          <w:tcPr>
            <w:tcW w:type="dxa" w:w="3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Persists inferred schema across runs; enables evolution</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cloudFiles.inferColumnTypes</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true</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Auto-detects numeric and date types instead of treating everything as string</w:t>
            </w:r>
          </w:p>
        </w:tc>
      </w:tr>
      <w:tr>
        <w:tc>
          <w:tcPr>
            <w:tcW w:type="dxa" w:w="27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cloudFiles.schemaEvolutionMode</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addNewColumns</w:t>
            </w:r>
          </w:p>
        </w:tc>
        <w:tc>
          <w:tcPr>
            <w:tcW w:type="dxa" w:w="3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New columns append automatically; existing types never change silently</w:t>
            </w:r>
          </w:p>
        </w:tc>
      </w:tr>
    </w:tbl>
    <w:p>
      <w:pPr>
        <w:spacing w:after="120"/>
      </w:pPr>
      <w:r>
        <w:t xml:space="preserve"/>
      </w:r>
    </w:p>
    <w:p>
      <w:pPr>
        <w:pStyle w:val="Heading3"/>
        <w:spacing w:after="120" w:before="220"/>
      </w:pPr>
      <w:r>
        <w:t xml:space="preserve">Metadata Enrichment</w:t>
      </w:r>
    </w:p>
    <w:p>
      <w:pPr>
        <w:spacing w:after="160" w:line="320"/>
        <w:jc w:val="both"/>
      </w:pPr>
      <w:r>
        <w:t xml:space="preserve">Three tracking columns are appended to every Bronze record to support lineage, debugging, and freshness monitoring:</w:t>
      </w:r>
    </w:p>
    <w:p>
      <w:pPr>
        <w:pStyle w:val="ListParagraph"/>
        <w:numPr>
          <w:ilvl w:val="0"/>
          <w:numId w:val="2"/>
        </w:numPr>
        <w:spacing w:after="80" w:line="300"/>
      </w:pPr>
      <w:r>
        <w:rPr>
          <w:rFonts w:ascii="Consolas" w:cs="Consolas" w:eastAsia="Consolas" w:hAnsi="Consolas"/>
          <w:sz w:val="20"/>
          <w:szCs w:val="20"/>
        </w:rPr>
        <w:t xml:space="preserve">file_name</w:t>
      </w:r>
      <w:r>
        <w:t xml:space="preserve"> — the absolute ADLS path of the source file.</w:t>
      </w:r>
    </w:p>
    <w:p>
      <w:pPr>
        <w:pStyle w:val="ListParagraph"/>
        <w:numPr>
          <w:ilvl w:val="0"/>
          <w:numId w:val="2"/>
        </w:numPr>
        <w:spacing w:after="80" w:line="300"/>
      </w:pPr>
      <w:r>
        <w:rPr>
          <w:rFonts w:ascii="Consolas" w:cs="Consolas" w:eastAsia="Consolas" w:hAnsi="Consolas"/>
          <w:sz w:val="20"/>
          <w:szCs w:val="20"/>
        </w:rPr>
        <w:t xml:space="preserve">file_arrival_time</w:t>
      </w:r>
      <w:r>
        <w:t xml:space="preserve"> — the file modification timestamp reported by blob storage.</w:t>
      </w:r>
    </w:p>
    <w:p>
      <w:pPr>
        <w:pStyle w:val="ListParagraph"/>
        <w:numPr>
          <w:ilvl w:val="0"/>
          <w:numId w:val="2"/>
        </w:numPr>
        <w:spacing w:after="80" w:line="300"/>
      </w:pPr>
      <w:r>
        <w:rPr>
          <w:rFonts w:ascii="Consolas" w:cs="Consolas" w:eastAsia="Consolas" w:hAnsi="Consolas"/>
          <w:sz w:val="20"/>
          <w:szCs w:val="20"/>
        </w:rPr>
        <w:t xml:space="preserve">ingestion_time</w:t>
      </w:r>
      <w:r>
        <w:t xml:space="preserve"> — the Spark </w:t>
      </w:r>
      <w:r>
        <w:rPr>
          <w:rFonts w:ascii="Consolas" w:cs="Consolas" w:eastAsia="Consolas" w:hAnsi="Consolas"/>
          <w:sz w:val="20"/>
          <w:szCs w:val="20"/>
        </w:rPr>
        <w:t xml:space="preserve">current_timestamp()</w:t>
      </w:r>
      <w:r>
        <w:t xml:space="preserve"> value at the moment of ingestion.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2FB" w:val="clear"/>
            <w:tcMar>
              <w:top w:type="dxa" w:w="160"/>
              <w:left w:type="dxa" w:w="220"/>
              <w:bottom w:type="dxa" w:w="160"/>
              <w:right w:type="dxa" w:w="180"/>
            </w:tcMar>
          </w:tcPr>
          <w:p>
            <w:pPr>
              <w:spacing w:after="80"/>
            </w:pPr>
            <w:r>
              <w:rPr>
                <w:b/>
                <w:bCs/>
                <w:color w:val="1F4E79"/>
              </w:rPr>
              <w:t xml:space="preserve">IMPLEMENTATION NOTE</w:t>
            </w:r>
          </w:p>
          <w:p>
            <w:pPr>
              <w:spacing w:after="0" w:line="300"/>
            </w:pPr>
            <w:r>
              <w:t xml:space="preserve">The sample code uses </w:t>
            </w:r>
            <w:r>
              <w:rPr>
                <w:rFonts w:ascii="Consolas" w:cs="Consolas" w:eastAsia="Consolas" w:hAnsi="Consolas"/>
                <w:sz w:val="20"/>
                <w:szCs w:val="20"/>
              </w:rPr>
              <w:t xml:space="preserve">withColumn("file_name", "_metadata.file_path")</w:t>
            </w:r>
            <w:r>
              <w:t xml:space="preserve"> with a bare string literal. In production, wrap this in </w:t>
            </w:r>
            <w:r>
              <w:rPr>
                <w:rFonts w:ascii="Consolas" w:cs="Consolas" w:eastAsia="Consolas" w:hAnsi="Consolas"/>
                <w:sz w:val="20"/>
                <w:szCs w:val="20"/>
              </w:rPr>
              <w:t xml:space="preserve">col("_metadata.file_path")</w:t>
            </w:r>
            <w:r>
              <w:t xml:space="preserve"> or </w:t>
            </w:r>
            <w:r>
              <w:rPr>
                <w:rFonts w:ascii="Consolas" w:cs="Consolas" w:eastAsia="Consolas" w:hAnsi="Consolas"/>
                <w:sz w:val="20"/>
                <w:szCs w:val="20"/>
              </w:rPr>
              <w:t xml:space="preserve">F.expr("_metadata.file_path")</w:t>
            </w:r>
            <w:r>
              <w:t xml:space="preserve"> so Spark reads the </w:t>
            </w:r>
            <w:r>
              <w:rPr>
                <w:rFonts w:ascii="Consolas" w:cs="Consolas" w:eastAsia="Consolas" w:hAnsi="Consolas"/>
                <w:sz w:val="20"/>
                <w:szCs w:val="20"/>
              </w:rPr>
              <w:t xml:space="preserve">_metadata</w:t>
            </w:r>
            <w:r>
              <w:t xml:space="preserve"> struct column rather than storing the literal string “_metadata.file_path” as a constant value. The same correction applies to </w:t>
            </w:r>
            <w:r>
              <w:rPr>
                <w:rFonts w:ascii="Consolas" w:cs="Consolas" w:eastAsia="Consolas" w:hAnsi="Consolas"/>
                <w:sz w:val="20"/>
                <w:szCs w:val="20"/>
              </w:rPr>
              <w:t xml:space="preserve">file_arrival_time</w:t>
            </w:r>
            <w:r>
              <w:t xml:space="preserve">.</w:t>
            </w:r>
          </w:p>
        </w:tc>
      </w:tr>
    </w:tbl>
    <w:p>
      <w:pPr>
        <w:spacing w:after="120"/>
      </w:pPr>
      <w:r>
        <w:t xml:space="preserve"/>
      </w:r>
    </w:p>
    <w:p>
      <w:pPr>
        <w:pStyle w:val="Heading3"/>
        <w:spacing w:after="120" w:before="220"/>
      </w:pPr>
      <w:r>
        <w:t xml:space="preserve">Write Behavior</w:t>
      </w:r>
    </w:p>
    <w:p>
      <w:pPr>
        <w:pStyle w:val="ListParagraph"/>
        <w:numPr>
          <w:ilvl w:val="0"/>
          <w:numId w:val="2"/>
        </w:numPr>
        <w:spacing w:after="80" w:line="300"/>
      </w:pPr>
      <w:r>
        <w:rPr>
          <w:b/>
          <w:bCs/>
        </w:rPr>
        <w:t xml:space="preserve">Output mode:</w:t>
      </w:r>
      <w:r>
        <w:t xml:space="preserve"> </w:t>
      </w:r>
      <w:r>
        <w:rPr>
          <w:rFonts w:ascii="Consolas" w:cs="Consolas" w:eastAsia="Consolas" w:hAnsi="Consolas"/>
          <w:sz w:val="20"/>
          <w:szCs w:val="20"/>
        </w:rPr>
        <w:t xml:space="preserve">append</w:t>
      </w:r>
      <w:r>
        <w:t xml:space="preserve"> — Bronze is the immutable raw layer.</w:t>
      </w:r>
    </w:p>
    <w:p>
      <w:pPr>
        <w:pStyle w:val="ListParagraph"/>
        <w:numPr>
          <w:ilvl w:val="0"/>
          <w:numId w:val="2"/>
        </w:numPr>
        <w:spacing w:after="80" w:line="300"/>
      </w:pPr>
      <w:r>
        <w:rPr>
          <w:b/>
          <w:bCs/>
        </w:rPr>
        <w:t xml:space="preserve">Trigger:</w:t>
      </w:r>
      <w:r>
        <w:t xml:space="preserve"> </w:t>
      </w:r>
      <w:r>
        <w:rPr>
          <w:rFonts w:ascii="Consolas" w:cs="Consolas" w:eastAsia="Consolas" w:hAnsi="Consolas"/>
          <w:sz w:val="20"/>
          <w:szCs w:val="20"/>
        </w:rPr>
        <w:t xml:space="preserve">availableNow=True</w:t>
      </w:r>
      <w:r>
        <w:t xml:space="preserve"> — processes all newly discovered files in a bounded batch and terminates the stream. Ideal for ADF orchestration.</w:t>
      </w:r>
    </w:p>
    <w:p>
      <w:pPr>
        <w:pStyle w:val="ListParagraph"/>
        <w:numPr>
          <w:ilvl w:val="0"/>
          <w:numId w:val="2"/>
        </w:numPr>
        <w:spacing w:after="80" w:line="300"/>
      </w:pPr>
      <w:r>
        <w:rPr>
          <w:b/>
          <w:bCs/>
        </w:rPr>
        <w:t xml:space="preserve">Target:</w:t>
      </w:r>
      <w:r>
        <w:t xml:space="preserve"> </w:t>
      </w:r>
      <w:r>
        <w:rPr>
          <w:rFonts w:ascii="Consolas" w:cs="Consolas" w:eastAsia="Consolas" w:hAnsi="Consolas"/>
          <w:sz w:val="20"/>
          <w:szCs w:val="20"/>
        </w:rPr>
        <w:t xml:space="preserve">legacy_hms_db.bronze_transactions</w:t>
      </w:r>
      <w:r>
        <w:t xml:space="preserve">, with checkpoint at </w:t>
      </w:r>
      <w:r>
        <w:rPr>
          <w:rFonts w:ascii="Consolas" w:cs="Consolas" w:eastAsia="Consolas" w:hAnsi="Consolas"/>
          <w:sz w:val="20"/>
          <w:szCs w:val="20"/>
        </w:rPr>
        <w:t xml:space="preserve">{checkpoint_base}/bronze_chkpt</w:t>
      </w:r>
      <w:r>
        <w:t xml:space="preserve">.</w:t>
      </w:r>
    </w:p>
    <w:p>
      <w:pPr>
        <w:pStyle w:val="Heading2"/>
        <w:spacing w:after="140" w:before="280"/>
      </w:pPr>
      <w:r>
        <w:t xml:space="preserve">3.2 Silver Layer — Cleansing, Deduplication, and Upsert</w:t>
      </w:r>
    </w:p>
    <w:p>
      <w:pPr>
        <w:spacing w:after="160" w:line="320"/>
        <w:jc w:val="both"/>
      </w:pPr>
      <w:r>
        <w:rPr>
          <w:b/>
          <w:bCs/>
        </w:rPr>
        <w:t xml:space="preserve">Purpose:</w:t>
      </w:r>
      <w:r>
        <w:t xml:space="preserve"> Enforce data quality and produce a single authoritative record per business key, even in the presence of duplicates and late-arriving corrections.</w:t>
      </w:r>
    </w:p>
    <w:p>
      <w:pPr>
        <w:spacing w:after="160" w:line="320"/>
        <w:jc w:val="both"/>
      </w:pPr>
      <w:r>
        <w:t xml:space="preserve">Structured Streaming does not natively support </w:t>
      </w:r>
      <w:r>
        <w:rPr>
          <w:rFonts w:ascii="Consolas" w:cs="Consolas" w:eastAsia="Consolas" w:hAnsi="Consolas"/>
          <w:sz w:val="20"/>
          <w:szCs w:val="20"/>
        </w:rPr>
        <w:t xml:space="preserve">MERGE INTO</w:t>
      </w:r>
      <w:r>
        <w:t xml:space="preserve">, so the layer uses </w:t>
      </w:r>
      <w:r>
        <w:rPr>
          <w:rFonts w:ascii="Consolas" w:cs="Consolas" w:eastAsia="Consolas" w:hAnsi="Consolas"/>
          <w:sz w:val="20"/>
          <w:szCs w:val="20"/>
        </w:rPr>
        <w:t xml:space="preserve">foreachBatch</w:t>
      </w:r>
      <w:r>
        <w:t xml:space="preserve"> to hand each micro-batch to a custom function, </w:t>
      </w:r>
      <w:r>
        <w:rPr>
          <w:rFonts w:ascii="Consolas" w:cs="Consolas" w:eastAsia="Consolas" w:hAnsi="Consolas"/>
          <w:sz w:val="20"/>
          <w:szCs w:val="20"/>
        </w:rPr>
        <w:t xml:space="preserve">process_silver_microbatch(df, batchId)</w:t>
      </w:r>
      <w:r>
        <w:t xml:space="preserve">:</w:t>
      </w:r>
    </w:p>
    <w:p>
      <w:pPr>
        <w:pStyle w:val="ListParagraph"/>
        <w:numPr>
          <w:ilvl w:val="0"/>
          <w:numId w:val="3"/>
        </w:numPr>
        <w:spacing w:after="80" w:line="300"/>
      </w:pPr>
      <w:r>
        <w:rPr>
          <w:b/>
          <w:bCs/>
        </w:rPr>
        <w:t xml:space="preserve">Null filtering</w:t>
      </w:r>
      <w:r>
        <w:t xml:space="preserve"> — </w:t>
      </w:r>
      <w:r>
        <w:rPr>
          <w:rFonts w:ascii="Consolas" w:cs="Consolas" w:eastAsia="Consolas" w:hAnsi="Consolas"/>
          <w:sz w:val="20"/>
          <w:szCs w:val="20"/>
        </w:rPr>
        <w:t xml:space="preserve">dropna(subset=["transaction_id", "amount"])</w:t>
      </w:r>
      <w:r>
        <w:t xml:space="preserve"> removes records missing either the primary key or the core numeric value.</w:t>
      </w:r>
    </w:p>
    <w:p>
      <w:pPr>
        <w:pStyle w:val="ListParagraph"/>
        <w:numPr>
          <w:ilvl w:val="0"/>
          <w:numId w:val="3"/>
        </w:numPr>
        <w:spacing w:after="80" w:line="300"/>
      </w:pPr>
      <w:r>
        <w:rPr>
          <w:b/>
          <w:bCs/>
        </w:rPr>
        <w:t xml:space="preserve">Deduplication</w:t>
      </w:r>
      <w:r>
        <w:t xml:space="preserve"> — </w:t>
      </w:r>
      <w:r>
        <w:rPr>
          <w:rFonts w:ascii="Consolas" w:cs="Consolas" w:eastAsia="Consolas" w:hAnsi="Consolas"/>
          <w:sz w:val="20"/>
          <w:szCs w:val="20"/>
        </w:rPr>
        <w:t xml:space="preserve">dropDuplicates(["transaction_id"])</w:t>
      </w:r>
      <w:r>
        <w:t xml:space="preserve"> collapses any duplicates within the current micro-batch.</w:t>
      </w:r>
    </w:p>
    <w:p>
      <w:pPr>
        <w:pStyle w:val="ListParagraph"/>
        <w:numPr>
          <w:ilvl w:val="0"/>
          <w:numId w:val="3"/>
        </w:numPr>
        <w:spacing w:after="80" w:line="300"/>
      </w:pPr>
      <w:r>
        <w:rPr>
          <w:b/>
          <w:bCs/>
        </w:rPr>
        <w:t xml:space="preserve">Lineage columns</w:t>
      </w:r>
      <w:r>
        <w:t xml:space="preserve"> — </w:t>
      </w:r>
      <w:r>
        <w:rPr>
          <w:rFonts w:ascii="Consolas" w:cs="Consolas" w:eastAsia="Consolas" w:hAnsi="Consolas"/>
          <w:sz w:val="20"/>
          <w:szCs w:val="20"/>
        </w:rPr>
        <w:t xml:space="preserve">processed_time</w:t>
      </w:r>
      <w:r>
        <w:t xml:space="preserve"> and </w:t>
      </w:r>
      <w:r>
        <w:rPr>
          <w:rFonts w:ascii="Consolas" w:cs="Consolas" w:eastAsia="Consolas" w:hAnsi="Consolas"/>
          <w:sz w:val="20"/>
          <w:szCs w:val="20"/>
        </w:rPr>
        <w:t xml:space="preserve">processed_flag</w:t>
      </w:r>
      <w:r>
        <w:t xml:space="preserve"> are added to support downstream aggregations and monitoring.</w:t>
      </w:r>
    </w:p>
    <w:p>
      <w:pPr>
        <w:pStyle w:val="ListParagraph"/>
        <w:numPr>
          <w:ilvl w:val="0"/>
          <w:numId w:val="3"/>
        </w:numPr>
        <w:spacing w:after="80" w:line="300"/>
      </w:pPr>
      <w:r>
        <w:rPr>
          <w:b/>
          <w:bCs/>
        </w:rPr>
        <w:t xml:space="preserve">MERGE upsert</w:t>
      </w:r>
      <w:r>
        <w:t xml:space="preserve"> — the cleaned micro-batch is registered as a temp view and merged into </w:t>
      </w:r>
      <w:r>
        <w:rPr>
          <w:rFonts w:ascii="Consolas" w:cs="Consolas" w:eastAsia="Consolas" w:hAnsi="Consolas"/>
          <w:sz w:val="20"/>
          <w:szCs w:val="20"/>
        </w:rPr>
        <w:t xml:space="preserve">legacy_hms_db.silver_transactions</w:t>
      </w:r>
      <w:r>
        <w:t xml:space="preserve">. Matched rows execute </w:t>
      </w:r>
      <w:r>
        <w:rPr>
          <w:rFonts w:ascii="Consolas" w:cs="Consolas" w:eastAsia="Consolas" w:hAnsi="Consolas"/>
          <w:sz w:val="20"/>
          <w:szCs w:val="20"/>
        </w:rPr>
        <w:t xml:space="preserve">UPDATE SET *</w:t>
      </w:r>
      <w:r>
        <w:t xml:space="preserve"> (handling corrections and late arrivals); unmatched rows execute </w:t>
      </w:r>
      <w:r>
        <w:rPr>
          <w:rFonts w:ascii="Consolas" w:cs="Consolas" w:eastAsia="Consolas" w:hAnsi="Consolas"/>
          <w:sz w:val="20"/>
          <w:szCs w:val="20"/>
        </w:rPr>
        <w:t xml:space="preserve">INSERT *</w:t>
      </w:r>
      <w: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2FB" w:val="clear"/>
            <w:tcMar>
              <w:top w:type="dxa" w:w="160"/>
              <w:left w:type="dxa" w:w="220"/>
              <w:bottom w:type="dxa" w:w="160"/>
              <w:right w:type="dxa" w:w="180"/>
            </w:tcMar>
          </w:tcPr>
          <w:p>
            <w:pPr>
              <w:spacing w:after="80"/>
            </w:pPr>
            <w:r>
              <w:rPr>
                <w:b/>
                <w:bCs/>
                <w:color w:val="1F4E79"/>
              </w:rPr>
              <w:t xml:space="preserve">PRODUCTION HARDENING RECOMMENDATIONS</w:t>
            </w:r>
          </w:p>
          <w:p>
            <w:pPr>
              <w:spacing w:after="0" w:line="300"/>
            </w:pPr>
            <w:r>
              <w:t xml:space="preserve">Pre-create the </w:t>
            </w:r>
            <w:r>
              <w:rPr>
                <w:rFonts w:ascii="Consolas" w:cs="Consolas" w:eastAsia="Consolas" w:hAnsi="Consolas"/>
                <w:sz w:val="20"/>
                <w:szCs w:val="20"/>
              </w:rPr>
              <w:t xml:space="preserve">silver_transactions</w:t>
            </w:r>
            <w:r>
              <w:t xml:space="preserve"> table with an explicit schema so the first MERGE does not fail on an empty target. Replace the </w:t>
            </w:r>
            <w:r>
              <w:rPr>
                <w:rFonts w:ascii="Consolas" w:cs="Consolas" w:eastAsia="Consolas" w:hAnsi="Consolas"/>
                <w:sz w:val="20"/>
                <w:szCs w:val="20"/>
              </w:rPr>
              <w:t xml:space="preserve">microBatchDF._jdf.sparkSession().sql(...)</w:t>
            </w:r>
            <w:r>
              <w:t xml:space="preserve"> idiom with a direct </w:t>
            </w:r>
            <w:r>
              <w:rPr>
                <w:rFonts w:ascii="Consolas" w:cs="Consolas" w:eastAsia="Consolas" w:hAnsi="Consolas"/>
                <w:sz w:val="20"/>
                <w:szCs w:val="20"/>
              </w:rPr>
              <w:t xml:space="preserve">spark.sql(...)</w:t>
            </w:r>
            <w:r>
              <w:t xml:space="preserve"> call — it is simpler and more robust across DBR versions. Finally, run </w:t>
            </w:r>
            <w:r>
              <w:rPr>
                <w:rFonts w:ascii="Consolas" w:cs="Consolas" w:eastAsia="Consolas" w:hAnsi="Consolas"/>
                <w:sz w:val="20"/>
                <w:szCs w:val="20"/>
              </w:rPr>
              <w:t xml:space="preserve">OPTIMIZE ... ZORDER BY (transaction_id)</w:t>
            </w:r>
            <w:r>
              <w:t xml:space="preserve"> on a nightly schedule so MERGE lookups stay fast as the table grows.</w:t>
            </w:r>
          </w:p>
        </w:tc>
      </w:tr>
    </w:tbl>
    <w:p>
      <w:pPr>
        <w:pStyle w:val="Heading2"/>
        <w:spacing w:after="140" w:before="280"/>
      </w:pPr>
      <w:r>
        <w:t xml:space="preserve">3.3 Gold Layer — KPI Aggregation</w:t>
      </w:r>
    </w:p>
    <w:p>
      <w:pPr>
        <w:spacing w:after="160" w:line="320"/>
        <w:jc w:val="both"/>
      </w:pPr>
      <w:r>
        <w:rPr>
          <w:b/>
          <w:bCs/>
        </w:rPr>
        <w:t xml:space="preserve">Purpose:</w:t>
      </w:r>
      <w:r>
        <w:t xml:space="preserve"> Provide ready-to-query business metrics for operational dashboards and reporting.</w:t>
      </w:r>
    </w:p>
    <w:p>
      <w:pPr>
        <w:spacing w:after="160" w:line="320"/>
        <w:jc w:val="both"/>
      </w:pPr>
      <w:r>
        <w:t xml:space="preserve">The Gold stream reads from Silver and computes two aggregates grouped by </w:t>
      </w:r>
      <w:r>
        <w:rPr>
          <w:rFonts w:ascii="Consolas" w:cs="Consolas" w:eastAsia="Consolas" w:hAnsi="Consolas"/>
          <w:sz w:val="20"/>
          <w:szCs w:val="20"/>
        </w:rPr>
        <w:t xml:space="preserve">processed_flag</w:t>
      </w:r>
      <w:r>
        <w:t xml:space="preserve">:</w:t>
      </w:r>
    </w:p>
    <w:p>
      <w:pPr>
        <w:pStyle w:val="ListParagraph"/>
        <w:numPr>
          <w:ilvl w:val="0"/>
          <w:numId w:val="2"/>
        </w:numPr>
        <w:spacing w:after="80" w:line="300"/>
      </w:pPr>
      <w:r>
        <w:rPr>
          <w:rFonts w:ascii="Consolas" w:cs="Consolas" w:eastAsia="Consolas" w:hAnsi="Consolas"/>
          <w:sz w:val="20"/>
          <w:szCs w:val="20"/>
        </w:rPr>
        <w:t xml:space="preserve">total_records_processed</w:t>
      </w:r>
      <w:r>
        <w:t xml:space="preserve"> — </w:t>
      </w:r>
      <w:r>
        <w:rPr>
          <w:rFonts w:ascii="Consolas" w:cs="Consolas" w:eastAsia="Consolas" w:hAnsi="Consolas"/>
          <w:sz w:val="20"/>
          <w:szCs w:val="20"/>
        </w:rPr>
        <w:t xml:space="preserve">count(transaction_id)</w:t>
      </w:r>
      <w:r>
        <w:t xml:space="preserve"> per flag value.</w:t>
      </w:r>
    </w:p>
    <w:p>
      <w:pPr>
        <w:pStyle w:val="ListParagraph"/>
        <w:numPr>
          <w:ilvl w:val="0"/>
          <w:numId w:val="2"/>
        </w:numPr>
        <w:spacing w:after="80" w:line="300"/>
      </w:pPr>
      <w:r>
        <w:rPr>
          <w:rFonts w:ascii="Consolas" w:cs="Consolas" w:eastAsia="Consolas" w:hAnsi="Consolas"/>
          <w:sz w:val="20"/>
          <w:szCs w:val="20"/>
        </w:rPr>
        <w:t xml:space="preserve">latest_data_freshness</w:t>
      </w:r>
      <w:r>
        <w:t xml:space="preserve"> — </w:t>
      </w:r>
      <w:r>
        <w:rPr>
          <w:rFonts w:ascii="Consolas" w:cs="Consolas" w:eastAsia="Consolas" w:hAnsi="Consolas"/>
          <w:sz w:val="20"/>
          <w:szCs w:val="20"/>
        </w:rPr>
        <w:t xml:space="preserve">max(processed_time)</w:t>
      </w:r>
      <w:r>
        <w:t xml:space="preserve"> per flag value, exposing end-to-end pipeline latency.</w:t>
      </w:r>
    </w:p>
    <w:p>
      <w:pPr>
        <w:spacing w:after="120"/>
      </w:pPr>
      <w:r>
        <w:t xml:space="preserve"/>
      </w:r>
    </w:p>
    <w:p>
      <w:pPr>
        <w:spacing w:after="160" w:line="320"/>
        <w:jc w:val="both"/>
      </w:pPr>
      <w:r>
        <w:t xml:space="preserve">The output mode is </w:t>
      </w:r>
      <w:r>
        <w:rPr>
          <w:rFonts w:ascii="Consolas" w:cs="Consolas" w:eastAsia="Consolas" w:hAnsi="Consolas"/>
          <w:sz w:val="20"/>
          <w:szCs w:val="20"/>
        </w:rPr>
        <w:t xml:space="preserve">complete</w:t>
      </w:r>
      <w:r>
        <w:t xml:space="preserve"> because the aggregation carries no watermark — each trigger recomputes the full aggregate. This is acceptable at low cardinality (a handful of rows total). For higher-cardinality aggregations — for example, grouping by merchant, region, or transaction date — switch to </w:t>
      </w:r>
      <w:r>
        <w:rPr>
          <w:rFonts w:ascii="Consolas" w:cs="Consolas" w:eastAsia="Consolas" w:hAnsi="Consolas"/>
          <w:sz w:val="20"/>
          <w:szCs w:val="20"/>
        </w:rPr>
        <w:t xml:space="preserve">update</w:t>
      </w:r>
      <w:r>
        <w:t xml:space="preserve"> output mode with a watermark on </w:t>
      </w:r>
      <w:r>
        <w:rPr>
          <w:rFonts w:ascii="Consolas" w:cs="Consolas" w:eastAsia="Consolas" w:hAnsi="Consolas"/>
          <w:sz w:val="20"/>
          <w:szCs w:val="20"/>
        </w:rPr>
        <w:t xml:space="preserve">processed_time</w:t>
      </w:r>
      <w:r>
        <w:t xml:space="preserve"> to prevent unbounded state growth.</w:t>
      </w:r>
    </w:p>
    <w:p>
      <w:pPr>
        <w:pStyle w:val="Heading1"/>
        <w:spacing w:after="180" w:before="360"/>
      </w:pPr>
      <w:r>
        <w:t xml:space="preserve">4. ADF Orchestration Guide</w:t>
      </w:r>
    </w:p>
    <w:p>
      <w:pPr>
        <w:pStyle w:val="Heading2"/>
        <w:spacing w:after="140" w:before="280"/>
      </w:pPr>
      <w:r>
        <w:t xml:space="preserve">4.1 Step 1 — Parameterize the Notebook</w:t>
      </w:r>
    </w:p>
    <w:p>
      <w:pPr>
        <w:spacing w:after="160" w:line="320"/>
        <w:jc w:val="both"/>
      </w:pPr>
      <w:r>
        <w:t xml:space="preserve">The notebook already declares two widgets at the top, making it environment-aware: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dbutils.widgets.text("environment", "dev")</w:t>
            </w:r>
          </w:p>
          <w:p>
            <w:pPr>
              <w:spacing w:after="0" w:line="260"/>
            </w:pPr>
            <w:r>
              <w:rPr>
                <w:rFonts w:ascii="Consolas" w:cs="Consolas" w:eastAsia="Consolas" w:hAnsi="Consolas"/>
                <w:sz w:val="18"/>
                <w:szCs w:val="18"/>
              </w:rPr>
              <w:t xml:space="preserve">dbutils.widgets.text("base_path",</w:t>
            </w:r>
          </w:p>
          <w:p>
            <w:pPr>
              <w:spacing w:after="0" w:line="260"/>
            </w:pPr>
            <w:r>
              <w:rPr>
                <w:rFonts w:ascii="Consolas" w:cs="Consolas" w:eastAsia="Consolas" w:hAnsi="Consolas"/>
                <w:sz w:val="18"/>
                <w:szCs w:val="18"/>
              </w:rPr>
              <w:t xml:space="preserve">                     "abfss://delta-forge@deltaforge.dfs.core.windows.net/")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env = dbutils.widgets.get("environment")</w:t>
            </w:r>
          </w:p>
          <w:p>
            <w:pPr>
              <w:spacing w:after="0" w:line="260"/>
            </w:pPr>
            <w:r>
              <w:rPr>
                <w:rFonts w:ascii="Consolas" w:cs="Consolas" w:eastAsia="Consolas" w:hAnsi="Consolas"/>
                <w:sz w:val="18"/>
                <w:szCs w:val="18"/>
              </w:rPr>
              <w:t xml:space="preserve">base_path = dbutils.widgets.get("base_path")</w:t>
            </w:r>
          </w:p>
        </w:tc>
      </w:tr>
    </w:tbl>
    <w:p>
      <w:pPr>
        <w:spacing w:after="120"/>
      </w:pPr>
      <w:r>
        <w:t xml:space="preserve"/>
      </w:r>
    </w:p>
    <w:p>
      <w:pPr>
        <w:spacing w:after="160" w:line="320"/>
        <w:jc w:val="both"/>
      </w:pPr>
      <w:r>
        <w:t xml:space="preserve">ADF supplies these at invocation time, letting the same notebook serve dev, test, and production with different storage accounts and naming conventions.</w:t>
      </w:r>
    </w:p>
    <w:p>
      <w:pPr>
        <w:pStyle w:val="Heading2"/>
        <w:spacing w:after="140" w:before="280"/>
      </w:pPr>
      <w:r>
        <w:t xml:space="preserve">4.2 Step 2 — Create the Databricks Linked Service</w:t>
      </w:r>
    </w:p>
    <w:p>
      <w:pPr>
        <w:spacing w:after="160" w:line="320"/>
        <w:jc w:val="both"/>
      </w:pPr>
      <w:r>
        <w:t xml:space="preserve">In ADF, create an </w:t>
      </w:r>
      <w:r>
        <w:rPr>
          <w:b/>
          <w:bCs/>
        </w:rPr>
        <w:t xml:space="preserve">Azure Databricks linked service</w:t>
      </w:r>
      <w:r>
        <w:t xml:space="preserve"> pointing to the target workspace. Authenticate via either an Access Token stored in Azure Key Vault (never hardcoded in pipeline JSON) or, preferably, the ADF Managed Identity. Select the job-cluster or existing-cluster option appropriate for the environment.</w:t>
      </w:r>
    </w:p>
    <w:p>
      <w:pPr>
        <w:pStyle w:val="Heading2"/>
        <w:spacing w:after="140" w:before="280"/>
      </w:pPr>
      <w:r>
        <w:t xml:space="preserve">4.3 Step 3 — Build the Notebook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Value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Activity type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Notebook</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Notebook path</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/Shared/incremental_autoloader</w:t>
            </w:r>
            <w:r>
              <w:t xml:space="preserve"> (or your workspace path)</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Base parameters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environment</w:t>
            </w:r>
            <w:r>
              <w:t xml:space="preserve"> = </w:t>
            </w:r>
            <w:r>
              <w:rPr>
                <w:rFonts w:ascii="Consolas" w:cs="Consolas" w:eastAsia="Consolas" w:hAnsi="Consolas"/>
                <w:sz w:val="20"/>
                <w:szCs w:val="20"/>
              </w:rPr>
              <w:t xml:space="preserve">@pipeline().parameters.env</w:t>
            </w:r>
            <w:r>
              <w:t xml:space="preserve">  
</w:t>
            </w:r>
            <w:r>
              <w:rPr>
                <w:rFonts w:ascii="Consolas" w:cs="Consolas" w:eastAsia="Consolas" w:hAnsi="Consolas"/>
                <w:sz w:val="20"/>
                <w:szCs w:val="20"/>
              </w:rPr>
              <w:t xml:space="preserve">base_path</w:t>
            </w:r>
            <w:r>
              <w:t xml:space="preserve"> = </w:t>
            </w:r>
            <w:r>
              <w:rPr>
                <w:rFonts w:ascii="Consolas" w:cs="Consolas" w:eastAsia="Consolas" w:hAnsi="Consolas"/>
                <w:sz w:val="20"/>
                <w:szCs w:val="20"/>
              </w:rPr>
              <w:t xml:space="preserve">@pipeline().parameters.storage_base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Cluster type</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New job cluster (production) or existing interactive cluster (dev)</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Append libraries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None required; all dependencies are built into the DBR runtime</w:t>
            </w:r>
          </w:p>
        </w:tc>
      </w:tr>
    </w:tbl>
    <w:p>
      <w:pPr>
        <w:pStyle w:val="Heading2"/>
        <w:spacing w:after="140" w:before="280"/>
      </w:pPr>
      <w:r>
        <w:t xml:space="preserve">4.4 Step 4 — Configure Retry and Timeout Policy</w:t>
      </w:r>
    </w:p>
    <w:p>
      <w:pPr>
        <w:pStyle w:val="ListParagraph"/>
        <w:numPr>
          <w:ilvl w:val="0"/>
          <w:numId w:val="2"/>
        </w:numPr>
        <w:spacing w:after="80" w:line="300"/>
      </w:pPr>
      <w:r>
        <w:rPr>
          <w:b/>
          <w:bCs/>
        </w:rPr>
        <w:t xml:space="preserve">Retry count:</w:t>
      </w:r>
      <w:r>
        <w:t xml:space="preserve"> 2–3 retries with a 60-second interval. Auto Loader's file-state store and Structured Streaming checkpoints make retries fully safe.</w:t>
      </w:r>
    </w:p>
    <w:p>
      <w:pPr>
        <w:pStyle w:val="ListParagraph"/>
        <w:numPr>
          <w:ilvl w:val="0"/>
          <w:numId w:val="2"/>
        </w:numPr>
        <w:spacing w:after="80" w:line="300"/>
      </w:pPr>
      <w:r>
        <w:rPr>
          <w:b/>
          <w:bCs/>
        </w:rPr>
        <w:t xml:space="preserve">Timeout:</w:t>
      </w:r>
      <w:r>
        <w:t xml:space="preserve"> Size generously (for example, 2 hours) to accommodate backlog catch-up scenarios following outages or schema-evolution events.</w:t>
      </w:r>
    </w:p>
    <w:p>
      <w:pPr>
        <w:pStyle w:val="Heading2"/>
        <w:spacing w:after="140" w:before="280"/>
      </w:pPr>
      <w:r>
        <w:t xml:space="preserve">4.5 Step 5 — Schedule the Trigger</w:t>
      </w:r>
    </w:p>
    <w:p>
      <w:pPr>
        <w:spacing w:after="160" w:line="320"/>
        <w:jc w:val="both"/>
      </w:pPr>
      <w:r>
        <w:t xml:space="preserve">Pick the trigger that matches the business SLO:</w:t>
      </w:r>
    </w:p>
    <w:p>
      <w:pPr>
        <w:pStyle w:val="ListParagraph"/>
        <w:numPr>
          <w:ilvl w:val="0"/>
          <w:numId w:val="2"/>
        </w:numPr>
        <w:spacing w:after="80" w:line="300"/>
      </w:pPr>
      <w:r>
        <w:rPr>
          <w:b/>
          <w:bCs/>
        </w:rPr>
        <w:t xml:space="preserve">Schedule trigger</w:t>
      </w:r>
      <w:r>
        <w:t xml:space="preserve"> — fixed cron cadence (e.g., every 30 minutes).</w:t>
      </w:r>
    </w:p>
    <w:p>
      <w:pPr>
        <w:pStyle w:val="ListParagraph"/>
        <w:numPr>
          <w:ilvl w:val="0"/>
          <w:numId w:val="2"/>
        </w:numPr>
        <w:spacing w:after="80" w:line="300"/>
      </w:pPr>
      <w:r>
        <w:rPr>
          <w:b/>
          <w:bCs/>
        </w:rPr>
        <w:t xml:space="preserve">Tumbling window trigger</w:t>
      </w:r>
      <w:r>
        <w:t xml:space="preserve"> — strictly-ordered, non-overlapping runs; ideal for backfills.</w:t>
      </w:r>
    </w:p>
    <w:p>
      <w:pPr>
        <w:pStyle w:val="ListParagraph"/>
        <w:numPr>
          <w:ilvl w:val="0"/>
          <w:numId w:val="2"/>
        </w:numPr>
        <w:spacing w:after="80" w:line="300"/>
      </w:pPr>
      <w:r>
        <w:rPr>
          <w:b/>
          <w:bCs/>
        </w:rPr>
        <w:t xml:space="preserve">Storage event trigger</w:t>
      </w:r>
      <w:r>
        <w:t xml:space="preserve"> — fires on blob-created events in </w:t>
      </w:r>
      <w:r>
        <w:rPr>
          <w:rFonts w:ascii="Consolas" w:cs="Consolas" w:eastAsia="Consolas" w:hAnsi="Consolas"/>
          <w:sz w:val="20"/>
          <w:szCs w:val="20"/>
        </w:rPr>
        <w:t xml:space="preserve">/raw_landing/</w:t>
      </w:r>
      <w:r>
        <w:t xml:space="preserve">, delivering maximum freshness with minimal idle compute.</w:t>
      </w:r>
    </w:p>
    <w:p>
      <w:pPr>
        <w:pStyle w:val="Heading2"/>
        <w:spacing w:after="140" w:before="280"/>
      </w:pPr>
      <w:r>
        <w:t xml:space="preserve">4.6 Step 6 — Failure and Monitoring Hooks</w:t>
      </w:r>
    </w:p>
    <w:p>
      <w:pPr>
        <w:spacing w:after="160" w:line="320"/>
        <w:jc w:val="both"/>
      </w:pPr>
      <w:r>
        <w:t xml:space="preserve">Attach a failure-branch activity to the notebook activity. Typical options include a Web activity that posts to a Microsoft Teams incoming webhook or a PagerDuty events endpoint, and a Stored Procedure or Copy activity that writes the failure record to an ADF operations audit table for long-term trend analysis.</w:t>
      </w:r>
    </w:p>
    <w:p>
      <w:pPr>
        <w:pStyle w:val="Heading1"/>
        <w:spacing w:after="180" w:before="360"/>
      </w:pPr>
      <w:r>
        <w:t xml:space="preserve">5. Maintenance and Monitoring</w:t>
      </w:r>
    </w:p>
    <w:p>
      <w:pPr>
        <w:pStyle w:val="Heading2"/>
        <w:spacing w:after="140" w:before="280"/>
      </w:pPr>
      <w:r>
        <w:t xml:space="preserve">5.1 Routine Delta Table Maintenance</w:t>
      </w:r>
    </w:p>
    <w:p>
      <w:pPr>
        <w:spacing w:after="160" w:line="320"/>
        <w:jc w:val="both"/>
      </w:pPr>
      <w:r>
        <w:t xml:space="preserve">Schedule the following commands as a separate nightly ADF pipeline or Databricks Workflow. Running them on a dedicated, smaller cluster avoids contention with the live ingestion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 Compact small files for faster reads</w:t>
            </w:r>
          </w:p>
          <w:p>
            <w:pPr>
              <w:spacing w:after="0" w:line="260"/>
            </w:pPr>
            <w:r>
              <w:rPr>
                <w:rFonts w:ascii="Consolas" w:cs="Consolas" w:eastAsia="Consolas" w:hAnsi="Consolas"/>
                <w:sz w:val="18"/>
                <w:szCs w:val="18"/>
              </w:rPr>
              <w:t xml:space="preserve">OPTIMIZE legacy_hms_db.bronze_transactions;</w:t>
            </w:r>
          </w:p>
          <w:p>
            <w:pPr>
              <w:spacing w:after="0" w:line="260"/>
            </w:pPr>
            <w:r>
              <w:rPr>
                <w:rFonts w:ascii="Consolas" w:cs="Consolas" w:eastAsia="Consolas" w:hAnsi="Consolas"/>
                <w:sz w:val="18"/>
                <w:szCs w:val="18"/>
              </w:rPr>
              <w:t xml:space="preserve">OPTIMIZE legacy_hms_db.silver_transactions ZORDER BY (transaction_id);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Remove stale files beyond default 7-day retention</w:t>
            </w:r>
          </w:p>
          <w:p>
            <w:pPr>
              <w:spacing w:after="0" w:line="260"/>
            </w:pPr>
            <w:r>
              <w:rPr>
                <w:rFonts w:ascii="Consolas" w:cs="Consolas" w:eastAsia="Consolas" w:hAnsi="Consolas"/>
                <w:sz w:val="18"/>
                <w:szCs w:val="18"/>
              </w:rPr>
              <w:t xml:space="preserve">VACUUM legacy_hms_db.bronze_transactions RETAIN 168 HOURS;</w:t>
            </w:r>
          </w:p>
          <w:p>
            <w:pPr>
              <w:spacing w:after="0" w:line="260"/>
            </w:pPr>
            <w:r>
              <w:rPr>
                <w:rFonts w:ascii="Consolas" w:cs="Consolas" w:eastAsia="Consolas" w:hAnsi="Consolas"/>
                <w:sz w:val="18"/>
                <w:szCs w:val="18"/>
              </w:rPr>
              <w:t xml:space="preserve">VACUUM legacy_hms_db.silver_transactions RETAIN 168 HOURS;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Refresh table statistics for the cost-based optimizer</w:t>
            </w:r>
          </w:p>
          <w:p>
            <w:pPr>
              <w:spacing w:after="0" w:line="260"/>
            </w:pPr>
            <w:r>
              <w:rPr>
                <w:rFonts w:ascii="Consolas" w:cs="Consolas" w:eastAsia="Consolas" w:hAnsi="Consolas"/>
                <w:sz w:val="18"/>
                <w:szCs w:val="18"/>
              </w:rPr>
              <w:t xml:space="preserve">ANALYZE TABLE legacy_hms_db.silver_transactions</w:t>
            </w:r>
          </w:p>
          <w:p>
            <w:pPr>
              <w:spacing w:after="0" w:line="260"/>
            </w:pPr>
            <w:r>
              <w:rPr>
                <w:rFonts w:ascii="Consolas" w:cs="Consolas" w:eastAsia="Consolas" w:hAnsi="Consolas"/>
                <w:sz w:val="18"/>
                <w:szCs w:val="18"/>
              </w:rPr>
              <w:t xml:space="preserve">  COMPUTE STATISTICS FOR ALL COLUMNS;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2FB" w:val="clear"/>
            <w:tcMar>
              <w:top w:type="dxa" w:w="160"/>
              <w:left w:type="dxa" w:w="220"/>
              <w:bottom w:type="dxa" w:w="160"/>
              <w:right w:type="dxa" w:w="180"/>
            </w:tcMar>
          </w:tcPr>
          <w:p>
            <w:pPr>
              <w:spacing w:after="80"/>
            </w:pPr>
            <w:r>
              <w:rPr>
                <w:b/>
                <w:bCs/>
                <w:color w:val="1F4E79"/>
              </w:rPr>
              <w:t xml:space="preserve">CAUTION</w:t>
            </w:r>
          </w:p>
          <w:p>
            <w:pPr>
              <w:spacing w:after="0" w:line="300"/>
            </w:pPr>
            <w:r>
              <w:t xml:space="preserve">Do not set VACUUM retention below 168 hours without first setting </w:t>
            </w:r>
            <w:r>
              <w:rPr>
                <w:rFonts w:ascii="Consolas" w:cs="Consolas" w:eastAsia="Consolas" w:hAnsi="Consolas"/>
                <w:sz w:val="20"/>
                <w:szCs w:val="20"/>
              </w:rPr>
              <w:t xml:space="preserve">spark.databricks.delta.retentionDurationCheck.enabled=false</w:t>
            </w:r>
            <w:r>
              <w:t xml:space="preserve">. A shorter retention can delete files that active streaming queries are still reading, causing silent data corruption on downstream consumers.</w:t>
            </w:r>
          </w:p>
        </w:tc>
      </w:tr>
    </w:tbl>
    <w:p>
      <w:pPr>
        <w:pStyle w:val="Heading2"/>
        <w:spacing w:after="140" w:before="280"/>
      </w:pPr>
      <w:r>
        <w:t xml:space="preserve">5.2 Checkpoint Management</w:t>
      </w:r>
    </w:p>
    <w:p>
      <w:pPr>
        <w:pStyle w:val="ListParagraph"/>
        <w:numPr>
          <w:ilvl w:val="0"/>
          <w:numId w:val="2"/>
        </w:numPr>
        <w:spacing w:after="80" w:line="300"/>
      </w:pPr>
      <w:r>
        <w:rPr>
          <w:b/>
          <w:bCs/>
        </w:rPr>
        <w:t xml:space="preserve">Never delete a checkpoint for a running pipeline.</w:t>
      </w:r>
      <w:r>
        <w:t xml:space="preserve"> Doing so forces Auto Loader to reprocess every file in </w:t>
      </w:r>
      <w:r>
        <w:rPr>
          <w:rFonts w:ascii="Consolas" w:cs="Consolas" w:eastAsia="Consolas" w:hAnsi="Consolas"/>
          <w:sz w:val="20"/>
          <w:szCs w:val="20"/>
        </w:rPr>
        <w:t xml:space="preserve">/raw_landing/</w:t>
      </w:r>
      <w:r>
        <w:t xml:space="preserve"> from scratch, creating duplicates in downstream layers.</w:t>
      </w:r>
    </w:p>
    <w:p>
      <w:pPr>
        <w:pStyle w:val="ListParagraph"/>
        <w:numPr>
          <w:ilvl w:val="0"/>
          <w:numId w:val="2"/>
        </w:numPr>
        <w:spacing w:after="80" w:line="300"/>
      </w:pPr>
      <w:r>
        <w:rPr>
          <w:b/>
          <w:bCs/>
        </w:rPr>
        <w:t xml:space="preserve">One checkpoint per logical stream.</w:t>
      </w:r>
      <w:r>
        <w:t xml:space="preserve"> This notebook correctly uses three: </w:t>
      </w:r>
      <w:r>
        <w:rPr>
          <w:rFonts w:ascii="Consolas" w:cs="Consolas" w:eastAsia="Consolas" w:hAnsi="Consolas"/>
          <w:sz w:val="20"/>
          <w:szCs w:val="20"/>
        </w:rPr>
        <w:t xml:space="preserve">bronze_chkpt</w:t>
      </w:r>
      <w:r>
        <w:t xml:space="preserve">, </w:t>
      </w:r>
      <w:r>
        <w:rPr>
          <w:rFonts w:ascii="Consolas" w:cs="Consolas" w:eastAsia="Consolas" w:hAnsi="Consolas"/>
          <w:sz w:val="20"/>
          <w:szCs w:val="20"/>
        </w:rPr>
        <w:t xml:space="preserve">silver_chkpt</w:t>
      </w:r>
      <w:r>
        <w:t xml:space="preserve">, and </w:t>
      </w:r>
      <w:r>
        <w:rPr>
          <w:rFonts w:ascii="Consolas" w:cs="Consolas" w:eastAsia="Consolas" w:hAnsi="Consolas"/>
          <w:sz w:val="20"/>
          <w:szCs w:val="20"/>
        </w:rPr>
        <w:t xml:space="preserve">gold_chkpt</w:t>
      </w:r>
      <w:r>
        <w:t xml:space="preserve">.</w:t>
      </w:r>
    </w:p>
    <w:p>
      <w:pPr>
        <w:pStyle w:val="ListParagraph"/>
        <w:numPr>
          <w:ilvl w:val="0"/>
          <w:numId w:val="2"/>
        </w:numPr>
        <w:spacing w:after="80" w:line="300"/>
      </w:pPr>
      <w:r>
        <w:rPr>
          <w:b/>
          <w:bCs/>
        </w:rPr>
        <w:t xml:space="preserve">Bootstrapping a new environment.</w:t>
      </w:r>
      <w:r>
        <w:t xml:space="preserve"> Copy checkpoints from a reference environment to skip reprocessing, or start fresh understanding that all historical files will be (re)ingested.</w:t>
      </w:r>
    </w:p>
    <w:p>
      <w:pPr>
        <w:pStyle w:val="ListParagraph"/>
        <w:numPr>
          <w:ilvl w:val="0"/>
          <w:numId w:val="2"/>
        </w:numPr>
        <w:spacing w:after="80" w:line="300"/>
      </w:pPr>
      <w:r>
        <w:rPr>
          <w:b/>
          <w:bCs/>
        </w:rPr>
        <w:t xml:space="preserve">Schema location is separate.</w:t>
      </w:r>
      <w:r>
        <w:t xml:space="preserve"> The </w:t>
      </w:r>
      <w:r>
        <w:rPr>
          <w:rFonts w:ascii="Consolas" w:cs="Consolas" w:eastAsia="Consolas" w:hAnsi="Consolas"/>
          <w:sz w:val="20"/>
          <w:szCs w:val="20"/>
        </w:rPr>
        <w:t xml:space="preserve">bronze_schema</w:t>
      </w:r>
      <w:r>
        <w:t xml:space="preserve"> directory under the schema location tracks evolved schema history and must likewise be preserved across runs.</w:t>
      </w:r>
    </w:p>
    <w:p>
      <w:pPr>
        <w:pStyle w:val="Heading2"/>
        <w:spacing w:after="140" w:before="280"/>
      </w:pPr>
      <w:r>
        <w:t xml:space="preserve">5.3 Key 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Metric</w:t>
            </w:r>
          </w:p>
        </w:tc>
        <w:tc>
          <w:tcPr>
            <w:tcW w:type="dxa" w:w="3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Where to Find It</w:t>
            </w:r>
          </w:p>
        </w:tc>
        <w:tc>
          <w:tcPr>
            <w:tcW w:type="dxa" w:w="4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Why It Matters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Input files per batch</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Streaming UI → Input Rate</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Detects backpressure from upstream systems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Batch duration</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Streaming UI → Batch Duration</w:t>
            </w:r>
          </w:p>
        </w:tc>
        <w:tc>
          <w:tcPr>
            <w:tcW w:type="dxa" w:w="4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Catches performance degradation before SLAs miss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Num output rows</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Delta History (</w:t>
            </w:r>
            <w:r>
              <w:rPr>
                <w:rFonts w:ascii="Consolas" w:cs="Consolas" w:eastAsia="Consolas" w:hAnsi="Consolas"/>
                <w:sz w:val="20"/>
                <w:szCs w:val="20"/>
              </w:rPr>
              <w:t xml:space="preserve">DESCRIBE HISTORY</w:t>
            </w:r>
            <w:r>
              <w:t xml:space="preserve">)</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Verifies MERGE actually affected rows</w:t>
            </w:r>
          </w:p>
        </w:tc>
      </w:tr>
      <w:tr>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Schema drift events</w:t>
            </w:r>
          </w:p>
        </w:tc>
        <w:tc>
          <w:tcPr>
            <w:tcW w:type="dxa" w:w="3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_schemas/</w:t>
            </w:r>
            <w:r>
              <w:t xml:space="preserve"> under schema location</w:t>
            </w:r>
          </w:p>
        </w:tc>
        <w:tc>
          <w:tcPr>
            <w:tcW w:type="dxa" w:w="4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Audit trail of every evolution event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Rescued records</w:t>
            </w:r>
          </w:p>
        </w:tc>
        <w:tc>
          <w:tcPr>
            <w:tcW w:type="dxa" w:w="3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_rescued_data</w:t>
            </w:r>
            <w:r>
              <w:t xml:space="preserve"> column (if enabled)</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Captures malformed records instead of silently dropping</w:t>
            </w:r>
          </w:p>
        </w:tc>
      </w:tr>
    </w:tbl>
    <w:p>
      <w:pPr>
        <w:spacing w:after="120"/>
      </w:pPr>
      <w:r>
        <w:t xml:space="preserve"/>
      </w:r>
    </w:p>
    <w:p>
      <w:pPr>
        <w:spacing w:after="160" w:line="320"/>
        <w:jc w:val="both"/>
      </w:pPr>
      <w:r>
        <w:t xml:space="preserve">Enabling </w:t>
      </w:r>
      <w:r>
        <w:rPr>
          <w:rFonts w:ascii="Consolas" w:cs="Consolas" w:eastAsia="Consolas" w:hAnsi="Consolas"/>
          <w:sz w:val="20"/>
          <w:szCs w:val="20"/>
        </w:rPr>
        <w:t xml:space="preserve">cloudFiles.rescuedDataColumn</w:t>
      </w:r>
      <w:r>
        <w:t xml:space="preserve"> is strongly recommended in production — it captures records that fail type inference into a JSON column rather than letting them fail silently, giving the data engineering team a clear audit trail for quality triage.</w:t>
      </w:r>
    </w:p>
    <w:p>
      <w:pPr>
        <w:pStyle w:val="Heading2"/>
        <w:spacing w:after="140" w:before="280"/>
      </w:pPr>
      <w:r>
        <w:t xml:space="preserve">5.4 Failure Recovery Playbook</w:t>
      </w:r>
    </w:p>
    <w:p>
      <w:pPr>
        <w:pStyle w:val="ListParagraph"/>
        <w:numPr>
          <w:ilvl w:val="0"/>
          <w:numId w:val="3"/>
        </w:numPr>
        <w:spacing w:after="80" w:line="300"/>
      </w:pPr>
      <w:r>
        <w:rPr>
          <w:b/>
          <w:bCs/>
        </w:rPr>
        <w:t xml:space="preserve">Transient ADF activity failure</w:t>
      </w:r>
      <w:r>
        <w:t xml:space="preserve"> → let the retry policy handle it automatically; checkpoints guarantee safe resumption.</w:t>
      </w:r>
    </w:p>
    <w:p>
      <w:pPr>
        <w:pStyle w:val="ListParagraph"/>
        <w:numPr>
          <w:ilvl w:val="0"/>
          <w:numId w:val="3"/>
        </w:numPr>
        <w:spacing w:after="80" w:line="300"/>
      </w:pPr>
      <w:r>
        <w:rPr>
          <w:b/>
          <w:bCs/>
        </w:rPr>
        <w:t xml:space="preserve">Schema mismatch</w:t>
      </w:r>
      <w:r>
        <w:t xml:space="preserve"> → inspect new columns in </w:t>
      </w:r>
      <w:r>
        <w:rPr>
          <w:rFonts w:ascii="Consolas" w:cs="Consolas" w:eastAsia="Consolas" w:hAnsi="Consolas"/>
          <w:sz w:val="20"/>
          <w:szCs w:val="20"/>
        </w:rPr>
        <w:t xml:space="preserve">_schemas/</w:t>
      </w:r>
      <w:r>
        <w:t xml:space="preserve">. If the change is intentional, the next run will succeed automatically. If a column was renamed incorrectly upstream, coordinate with the source team before resuming to prevent propagating corrupted data.</w:t>
      </w:r>
    </w:p>
    <w:p>
      <w:pPr>
        <w:pStyle w:val="ListParagraph"/>
        <w:numPr>
          <w:ilvl w:val="0"/>
          <w:numId w:val="3"/>
        </w:numPr>
        <w:spacing w:after="80" w:line="300"/>
      </w:pPr>
      <w:r>
        <w:rPr>
          <w:b/>
          <w:bCs/>
        </w:rPr>
        <w:t xml:space="preserve">MERGE conflict or constraint violation</w:t>
      </w:r>
      <w:r>
        <w:t xml:space="preserve"> → run </w:t>
      </w:r>
      <w:r>
        <w:rPr>
          <w:rFonts w:ascii="Consolas" w:cs="Consolas" w:eastAsia="Consolas" w:hAnsi="Consolas"/>
          <w:sz w:val="20"/>
          <w:szCs w:val="20"/>
        </w:rPr>
        <w:t xml:space="preserve">DESCRIBE HISTORY legacy_hms_db.silver_transactions</w:t>
      </w:r>
      <w:r>
        <w:t xml:space="preserve"> to locate the problematic batch. Optionally </w:t>
      </w:r>
      <w:r>
        <w:rPr>
          <w:rFonts w:ascii="Consolas" w:cs="Consolas" w:eastAsia="Consolas" w:hAnsi="Consolas"/>
          <w:sz w:val="20"/>
          <w:szCs w:val="20"/>
        </w:rPr>
        <w:t xml:space="preserve">RESTORE TABLE ... TO VERSION AS OF N</w:t>
      </w:r>
      <w:r>
        <w:t xml:space="preserve"> to roll back to a known-good snapshot before reprocessing.</w:t>
      </w:r>
    </w:p>
    <w:p>
      <w:pPr>
        <w:pStyle w:val="ListParagraph"/>
        <w:numPr>
          <w:ilvl w:val="0"/>
          <w:numId w:val="3"/>
        </w:numPr>
        <w:spacing w:after="80" w:line="300"/>
      </w:pPr>
      <w:r>
        <w:rPr>
          <w:b/>
          <w:bCs/>
        </w:rPr>
        <w:t xml:space="preserve">Cluster terminates mid-batch</w:t>
      </w:r>
      <w:r>
        <w:t xml:space="preserve"> → Structured Streaming checkpoints ensure the next run resumes from the last committed offset. No data loss, no duplicates.</w:t>
      </w:r>
    </w:p>
    <w:p>
      <w:pPr>
        <w:pStyle w:val="ListParagraph"/>
        <w:numPr>
          <w:ilvl w:val="0"/>
          <w:numId w:val="3"/>
        </w:numPr>
        <w:spacing w:after="80" w:line="300"/>
      </w:pPr>
      <w:r>
        <w:rPr>
          <w:b/>
          <w:bCs/>
        </w:rPr>
        <w:t xml:space="preserve">Poison file permanently blocks ingestion</w:t>
      </w:r>
      <w:r>
        <w:t xml:space="preserve"> → move the offending file out of </w:t>
      </w:r>
      <w:r>
        <w:rPr>
          <w:rFonts w:ascii="Consolas" w:cs="Consolas" w:eastAsia="Consolas" w:hAnsi="Consolas"/>
          <w:sz w:val="20"/>
          <w:szCs w:val="20"/>
        </w:rPr>
        <w:t xml:space="preserve">/raw_landing/</w:t>
      </w:r>
      <w:r>
        <w:t xml:space="preserve"> to a quarantine directory, or enable the rescued-data column pattern so the file can pass through without blocking the stream.</w:t>
      </w:r>
    </w:p>
    <w:p>
      <w:pPr>
        <w:pStyle w:val="Heading2"/>
        <w:spacing w:after="140" w:before="280"/>
      </w:pPr>
      <w:r>
        <w:t xml:space="preserve">5.5 Cost Optimization Tips</w:t>
      </w:r>
    </w:p>
    <w:p>
      <w:pPr>
        <w:pStyle w:val="ListParagraph"/>
        <w:numPr>
          <w:ilvl w:val="0"/>
          <w:numId w:val="2"/>
        </w:numPr>
        <w:spacing w:after="80" w:line="300"/>
      </w:pPr>
      <w:r>
        <w:t xml:space="preserve">Keep </w:t>
      </w:r>
      <w:r>
        <w:rPr>
          <w:rFonts w:ascii="Consolas" w:cs="Consolas" w:eastAsia="Consolas" w:hAnsi="Consolas"/>
          <w:sz w:val="20"/>
          <w:szCs w:val="20"/>
        </w:rPr>
        <w:t xml:space="preserve">availableNow=True</w:t>
      </w:r>
      <w:r>
        <w:t xml:space="preserve"> rather than continuous streaming — this is the single largest cost saver for infrequent file arrival patterns.</w:t>
      </w:r>
    </w:p>
    <w:p>
      <w:pPr>
        <w:pStyle w:val="ListParagraph"/>
        <w:numPr>
          <w:ilvl w:val="0"/>
          <w:numId w:val="2"/>
        </w:numPr>
        <w:spacing w:after="80" w:line="300"/>
      </w:pPr>
      <w:r>
        <w:t xml:space="preserve">Size the job cluster to the expected backlog, not the historical peak; under-provisioning is materially cheaper when latency SLOs are relaxed.</w:t>
      </w:r>
    </w:p>
    <w:p>
      <w:pPr>
        <w:pStyle w:val="ListParagraph"/>
        <w:numPr>
          <w:ilvl w:val="0"/>
          <w:numId w:val="2"/>
        </w:numPr>
        <w:spacing w:after="80" w:line="300"/>
      </w:pPr>
      <w:r>
        <w:t xml:space="preserve">Run </w:t>
      </w:r>
      <w:r>
        <w:rPr>
          <w:rFonts w:ascii="Consolas" w:cs="Consolas" w:eastAsia="Consolas" w:hAnsi="Consolas"/>
          <w:sz w:val="20"/>
          <w:szCs w:val="20"/>
        </w:rPr>
        <w:t xml:space="preserve">OPTIMIZE</w:t>
      </w:r>
      <w:r>
        <w:t xml:space="preserve"> on a dedicated smaller cluster to avoid contending with the ingestion cluster and to isolate compaction cost.</w:t>
      </w:r>
    </w:p>
    <w:p>
      <w:pPr>
        <w:pStyle w:val="ListParagraph"/>
        <w:numPr>
          <w:ilvl w:val="0"/>
          <w:numId w:val="2"/>
        </w:numPr>
        <w:spacing w:after="80" w:line="300"/>
      </w:pPr>
      <w:r>
        <w:t xml:space="preserve">For very high file rates (above ~1 million files per hour), enable </w:t>
      </w:r>
      <w:r>
        <w:rPr>
          <w:b/>
          <w:bCs/>
        </w:rPr>
        <w:t xml:space="preserve">file notification mode</w:t>
      </w:r>
      <w:r>
        <w:t xml:space="preserve"> (</w:t>
      </w:r>
      <w:r>
        <w:rPr>
          <w:rFonts w:ascii="Consolas" w:cs="Consolas" w:eastAsia="Consolas" w:hAnsi="Consolas"/>
          <w:sz w:val="20"/>
          <w:szCs w:val="20"/>
        </w:rPr>
        <w:t xml:space="preserve">cloudFiles.useNotifications=true</w:t>
      </w:r>
      <w:r>
        <w:t xml:space="preserve">) to skip directory listing entirely — at the cost of Event Grid and Storage Queue setup.</w:t>
      </w:r>
    </w:p>
    <w:p>
      <w:pPr>
        <w:pStyle w:val="ListParagraph"/>
        <w:numPr>
          <w:ilvl w:val="0"/>
          <w:numId w:val="2"/>
        </w:numPr>
        <w:spacing w:after="80" w:line="300"/>
      </w:pPr>
      <w:r>
        <w:t xml:space="preserve">Tag the cluster with a cost-center and pipeline identifier so Databricks usage can be attributed back to the ingestion workload in billing reports.</w:t>
      </w:r>
    </w:p>
    <w:p>
      <w:pPr>
        <w:pStyle w:val="Heading1"/>
        <w:spacing w:after="180" w:before="360"/>
      </w:pPr>
      <w:r>
        <w:t xml:space="preserve">6. Appendix — Reference Paths and Table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Artifact</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rPr>
              <w:t xml:space="preserve">Path / Identifier</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Base path (parameterized)</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abfss://delta-forge@deltaforge.dfs.core.windows.net/</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Raw landing zone</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{base_path}/raw_landing/</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Bronze table location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{base_path}/bronze/transactions</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Silver table location</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{base_path}/silver/transactions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Checkpoint base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{base_path}/checkpoints/</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Bronze table</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legacy_hms_db.bronze_transactions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Silver table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legacy_hms_db.silver_transactions</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Gold table</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legacy_hms_db.gold_kpi_metrics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Bronze schema location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{checkpoint_base}/bronze_schema</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Bronze checkpoint</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{checkpoint_base}/bronze_chkpt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t xml:space="preserve">Silver checkpoint</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{checkpoint_base}/silver_chkpt</w:t>
            </w:r>
          </w:p>
        </w:tc>
      </w:tr>
      <w:tr>
        <w:tc>
          <w:tcPr>
            <w:tcW w:type="dxa" w:w="3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t xml:space="preserve">Gold checkpoint</w:t>
            </w:r>
          </w:p>
        </w:tc>
        <w:tc>
          <w:tcPr>
            <w:tcW w:type="dxa" w:w="6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pPr>
              <w:spacing w:after="0" w:line="280"/>
            </w:pPr>
            <w:r>
              <w:rPr>
                <w:rFonts w:ascii="Consolas" w:cs="Consolas" w:eastAsia="Consolas" w:hAnsi="Consolas"/>
                <w:sz w:val="20"/>
                <w:szCs w:val="20"/>
              </w:rPr>
              <w:t xml:space="preserve">{checkpoint_base}/gold_chkpt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i/>
        <w:iCs/>
        <w:color w:val="595959"/>
        <w:sz w:val="18"/>
        <w:szCs w:val="18"/>
      </w:rPr>
      <w:t xml:space="preserve">Incremental Auto Loader Pipeline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Title">
    <w:name w:val="Title"/>
    <w:basedOn w:val="Normal"/>
    <w:next w:val="Normal"/>
    <w:qFormat/>
    <w:pPr>
      <w:spacing w:after="200" w:before="0"/>
    </w:pPr>
    <w:rPr>
      <w:rFonts w:ascii="Calibri" w:cs="Calibri" w:eastAsia="Calibri" w:hAnsi="Calibri"/>
      <w:b/>
      <w:bCs/>
      <w:color w:val="1F4E79"/>
      <w:sz w:val="56"/>
      <w:szCs w:val="56"/>
    </w:rPr>
  </w:style>
  <w:style w:type="paragraph" w:styleId="Subtitle">
    <w:name w:val="Subtitle"/>
    <w:basedOn w:val="Normal"/>
    <w:next w:val="Normal"/>
    <w:qFormat/>
    <w:pPr>
      <w:spacing w:after="200" w:before="0"/>
    </w:pPr>
    <w:rPr>
      <w:rFonts w:ascii="Calibri" w:cs="Calibri" w:eastAsia="Calibri" w:hAnsi="Calibri"/>
      <w:i/>
      <w:iCs/>
      <w:color w:val="59595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2026-04-21T10:31:06.583Z</dcterms:created>
  <dcterms:modified xsi:type="dcterms:W3CDTF">2026-04-21T10:31:06.583Z</dcterms:modified>
</cp:coreProperties>
</file>

<file path=docProps/custom.xml><?xml version="1.0" encoding="utf-8"?>
<Properties xmlns="http://schemas.openxmlformats.org/officeDocument/2006/custom-properties" xmlns:vt="http://schemas.openxmlformats.org/officeDocument/2006/docPropsVTypes"/>
</file>