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pPr>
      <w:r>
        <w:t xml:space="preserve">Incremental File Ingestion Pipeline</w:t>
      </w:r>
    </w:p>
    <w:p>
      <w:pPr>
        <w:pStyle w:val="Subtitle"/>
        <w:spacing w:after="400" w:before="0"/>
      </w:pPr>
      <w:r>
        <w:t xml:space="preserve">Use Cases &amp; Business Value</w:t>
      </w:r>
    </w:p>
    <w:p>
      <w:pPr>
        <w:pBdr>
          <w:bottom w:val="single" w:color="2E75B6" w:sz="12" w:space="1"/>
        </w:pBdr>
      </w:pPr>
      <w:r>
        <w:t xml:space="preserve"/>
      </w:r>
    </w:p>
    <w:p>
      <w:pPr>
        <w:tabs>
          <w:tab w:val="right" w:pos="9026"/>
        </w:tabs>
        <w:spacing w:after="0" w:before="300"/>
      </w:pPr>
      <w:r>
        <w:rPr>
          <w:b/>
          <w:bCs/>
        </w:rPr>
        <w:t xml:space="preserve">Document Version: </w:t>
      </w:r>
      <w:r>
        <w:t xml:space="preserve">1.0</w:t>
      </w:r>
      <w:r>
        <w:rPr>
          <w:b/>
          <w:bCs/>
        </w:rPr>
        <w:t xml:space="preserve">	Date: </w:t>
      </w:r>
      <w:r>
        <w:t xml:space="preserve">April 2026</w:t>
      </w:r>
    </w:p>
    <w:p>
      <w:pPr>
        <w:tabs>
          <w:tab w:val="right" w:pos="9026"/>
        </w:tabs>
        <w:spacing w:after="0" w:before="120"/>
      </w:pPr>
      <w:r>
        <w:rPr>
          <w:b/>
          <w:bCs/>
        </w:rPr>
        <w:t xml:space="preserve">Pipeline: </w:t>
      </w:r>
      <w:r>
        <w:t xml:space="preserve">Databricks Auto Loader + Delta Lake + ADF</w:t>
      </w:r>
      <w:r>
        <w:rPr>
          <w:b/>
          <w:bCs/>
        </w:rPr>
        <w:t xml:space="preserve">	Author: </w:t>
      </w:r>
      <w:r>
        <w:t xml:space="preserve">Data Engineering Team</w:t>
      </w:r>
    </w:p>
    <w:p>
      <w:r>
        <w:br w:type="page"/>
      </w:r>
    </w:p>
    <w:p>
      <w:pPr>
        <w:pStyle w:val="Heading1"/>
        <w:spacing w:after="180" w:before="360"/>
      </w:pPr>
      <w:r>
        <w:t xml:space="preserve">1. Executive Summary</w:t>
      </w:r>
    </w:p>
    <w:p>
      <w:pPr>
        <w:spacing w:after="160" w:line="320"/>
        <w:jc w:val="both"/>
      </w:pPr>
      <w:r>
        <w:t xml:space="preserve">The Incremental File Ingestion Pipeline is a production-grade, cloud-native data ingestion solution built on Azure Databricks, Delta Lake, and Azure Data Factory (ADF). It automates the continuous movement of raw files arriving in Azure Data Lake Storage Gen2 (ADLS) through a structured Medallion Architecture (Bronze → Silver → Gold), while enforcing quality, deduplication, and governance at every stage.</w:t>
      </w:r>
    </w:p>
    <w:p>
      <w:pPr>
        <w:spacing w:after="160" w:line="320"/>
        <w:jc w:val="both"/>
      </w:pPr>
      <w:r>
        <w:t xml:space="preserve">At its core, the pipeline leverages Databricks Auto Loader (the </w:t>
      </w:r>
      <w:r>
        <w:rPr>
          <w:rFonts w:ascii="Consolas" w:cs="Consolas" w:eastAsia="Consolas" w:hAnsi="Consolas"/>
          <w:sz w:val="20"/>
          <w:szCs w:val="20"/>
        </w:rPr>
        <w:t xml:space="preserve">cloudFiles</w:t>
      </w:r>
      <w:r>
        <w:t xml:space="preserve"> source) combined with Structured Streaming using the </w:t>
      </w:r>
      <w:r>
        <w:rPr>
          <w:rFonts w:ascii="Consolas" w:cs="Consolas" w:eastAsia="Consolas" w:hAnsi="Consolas"/>
          <w:sz w:val="20"/>
          <w:szCs w:val="20"/>
        </w:rPr>
        <w:t xml:space="preserve">availableNow=True</w:t>
      </w:r>
      <w:r>
        <w:t xml:space="preserve"> trigger. This “incremental batch” pattern delivers the cost efficiency of traditional batch processing together with the robustness of streaming — files are processed exactly once, schema drift is handled gracefully, and the pipeline can be safely stopped, resumed, and orchestrated by ADF on any cadence (hourly, daily, or event-driven).</w:t>
      </w:r>
    </w:p>
    <w:p>
      <w:pPr>
        <w:spacing w:after="160" w:line="320"/>
        <w:jc w:val="both"/>
      </w:pPr>
      <w:r>
        <w:t xml:space="preserve">By routing data through a Legacy Hive Metastore, the solution preserves backward compatibility with existing downstream BI tooling, notebooks, and SQL warehouses that rely on table-based discovery. The result is a reusable, governed ingestion pattern that scales from a handful of files per day to millions per hour without architectural rewrites.</w:t>
      </w:r>
    </w:p>
    <w:p>
      <w:pPr>
        <w:pStyle w:val="Heading1"/>
        <w:spacing w:after="180" w:before="360"/>
      </w:pPr>
      <w:r>
        <w:t xml:space="preserve">2. Core Challenges Solved</w:t>
      </w:r>
    </w:p>
    <w:p>
      <w:pPr>
        <w:spacing w:after="160" w:line="320"/>
        <w:jc w:val="both"/>
      </w:pPr>
      <w:r>
        <w:t xml:space="preserve">Traditional file-based ingestion architectures — cron-triggered Python jobs, manual directory listings, hand-rolled watermark tables — break down at scale. This pipeline is purpose-built to resolve the four most common (and most expensive) failure modes encountered in enterprise data platforms.</w:t>
      </w:r>
    </w:p>
    <w:p>
      <w:pPr>
        <w:pStyle w:val="Heading2"/>
        <w:spacing w:after="140" w:before="280"/>
      </w:pPr>
      <w:r>
        <w:t xml:space="preserve">2.1 The Small-File Problem</w:t>
      </w:r>
    </w:p>
    <w:p>
      <w:pPr>
        <w:spacing w:after="160" w:line="320"/>
        <w:jc w:val="both"/>
      </w:pPr>
      <w:r>
        <w:t xml:space="preserve">Upstream systems frequently emit thousands of small files per hour: API export dumps, rotated application logs, per-device IoT payloads, and per-transaction micro-exports. A naive </w:t>
      </w:r>
      <w:r>
        <w:rPr>
          <w:rFonts w:ascii="Consolas" w:cs="Consolas" w:eastAsia="Consolas" w:hAnsi="Consolas"/>
          <w:sz w:val="20"/>
          <w:szCs w:val="20"/>
        </w:rPr>
        <w:t xml:space="preserve">spark.read.csv(path)</w:t>
      </w:r>
      <w:r>
        <w:t xml:space="preserve"> against such a landing zone will spawn one task per file, causing severe driver memory pressure, metadata overhead, and degraded query performance on the resulting Delta tables.</w:t>
      </w:r>
    </w:p>
    <w:p>
      <w:pPr>
        <w:spacing w:after="160" w:line="320"/>
        <w:jc w:val="both"/>
      </w:pPr>
      <w:r>
        <w:t xml:space="preserve">Auto Loader addresses this at ingestion time by efficiently discovering only newly arrived files through optimized directory listing (or event-notification mode at higher scale), batching them into well-sized micro-batches, and writing consolidated Parquet files into the Bronze Delta table. Downstream </w:t>
      </w:r>
      <w:r>
        <w:rPr>
          <w:rFonts w:ascii="Consolas" w:cs="Consolas" w:eastAsia="Consolas" w:hAnsi="Consolas"/>
          <w:sz w:val="20"/>
          <w:szCs w:val="20"/>
        </w:rPr>
        <w:t xml:space="preserve">OPTIMIZE</w:t>
      </w:r>
      <w:r>
        <w:t xml:space="preserve"> and </w:t>
      </w:r>
      <w:r>
        <w:rPr>
          <w:rFonts w:ascii="Consolas" w:cs="Consolas" w:eastAsia="Consolas" w:hAnsi="Consolas"/>
          <w:sz w:val="20"/>
          <w:szCs w:val="20"/>
        </w:rPr>
        <w:t xml:space="preserve">Z-ORDER</w:t>
      </w:r>
      <w:r>
        <w:t xml:space="preserve"> commands can then compact further for query performance without impacting the live ingestion stream.</w:t>
      </w:r>
    </w:p>
    <w:p>
      <w:pPr>
        <w:pStyle w:val="Heading2"/>
        <w:spacing w:after="140" w:before="280"/>
      </w:pPr>
      <w:r>
        <w:t xml:space="preserve">2.2 Schema Evolution</w:t>
      </w:r>
    </w:p>
    <w:p>
      <w:pPr>
        <w:spacing w:after="160" w:line="320"/>
        <w:jc w:val="both"/>
      </w:pPr>
      <w:r>
        <w:t xml:space="preserve">Source systems evolve constantly — new columns are added, CSV headers drift, upstream teams ship changes without warning. Without protection, any such change breaks the pipeline and triggers a production incident during business hours.</w:t>
      </w:r>
    </w:p>
    <w:p>
      <w:pPr>
        <w:spacing w:after="160" w:line="320"/>
        <w:jc w:val="both"/>
      </w:pPr>
      <w:r>
        <w:t xml:space="preserve">The pipeline configures Auto Loader with </w:t>
      </w:r>
      <w:r>
        <w:rPr>
          <w:rFonts w:ascii="Consolas" w:cs="Consolas" w:eastAsia="Consolas" w:hAnsi="Consolas"/>
          <w:sz w:val="20"/>
          <w:szCs w:val="20"/>
        </w:rPr>
        <w:t xml:space="preserve">cloudFiles.inferColumnTypes=true</w:t>
      </w:r>
      <w:r>
        <w:t xml:space="preserve"> and </w:t>
      </w:r>
      <w:r>
        <w:rPr>
          <w:rFonts w:ascii="Consolas" w:cs="Consolas" w:eastAsia="Consolas" w:hAnsi="Consolas"/>
          <w:sz w:val="20"/>
          <w:szCs w:val="20"/>
        </w:rPr>
        <w:t xml:space="preserve">cloudFiles.schemaEvolutionMode=addNewColumns</w:t>
      </w:r>
      <w:r>
        <w:t xml:space="preserve">. When a new column appears, the stream automatically updates its tracked schema (persisted under the </w:t>
      </w:r>
      <w:r>
        <w:rPr>
          <w:rFonts w:ascii="Consolas" w:cs="Consolas" w:eastAsia="Consolas" w:hAnsi="Consolas"/>
          <w:sz w:val="20"/>
          <w:szCs w:val="20"/>
        </w:rPr>
        <w:t xml:space="preserve">schemaLocation</w:t>
      </w:r>
      <w:r>
        <w:t xml:space="preserve"> checkpoint), restarts transparently with the new schema, and continues processing without data loss. The complementary setting </w:t>
      </w:r>
      <w:r>
        <w:rPr>
          <w:rFonts w:ascii="Consolas" w:cs="Consolas" w:eastAsia="Consolas" w:hAnsi="Consolas"/>
          <w:sz w:val="20"/>
          <w:szCs w:val="20"/>
        </w:rPr>
        <w:t xml:space="preserve">spark.databricks.delta.schema.autoMerge.enabled=true</w:t>
      </w:r>
      <w:r>
        <w:t xml:space="preserve"> mirrors this behavior at the Delta write layer, ensuring the target table absorbs the new column without manual DDL.</w:t>
      </w:r>
    </w:p>
    <w:p>
      <w:pPr>
        <w:pStyle w:val="Heading2"/>
        <w:spacing w:after="140" w:before="280"/>
      </w:pPr>
      <w:r>
        <w:t xml:space="preserve">2.3 Duplicate Files and Exactly-Once Processing</w:t>
      </w:r>
    </w:p>
    <w:p>
      <w:pPr>
        <w:spacing w:after="160" w:line="320"/>
        <w:jc w:val="both"/>
      </w:pPr>
      <w:r>
        <w:t xml:space="preserve">When ADF retries failed jobs or operators manually rerun a notebook, there is a real risk of re-ingesting files that were already processed — silently corrupting downstream metrics. Auto Loader solves this via its internal RocksDB-backed file-state store: every file it encounters is tracked by path, and it will never reprocess the same file twice across runs, even after cluster restarts. The Structured Streaming checkpoint (</w:t>
      </w:r>
      <w:r>
        <w:rPr>
          <w:rFonts w:ascii="Consolas" w:cs="Consolas" w:eastAsia="Consolas" w:hAnsi="Consolas"/>
          <w:sz w:val="20"/>
          <w:szCs w:val="20"/>
        </w:rPr>
        <w:t xml:space="preserve">checkpointLocation</w:t>
      </w:r>
      <w:r>
        <w:t xml:space="preserve">) provides an equivalent exactly-once guarantee for the Bronze→Silver and Silver→Gold stages.</w:t>
      </w:r>
    </w:p>
    <w:p>
      <w:pPr>
        <w:pStyle w:val="Heading2"/>
        <w:spacing w:after="140" w:before="280"/>
      </w:pPr>
      <w:r>
        <w:t xml:space="preserve">2.4 Late-Arriving and Corrected Data</w:t>
      </w:r>
    </w:p>
    <w:p>
      <w:pPr>
        <w:spacing w:after="160" w:line="320"/>
        <w:jc w:val="both"/>
      </w:pPr>
      <w:r>
        <w:t xml:space="preserve">In financial services, healthcare, and other regulated domains, historical records are routinely corrected days or even weeks after the fact. A simple append-only pipeline cannot handle these updates and will produce inconsistent downstream reports.</w:t>
      </w:r>
    </w:p>
    <w:p>
      <w:pPr>
        <w:spacing w:after="160" w:line="320"/>
        <w:jc w:val="both"/>
      </w:pPr>
      <w:r>
        <w:t xml:space="preserve">The Silver layer implements a </w:t>
      </w:r>
      <w:r>
        <w:rPr>
          <w:rFonts w:ascii="Consolas" w:cs="Consolas" w:eastAsia="Consolas" w:hAnsi="Consolas"/>
          <w:sz w:val="20"/>
          <w:szCs w:val="20"/>
        </w:rPr>
        <w:t xml:space="preserve">MERGE INTO</w:t>
      </w:r>
      <w:r>
        <w:t xml:space="preserve"> (upsert) pattern keyed on </w:t>
      </w:r>
      <w:r>
        <w:rPr>
          <w:rFonts w:ascii="Consolas" w:cs="Consolas" w:eastAsia="Consolas" w:hAnsi="Consolas"/>
          <w:sz w:val="20"/>
          <w:szCs w:val="20"/>
        </w:rPr>
        <w:t xml:space="preserve">transaction_id</w:t>
      </w:r>
      <w:r>
        <w:t xml:space="preserve">. When a late-arriving record matches an existing row, it is updated in place; new records are inserted. Combined with deduplication via </w:t>
      </w:r>
      <w:r>
        <w:rPr>
          <w:rFonts w:ascii="Consolas" w:cs="Consolas" w:eastAsia="Consolas" w:hAnsi="Consolas"/>
          <w:sz w:val="20"/>
          <w:szCs w:val="20"/>
        </w:rPr>
        <w:t xml:space="preserve">dropDuplicates(["transaction_id"])</w:t>
      </w:r>
      <w:r>
        <w:t xml:space="preserve"> and null-filtering via </w:t>
      </w:r>
      <w:r>
        <w:rPr>
          <w:rFonts w:ascii="Consolas" w:cs="Consolas" w:eastAsia="Consolas" w:hAnsi="Consolas"/>
          <w:sz w:val="20"/>
          <w:szCs w:val="20"/>
        </w:rPr>
        <w:t xml:space="preserve">dropna</w:t>
      </w:r>
      <w:r>
        <w:t xml:space="preserve">, the Silver table is guaranteed to hold exactly one authoritative record per business key — regardless of how many times, or how out of order, the source system emits it.</w:t>
      </w:r>
    </w:p>
    <w:p>
      <w:pPr>
        <w:pStyle w:val="Heading1"/>
        <w:spacing w:after="180" w:before="360"/>
      </w:pPr>
      <w:r>
        <w:t xml:space="preserve">3. Primary Use Cases</w:t>
      </w:r>
    </w:p>
    <w:p>
      <w:pPr>
        <w:spacing w:after="160" w:line="320"/>
        <w:jc w:val="both"/>
      </w:pPr>
      <w:r>
        <w:t xml:space="preserve">While the reference implementation uses a transactions dataset, the pattern applies across any domain where files land in object storage and must be reliably promoted to analytics tables. Four representative scenarios are described below.</w:t>
      </w:r>
    </w:p>
    <w:p>
      <w:pPr>
        <w:pStyle w:val="Heading2"/>
        <w:spacing w:after="140" w:before="280"/>
      </w:pPr>
      <w:r>
        <w:t xml:space="preserve">3.1 Continuous Financial Transaction Ingestion</w:t>
      </w:r>
    </w:p>
    <w:p>
      <w:pPr>
        <w:spacing w:after="160" w:line="320"/>
        <w:jc w:val="both"/>
      </w:pPr>
      <w:r>
        <w:t xml:space="preserve">Retail banks, payment processors, and fintechs receive transaction files from dozens of acquirer and settlement systems throughout the day. The pipeline ingests these files as they land in ADLS, deduplicates on transaction ID, applies upserts for corrections (chargebacks, reversals, settlement adjustments), and publishes a single source-of-truth Silver table for fraud analytics, reconciliation, and regulatory reporting.</w:t>
      </w:r>
    </w:p>
    <w:p>
      <w:pPr>
        <w:spacing w:after="160" w:line="320"/>
        <w:jc w:val="both"/>
      </w:pPr>
      <w:r>
        <w:t xml:space="preserve">The </w:t>
      </w:r>
      <w:r>
        <w:rPr>
          <w:rFonts w:ascii="Consolas" w:cs="Consolas" w:eastAsia="Consolas" w:hAnsi="Consolas"/>
          <w:sz w:val="20"/>
          <w:szCs w:val="20"/>
        </w:rPr>
        <w:t xml:space="preserve">availableNow=True</w:t>
      </w:r>
      <w:r>
        <w:t xml:space="preserve"> trigger allows ADF to run the pipeline every 15–30 minutes, giving fraud teams near-real-time visibility while keeping compute costs predictable and auditable.</w:t>
      </w:r>
    </w:p>
    <w:p>
      <w:pPr>
        <w:pStyle w:val="Heading2"/>
        <w:spacing w:after="140" w:before="280"/>
      </w:pPr>
      <w:r>
        <w:t xml:space="preserve">3.2 Robust Log and Telemetry Monitoring</w:t>
      </w:r>
    </w:p>
    <w:p>
      <w:pPr>
        <w:spacing w:after="160" w:line="320"/>
        <w:jc w:val="both"/>
      </w:pPr>
      <w:r>
        <w:t xml:space="preserve">Application logs, firewall exports, and diagnostic traces typically arrive as a flood of small JSON or CSV files. The pipeline ingests them incrementally, enriches each record with </w:t>
      </w:r>
      <w:r>
        <w:rPr>
          <w:rFonts w:ascii="Consolas" w:cs="Consolas" w:eastAsia="Consolas" w:hAnsi="Consolas"/>
          <w:sz w:val="20"/>
          <w:szCs w:val="20"/>
        </w:rPr>
        <w:t xml:space="preserve">_metadata.file_path</w:t>
      </w:r>
      <w:r>
        <w:t xml:space="preserve"> and </w:t>
      </w:r>
      <w:r>
        <w:rPr>
          <w:rFonts w:ascii="Consolas" w:cs="Consolas" w:eastAsia="Consolas" w:hAnsi="Consolas"/>
          <w:sz w:val="20"/>
          <w:szCs w:val="20"/>
        </w:rPr>
        <w:t xml:space="preserve">_metadata.file_modification_time</w:t>
      </w:r>
      <w:r>
        <w:t xml:space="preserve"> for forensic traceability, and compacts them into partitioned Delta tables.</w:t>
      </w:r>
    </w:p>
    <w:p>
      <w:pPr>
        <w:spacing w:after="160" w:line="320"/>
        <w:jc w:val="both"/>
      </w:pPr>
      <w:r>
        <w:t xml:space="preserve">Security and SRE teams then query the Silver and Gold layers directly for incident investigation, MTTR reporting, and compliance audits — without paying the price of scanning raw object-storage directory listings every time.</w:t>
      </w:r>
    </w:p>
    <w:p>
      <w:pPr>
        <w:pStyle w:val="Heading2"/>
        <w:spacing w:after="140" w:before="280"/>
      </w:pPr>
      <w:r>
        <w:t xml:space="preserve">3.3 IoT and Sensor Data at Scale</w:t>
      </w:r>
    </w:p>
    <w:p>
      <w:pPr>
        <w:spacing w:after="160" w:line="320"/>
        <w:jc w:val="both"/>
      </w:pPr>
      <w:r>
        <w:t xml:space="preserve">Manufacturing lines, utility meters, and connected vehicles continuously emit telemetry via Event Hubs Capture or Azure IoT Hub landing zones in ADLS. The pipeline tolerates schema drift (e.g., a new sensor type appearing on a refreshed device), deduplicates on device and timestamp, and feeds aggregated Gold KPIs — uptime, utilization, mean-time-between-failure — to operations dashboards that run 24×7 on the factory floor.</w:t>
      </w:r>
    </w:p>
    <w:p>
      <w:pPr>
        <w:pStyle w:val="Heading2"/>
        <w:spacing w:after="140" w:before="280"/>
      </w:pPr>
      <w:r>
        <w:t xml:space="preserve">3.4 Customer Event and Clickstream Analytics</w:t>
      </w:r>
    </w:p>
    <w:p>
      <w:pPr>
        <w:spacing w:after="160" w:line="320"/>
        <w:jc w:val="both"/>
      </w:pPr>
      <w:r>
        <w:t xml:space="preserve">Marketing and product teams rely on web and mobile event streams exported from Customer Data Platforms, ad networks, and internal analytics SDKs. The pipeline provides an always-current, deduplicated event table that drives attribution models, funnel analysis, and near-real-time segmentation — without requiring the data team to operate Kafka clusters, schema registries, or bespoke watermarking logic.</w:t>
      </w:r>
    </w:p>
    <w:p>
      <w:pPr>
        <w:pStyle w:val="Heading1"/>
        <w:spacing w:after="180" w:before="360"/>
      </w:pPr>
      <w:r>
        <w:t xml:space="preserve">4. Business Benefits</w:t>
      </w:r>
    </w:p>
    <w:p>
      <w:pPr>
        <w:spacing w:after="160" w:line="320"/>
        <w:jc w:val="both"/>
      </w:pPr>
      <w:r>
        <w:t xml:space="preserve">The design choices embedded in this pipeline translate directly into measurable business outcomes across cost, freshness, reliability, and organizational agility.</w:t>
      </w:r>
    </w:p>
    <w:p>
      <w:pPr>
        <w:pStyle w:val="Heading2"/>
        <w:spacing w:after="140" w:before="280"/>
      </w:pPr>
      <w:r>
        <w:t xml:space="preserve">4.1 Significant Compute Cost Reduction</w:t>
      </w:r>
    </w:p>
    <w:p>
      <w:pPr>
        <w:spacing w:after="160" w:line="320"/>
        <w:jc w:val="both"/>
      </w:pPr>
      <w:r>
        <w:t xml:space="preserve">The </w:t>
      </w:r>
      <w:r>
        <w:rPr>
          <w:rFonts w:ascii="Consolas" w:cs="Consolas" w:eastAsia="Consolas" w:hAnsi="Consolas"/>
          <w:sz w:val="20"/>
          <w:szCs w:val="20"/>
        </w:rPr>
        <w:t xml:space="preserve">availableNow=True</w:t>
      </w:r>
      <w:r>
        <w:t xml:space="preserve"> trigger processes all newly available data in a bounded batch and shuts the cluster down — there is no always-on streaming cluster burning Databricks Units overnight. Auto Loader's incremental file discovery also avoids expensive full directory listings, a particularly important optimization when the raw landing zone accumulates millions of files over time. Many organizations report 40–70% reductions in ingestion compute cost after migrating from always-on streaming or naive batch scans to this pattern.</w:t>
      </w:r>
    </w:p>
    <w:p>
      <w:pPr>
        <w:pStyle w:val="Heading2"/>
        <w:spacing w:after="140" w:before="280"/>
      </w:pPr>
      <w:r>
        <w:t xml:space="preserve">4.2 Improved Data Freshness</w:t>
      </w:r>
    </w:p>
    <w:p>
      <w:pPr>
        <w:spacing w:after="160" w:line="320"/>
        <w:jc w:val="both"/>
      </w:pPr>
      <w:r>
        <w:t xml:space="preserve">Downstream consumers typically see data within minutes of it landing in the lake, not the following morning. ADF triggers can be tuned per business need — every five minutes for fraud detection, hourly for operational reporting, daily for regulatory archives — without requiring any changes to notebook code.</w:t>
      </w:r>
    </w:p>
    <w:p>
      <w:pPr>
        <w:pStyle w:val="Heading2"/>
        <w:spacing w:after="140" w:before="280"/>
      </w:pPr>
      <w:r>
        <w:t xml:space="preserve">4.3 Higher Reliability and Lower Operational Toil</w:t>
      </w:r>
    </w:p>
    <w:p>
      <w:pPr>
        <w:spacing w:after="160" w:line="320"/>
        <w:jc w:val="both"/>
      </w:pPr>
      <w:r>
        <w:t xml:space="preserve">Exactly-once file processing, automatic schema evolution, checkpoint-backed recovery, and idempotent MERGE semantics collectively eliminate the most common root causes of data-pipeline incidents. Operators can safely retry a failed ADF run at any time; there is no bespoke “replay script” to maintain.</w:t>
      </w:r>
    </w:p>
    <w:p>
      <w:pPr>
        <w:pStyle w:val="Heading2"/>
        <w:spacing w:after="140" w:before="280"/>
      </w:pPr>
      <w:r>
        <w:t xml:space="preserve">4.4 Faster Time-to-Insight</w:t>
      </w:r>
    </w:p>
    <w:p>
      <w:pPr>
        <w:spacing w:after="160" w:line="320"/>
        <w:jc w:val="both"/>
      </w:pPr>
      <w:r>
        <w:t xml:space="preserve">The Gold-layer KPI table is continuously maintained with aggregate counts and freshness timestamps, giving analysts immediate access to trusted metrics without writing a single line of Spark code. Self-service consumers connect via JDBC/ODBC and see the same governed numbers the engineering team sees.</w:t>
      </w:r>
    </w:p>
    <w:p>
      <w:pPr>
        <w:pStyle w:val="Heading2"/>
        <w:spacing w:after="140" w:before="280"/>
      </w:pPr>
      <w:r>
        <w:t xml:space="preserve">4.5 Future-Proof Architecture</w:t>
      </w:r>
    </w:p>
    <w:p>
      <w:pPr>
        <w:spacing w:after="160" w:line="320"/>
        <w:jc w:val="both"/>
      </w:pPr>
      <w:r>
        <w:t xml:space="preserve">The Medallion pattern, the open Delta Lake format, and Hive Metastore compatibility mean the investment is portable. The same notebooks can be lifted to Unity Catalog, Databricks SQL Warehouses, or other Delta-compatible engines (such as Microsoft Fabric or Trino) with minimal refactoring, protecting the organization against vendor lock-in.</w:t>
      </w:r>
    </w:p>
    <w:p>
      <w:pPr>
        <w:pStyle w:val="Heading1"/>
        <w:spacing w:after="180" w:before="360"/>
      </w:pPr>
      <w:r>
        <w:t xml:space="preserve">5. Summary of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Dimension</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Traditional Batch Ingestion</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This Pipeline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Cost model</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Always-on cluster or oversized batch jobs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Bounded </w:t>
            </w:r>
            <w:r>
              <w:rPr>
                <w:rFonts w:ascii="Consolas" w:cs="Consolas" w:eastAsia="Consolas" w:hAnsi="Consolas"/>
                <w:sz w:val="20"/>
                <w:szCs w:val="20"/>
              </w:rPr>
              <w:t xml:space="preserve">availableNow</w:t>
            </w:r>
            <w:r>
              <w:t xml:space="preserve"> batches; cluster auto-terminates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File discovery</w:t>
            </w:r>
          </w:p>
        </w:tc>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Full directory listing (slow, costly)</w:t>
            </w:r>
          </w:p>
        </w:tc>
        <w:tc>
          <w:tcPr>
            <w:tcW w:type="dxa" w:w="3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Incremental tracking via Auto Loader state store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Schema change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Pipeline breaks; manual intervention</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Automatic evolution with </w:t>
            </w:r>
            <w:r>
              <w:rPr>
                <w:rFonts w:ascii="Consolas" w:cs="Consolas" w:eastAsia="Consolas" w:hAnsi="Consolas"/>
                <w:sz w:val="20"/>
                <w:szCs w:val="20"/>
              </w:rPr>
              <w:t xml:space="preserve">addNewColumns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Duplicate files</w:t>
            </w:r>
          </w:p>
        </w:tc>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Risk of double-counting on retry</w:t>
            </w:r>
          </w:p>
        </w:tc>
        <w:tc>
          <w:tcPr>
            <w:tcW w:type="dxa" w:w="3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Exactly-once guaranteed by file-state store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Late updates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Not supported (append-only)</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Handled via Silver </w:t>
            </w:r>
            <w:r>
              <w:rPr>
                <w:rFonts w:ascii="Consolas" w:cs="Consolas" w:eastAsia="Consolas" w:hAnsi="Consolas"/>
                <w:sz w:val="20"/>
                <w:szCs w:val="20"/>
              </w:rPr>
              <w:t xml:space="preserve">MERGE INTO</w:t>
            </w:r>
            <w:r>
              <w:t xml:space="preserve"> upsert</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Orchestration</w:t>
            </w:r>
          </w:p>
        </w:tc>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Custom scripts and watermark tables</w:t>
            </w:r>
          </w:p>
        </w:tc>
        <w:tc>
          <w:tcPr>
            <w:tcW w:type="dxa" w:w="3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Native ADF Notebook activity with parameters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Observability</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Log scraping and custom dashboards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Delta History, Streaming UI, metadata columns</w:t>
            </w:r>
          </w:p>
        </w:tc>
      </w:tr>
    </w:tbl>
    <w:p>
      <w:pPr>
        <w:spacing w:after="120"/>
      </w:pPr>
      <w:r>
        <w:t xml:space="preserve"/>
      </w:r>
    </w:p>
    <w:p>
      <w:pPr>
        <w:spacing w:after="160" w:line="320"/>
        <w:jc w:val="both"/>
      </w:pPr>
      <w:r>
        <w:t xml:space="preserve">Taken together, these capabilities convert file ingestion from a recurring source of operational pain into a predictable, governed, and cost-controlled utility — freeing the data engineering team to focus on higher-value analytics and ML workloads.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i/>
        <w:iCs/>
        <w:color w:val="595959"/>
        <w:sz w:val="18"/>
        <w:szCs w:val="18"/>
      </w:rPr>
      <w:t xml:space="preserve">Incremental File Ingestion Pipeline — Use Cases &amp; Business Value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Title">
    <w:name w:val="Title"/>
    <w:basedOn w:val="Normal"/>
    <w:next w:val="Normal"/>
    <w:qFormat/>
    <w:pPr>
      <w:spacing w:after="200" w:before="0"/>
    </w:pPr>
    <w:rPr>
      <w:rFonts w:ascii="Calibri" w:cs="Calibri" w:eastAsia="Calibri" w:hAnsi="Calibri"/>
      <w:b/>
      <w:bCs/>
      <w:color w:val="1F4E79"/>
      <w:sz w:val="56"/>
      <w:szCs w:val="56"/>
    </w:rPr>
  </w:style>
  <w:style w:type="paragraph" w:styleId="Subtitle">
    <w:name w:val="Subtitle"/>
    <w:basedOn w:val="Normal"/>
    <w:next w:val="Normal"/>
    <w:qFormat/>
    <w:pPr>
      <w:spacing w:after="200" w:before="0"/>
    </w:pPr>
    <w:rPr>
      <w:rFonts w:ascii="Calibri" w:cs="Calibri" w:eastAsia="Calibri" w:hAnsi="Calibri"/>
      <w:i/>
      <w:iCs/>
      <w:color w:val="59595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2026-04-21T10:31:06.562Z</dcterms:created>
  <dcterms:modified xsi:type="dcterms:W3CDTF">2026-04-21T10:31:06.563Z</dcterms:modified>
</cp:coreProperties>
</file>

<file path=docProps/custom.xml><?xml version="1.0" encoding="utf-8"?>
<Properties xmlns="http://schemas.openxmlformats.org/officeDocument/2006/custom-properties" xmlns:vt="http://schemas.openxmlformats.org/officeDocument/2006/docPropsVTypes"/>
</file>