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1F4E79"/>
          <w:sz w:val="24"/>
          <w:szCs w:val="24"/>
        </w:rPr>
        <w:t xml:space="preserve">Machine Learning Project — Phase 2</w:t>
      </w:r>
    </w:p>
    <w:p>
      <w:pPr>
        <w:spacing w:after="200"/>
        <w:jc w:val="center"/>
      </w:pPr>
      <w:r>
        <w:rPr>
          <w:color w:val="555555"/>
          <w:sz w:val="22"/>
          <w:szCs w:val="22"/>
        </w:rPr>
        <w:t xml:space="preserve">Project Proposal and Technical Implementation</w:t>
      </w:r>
    </w:p>
    <w:p>
      <w:pPr>
        <w:pBdr>
          <w:bottom w:val="single" w:color="1F4E79" w:sz="12"/>
        </w:pBdr>
        <w:spacing w:after="100"/>
        <w:jc w:val="center"/>
      </w:pPr>
      <w:r>
        <w:rPr>
          <w:b/>
          <w:bCs/>
          <w:color w:val="000000"/>
          <w:sz w:val="30"/>
          <w:szCs w:val="30"/>
        </w:rPr>
        <w:t xml:space="preserve">Drone Image Disaster Scene Classification Using Convolutional Neural Networks: A Multi-Class Study on the AIDERv2 Aerial Imagery Dataset</w:t>
      </w:r>
    </w:p>
    <w:p>
      <w:pPr>
        <w:spacing w:after="40" w:before="160"/>
        <w:jc w:val="center"/>
      </w:pPr>
      <w:r>
        <w:rPr>
          <w:sz w:val="22"/>
          <w:szCs w:val="22"/>
        </w:rPr>
        <w:t xml:space="preserve">Author: Sahith Ganta</w:t>
      </w:r>
    </w:p>
    <w:p>
      <w:pPr>
        <w:spacing w:after="40"/>
        <w:jc w:val="center"/>
      </w:pPr>
      <w:r>
        <w:rPr>
          <w:sz w:val="22"/>
          <w:szCs w:val="22"/>
        </w:rPr>
        <w:t xml:space="preserve">Supervisor: Prof. Raja Hashim Ali</w:t>
      </w:r>
    </w:p>
    <w:p>
      <w:pPr>
        <w:spacing w:after="40"/>
        <w:jc w:val="center"/>
      </w:pPr>
      <w:r>
        <w:rPr>
          <w:i/>
          <w:iCs/>
          <w:color w:val="555555"/>
          <w:sz w:val="22"/>
          <w:szCs w:val="22"/>
        </w:rPr>
        <w:t xml:space="preserve">Assigned Topic: Idea 45 — Drone Image Disaster Scene Classification</w:t>
      </w:r>
    </w:p>
    <w:p>
      <w:pPr>
        <w:spacing w:after="40"/>
        <w:jc w:val="center"/>
      </w:pPr>
      <w:r>
        <w:rPr>
          <w:color w:val="555555"/>
          <w:sz w:val="20"/>
          <w:szCs w:val="20"/>
        </w:rPr>
        <w:t xml:space="preserve">Framework: TensorFlow / Keras 2.19.0  •  Environment: Kaggle Notebook (NVIDIA T4 × 2 GPU)</w:t>
      </w:r>
    </w:p>
    <w:p>
      <w:pPr>
        <w:pStyle w:val="Heading1"/>
        <w:spacing w:after="120" w:before="280"/>
      </w:pPr>
      <w:r>
        <w:rPr>
          <w:b/>
          <w:bCs/>
          <w:color w:val="1F4E79"/>
          <w:sz w:val="28"/>
          <w:szCs w:val="28"/>
        </w:rPr>
        <w:t xml:space="preserve">1. Project Title</w:t>
      </w:r>
    </w:p>
    <w:p>
      <w:pPr>
        <w:spacing w:after="120" w:line="276"/>
        <w:jc w:val="both"/>
      </w:pPr>
      <w:r>
        <w:rPr>
          <w:sz w:val="22"/>
          <w:szCs w:val="22"/>
        </w:rPr>
        <w:t xml:space="preserve">Drone Image Disaster Scene Classification Using Convolutional Neural Networks: A Multi-Class Study on the AIDERv2 Aerial Imagery Dataset.</w:t>
      </w:r>
    </w:p>
    <w:p>
      <w:pPr>
        <w:pStyle w:val="Heading1"/>
        <w:spacing w:after="120" w:before="280"/>
      </w:pPr>
      <w:r>
        <w:rPr>
          <w:b/>
          <w:bCs/>
          <w:color w:val="1F4E79"/>
          <w:sz w:val="28"/>
          <w:szCs w:val="28"/>
        </w:rPr>
        <w:t xml:space="preserve">2. Background and Motivation</w:t>
      </w:r>
    </w:p>
    <w:p>
      <w:pPr>
        <w:spacing w:after="120" w:line="276"/>
        <w:jc w:val="both"/>
      </w:pPr>
      <w:r>
        <w:rPr>
          <w:sz w:val="22"/>
          <w:szCs w:val="22"/>
        </w:rPr>
        <w:t xml:space="preserve">Natural and man-made disasters — floods, wildfires, earthquakes, and large-scale infrastructure collapses — remain among the most destructive events societies face, and the speed of the emergency response directly determines how many lives and how much property can be saved. In the immediate aftermath of such events, Unmanned Aerial Vehicles (UAVs, or drones) have become an increasingly important tool because they can survey large affected regions far faster and more safely than ground teams, capturing high-resolution aerial imagery of the terrain below.</w:t>
      </w:r>
    </w:p>
    <w:p>
      <w:pPr>
        <w:spacing w:after="120" w:line="276"/>
        <w:jc w:val="both"/>
      </w:pPr>
      <w:r>
        <w:rPr>
          <w:sz w:val="22"/>
          <w:szCs w:val="22"/>
        </w:rPr>
        <w:t xml:space="preserve">However, the volume of imagery a drone fleet collects is far greater than human analysts can review in a timely manner during an active emergency. Automatically classifying aerial images by the type of disaster (or the absence of one) would allow response teams to rapidly triage which regions require attention, prioritise rescue and relief efforts, and allocate limited resources where they are most needed. Convolutional Neural Networks (CNNs) have become the standard approach for image classification because of their ability to learn hierarchical spatial features directly from raw pixels. This project applies CNN-based methods — a custom network trained from scratch and a transfer-learning model built on a pretrained backbone — to the problem of classifying drone-captured disaster scenes across four categories.</w:t>
      </w:r>
    </w:p>
    <w:p>
      <w:pPr>
        <w:pStyle w:val="Heading1"/>
        <w:spacing w:after="120" w:before="280"/>
      </w:pPr>
      <w:r>
        <w:rPr>
          <w:b/>
          <w:bCs/>
          <w:color w:val="1F4E79"/>
          <w:sz w:val="28"/>
          <w:szCs w:val="28"/>
        </w:rPr>
        <w:t xml:space="preserve">3. Problem Statement</w:t>
      </w:r>
    </w:p>
    <w:p>
      <w:pPr>
        <w:spacing w:after="120" w:line="276"/>
        <w:jc w:val="both"/>
      </w:pPr>
      <w:r>
        <w:rPr>
          <w:sz w:val="22"/>
          <w:szCs w:val="22"/>
        </w:rPr>
        <w:t xml:space="preserve">Given an aerial (drone-captured) image of a ground region, the task is to classify the image into one of four categories: Earthquake / Collapsed Building, Fire, Flood, or Normal (no disaster). This is a supervised multi-class image-classification problem.</w:t>
      </w:r>
    </w:p>
    <w:p>
      <w:pPr>
        <w:spacing w:after="120" w:line="276"/>
        <w:jc w:val="both"/>
      </w:pPr>
      <w:r>
        <w:rPr>
          <w:sz w:val="22"/>
          <w:szCs w:val="22"/>
        </w:rPr>
        <w:t xml:space="preserve">The central methodological challenges are: (i) </w:t>
      </w:r>
      <w:r>
        <w:rPr>
          <w:sz w:val="22"/>
          <w:szCs w:val="22"/>
        </w:rPr>
        <w:t xml:space="preserve">distinguishing genuine disaster scenes from ordinary aerial imagery of the built and natural environment </w:t>
      </w:r>
      <w:r>
        <w:rPr>
          <w:sz w:val="22"/>
          <w:szCs w:val="22"/>
        </w:rPr>
        <w:t xml:space="preserve">(the Normal class), which visually overlaps with several disaster classes; (ii) handling moderate class imbalance — the Earthquake class is substantially smaller than the other three; and (iii) evaluating models with metrics that expose per-class weakness rather than relying on overall accuracy, which can hide systematic failures on the harder classes.</w:t>
      </w:r>
    </w:p>
    <w:p>
      <w:pPr>
        <w:pStyle w:val="Heading1"/>
        <w:spacing w:after="120" w:before="280"/>
      </w:pPr>
      <w:r>
        <w:rPr>
          <w:b/>
          <w:bCs/>
          <w:color w:val="1F4E79"/>
          <w:sz w:val="28"/>
          <w:szCs w:val="28"/>
        </w:rPr>
        <w:t xml:space="preserve">4. Selected Dataset and Dataset Link</w:t>
      </w:r>
    </w:p>
    <w:p>
      <w:pPr>
        <w:spacing w:after="120" w:line="276"/>
        <w:jc w:val="both"/>
      </w:pPr>
      <w:r>
        <w:rPr>
          <w:sz w:val="22"/>
          <w:szCs w:val="22"/>
        </w:rPr>
        <w:t xml:space="preserve">The project uses the AIDERv2 (Aerial Image Database for Emergency Response, version 2) dataset — an extended, four-class aerial-imagery collection curated for emergency-response research and released on Zenodo by the KIOS Research and Innovation Centre of Excellence.</w:t>
      </w:r>
    </w:p>
    <w:p>
      <w:pPr>
        <w:spacing w:after="120" w:line="276"/>
        <w:jc w:val="both"/>
      </w:pPr>
      <w:r>
        <w:rPr>
          <w:b/>
          <w:bCs/>
          <w:sz w:val="22"/>
          <w:szCs w:val="22"/>
        </w:rPr>
        <w:t xml:space="preserve">Official source (Zenodo): </w:t>
      </w:r>
      <w:r>
        <w:rPr>
          <w:color w:val="1F4E79"/>
          <w:sz w:val="22"/>
          <w:szCs w:val="22"/>
        </w:rPr>
        <w:t xml:space="preserve">https://zenodo.org/records/10891054</w:t>
      </w:r>
    </w:p>
    <w:p>
      <w:pPr>
        <w:spacing w:after="120" w:line="276"/>
        <w:jc w:val="both"/>
      </w:pPr>
      <w:r>
        <w:rPr>
          <w:b/>
          <w:bCs/>
          <w:sz w:val="22"/>
          <w:szCs w:val="22"/>
        </w:rPr>
        <w:t xml:space="preserve">Kaggle mirror used for loading (public): </w:t>
      </w:r>
      <w:r>
        <w:rPr>
          <w:color w:val="1F4E79"/>
          <w:sz w:val="22"/>
          <w:szCs w:val="22"/>
        </w:rPr>
        <w:t xml:space="preserve">https://www.kaggle.com/datasets/banasmitajena/aiderv2-dataset</w:t>
      </w:r>
    </w:p>
    <w:p>
      <w:pPr>
        <w:spacing w:after="120" w:line="276"/>
        <w:jc w:val="both"/>
      </w:pPr>
      <w:r>
        <w:rPr>
          <w:i/>
          <w:iCs/>
          <w:color w:val="555555"/>
          <w:sz w:val="20"/>
          <w:szCs w:val="20"/>
        </w:rPr>
        <w:t xml:space="preserve">The dataset is released for academic and non-commercial use and is associated with peer-reviewed work on aerial disaster classification (Shianios, Kyrkou &amp; Kolios, CAIP 2023).</w:t>
      </w:r>
    </w:p>
    <w:p>
      <w:pPr>
        <w:pStyle w:val="Heading1"/>
        <w:spacing w:after="120" w:before="280"/>
      </w:pPr>
      <w:r>
        <w:rPr>
          <w:b/>
          <w:bCs/>
          <w:color w:val="1F4E79"/>
          <w:sz w:val="28"/>
          <w:szCs w:val="28"/>
        </w:rPr>
        <w:t xml:space="preserve">5. Dataset Description</w:t>
      </w:r>
    </w:p>
    <w:p>
      <w:pPr>
        <w:spacing w:after="120" w:line="276"/>
        <w:jc w:val="both"/>
      </w:pPr>
      <w:r>
        <w:rPr>
          <w:sz w:val="22"/>
          <w:szCs w:val="22"/>
        </w:rPr>
        <w:t xml:space="preserve">AIDERv2 consists of aerial photographs, each labelled at the whole-image level as one of four classes. The dataset is provided pre-split into training, validation, and test 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color="auto" w:val="clear"/>
            <w:tcMar>
              <w:top w:type="dxa" w:w="60"/>
              <w:left w:type="dxa" w:w="100"/>
              <w:bottom w:type="dxa" w:w="60"/>
              <w:right w:type="dxa" w:w="100"/>
            </w:tcMar>
          </w:tcPr>
          <w:p>
            <w:pPr>
              <w:jc w:val="center"/>
            </w:pPr>
            <w:r>
              <w:rPr>
                <w:b/>
                <w:bCs/>
                <w:color w:val="FFFFFF"/>
                <w:sz w:val="20"/>
                <w:szCs w:val="20"/>
              </w:rPr>
              <w:t xml:space="preserve">Property</w:t>
            </w:r>
          </w:p>
        </w:tc>
        <w:tc>
          <w:tcPr>
            <w:tcW w:type="dxa" w:w="4500"/>
            <w:shd w:fill="1F4E79" w:color="auto" w:val="clear"/>
            <w:tcMar>
              <w:top w:type="dxa" w:w="60"/>
              <w:left w:type="dxa" w:w="100"/>
              <w:bottom w:type="dxa" w:w="60"/>
              <w:right w:type="dxa" w:w="100"/>
            </w:tcMar>
          </w:tcPr>
          <w:p>
            <w:pPr>
              <w:jc w:val="center"/>
            </w:pPr>
            <w:r>
              <w:rPr>
                <w:b/>
                <w:bCs/>
                <w:color w:val="FFFFFF"/>
                <w:sz w:val="20"/>
                <w:szCs w:val="20"/>
              </w:rPr>
              <w:t xml:space="preserve">Value</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Total labelled images</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16,723</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Number of classes</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4 (Earthquake, Fire, Flood, Normal)</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Training images</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13,399</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Validation images</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1,670</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Test images</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1,654</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Image type</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RGB aerial / UAV-oriented photographs (PNG)</w:t>
            </w:r>
          </w:p>
        </w:tc>
      </w:tr>
      <w:tr>
        <w:tc>
          <w:tcPr>
            <w:tcW w:type="dxa" w:w="4500"/>
            <w:shd w:fill="FFFFFF" w:color="auto" w:val="clear"/>
            <w:tcMar>
              <w:top w:type="dxa" w:w="60"/>
              <w:left w:type="dxa" w:w="100"/>
              <w:bottom w:type="dxa" w:w="60"/>
              <w:right w:type="dxa" w:w="100"/>
            </w:tcMar>
          </w:tcPr>
          <w:p>
            <w:pPr>
              <w:jc w:val="left"/>
            </w:pPr>
            <w:r>
              <w:rPr>
                <w:b/>
                <w:bCs/>
                <w:color w:val="000000"/>
                <w:sz w:val="20"/>
                <w:szCs w:val="20"/>
              </w:rPr>
              <w:t xml:space="preserve">Native / model input size</w:t>
            </w:r>
          </w:p>
        </w:tc>
        <w:tc>
          <w:tcPr>
            <w:tcW w:type="dxa" w:w="4500"/>
            <w:shd w:fill="FFFFFF" w:color="auto" w:val="clear"/>
            <w:tcMar>
              <w:top w:type="dxa" w:w="60"/>
              <w:left w:type="dxa" w:w="100"/>
              <w:bottom w:type="dxa" w:w="60"/>
              <w:right w:type="dxa" w:w="100"/>
            </w:tcMar>
          </w:tcPr>
          <w:p>
            <w:pPr>
              <w:jc w:val="left"/>
            </w:pPr>
            <w:r>
              <w:rPr>
                <w:b w:val="false"/>
                <w:bCs w:val="false"/>
                <w:color w:val="000000"/>
                <w:sz w:val="20"/>
                <w:szCs w:val="20"/>
              </w:rPr>
              <w:t xml:space="preserve">224 × 224 × 3</w:t>
            </w:r>
          </w:p>
        </w:tc>
      </w:tr>
    </w:tbl>
    <w:p>
      <w:pPr>
        <w:spacing w:after="80"/>
      </w:pPr>
    </w:p>
    <w:p>
      <w:pPr>
        <w:spacing w:after="120" w:line="276"/>
        <w:jc w:val="both"/>
      </w:pPr>
      <w:r>
        <w:rPr>
          <w:sz w:val="22"/>
          <w:szCs w:val="22"/>
        </w:rPr>
        <w:t xml:space="preserve">Per-class training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F4E79" w:color="auto" w:val="clear"/>
            <w:tcMar>
              <w:top w:type="dxa" w:w="60"/>
              <w:left w:type="dxa" w:w="100"/>
              <w:bottom w:type="dxa" w:w="60"/>
              <w:right w:type="dxa" w:w="100"/>
            </w:tcMar>
          </w:tcPr>
          <w:p>
            <w:pPr>
              <w:jc w:val="center"/>
            </w:pPr>
            <w:r>
              <w:rPr>
                <w:b/>
                <w:bCs/>
                <w:color w:val="FFFFFF"/>
                <w:sz w:val="20"/>
                <w:szCs w:val="20"/>
              </w:rPr>
              <w:t xml:space="preserve">Class</w:t>
            </w:r>
          </w:p>
        </w:tc>
        <w:tc>
          <w:tcPr>
            <w:tcW w:type="dxa" w:w="2000"/>
            <w:shd w:fill="1F4E79" w:color="auto" w:val="clear"/>
            <w:tcMar>
              <w:top w:type="dxa" w:w="60"/>
              <w:left w:type="dxa" w:w="100"/>
              <w:bottom w:type="dxa" w:w="60"/>
              <w:right w:type="dxa" w:w="100"/>
            </w:tcMar>
          </w:tcPr>
          <w:p>
            <w:pPr>
              <w:jc w:val="center"/>
            </w:pPr>
            <w:r>
              <w:rPr>
                <w:b/>
                <w:bCs/>
                <w:color w:val="FFFFFF"/>
                <w:sz w:val="20"/>
                <w:szCs w:val="20"/>
              </w:rPr>
              <w:t xml:space="preserve">Train</w:t>
            </w:r>
          </w:p>
        </w:tc>
        <w:tc>
          <w:tcPr>
            <w:tcW w:type="dxa" w:w="2000"/>
            <w:shd w:fill="1F4E79" w:color="auto" w:val="clear"/>
            <w:tcMar>
              <w:top w:type="dxa" w:w="60"/>
              <w:left w:type="dxa" w:w="100"/>
              <w:bottom w:type="dxa" w:w="60"/>
              <w:right w:type="dxa" w:w="100"/>
            </w:tcMar>
          </w:tcPr>
          <w:p>
            <w:pPr>
              <w:jc w:val="center"/>
            </w:pPr>
            <w:r>
              <w:rPr>
                <w:b/>
                <w:bCs/>
                <w:color w:val="FFFFFF"/>
                <w:sz w:val="20"/>
                <w:szCs w:val="20"/>
              </w:rPr>
              <w:t xml:space="preserve">Validation</w:t>
            </w:r>
          </w:p>
        </w:tc>
        <w:tc>
          <w:tcPr>
            <w:tcW w:type="dxa" w:w="2000"/>
            <w:shd w:fill="1F4E79" w:color="auto" w:val="clear"/>
            <w:tcMar>
              <w:top w:type="dxa" w:w="60"/>
              <w:left w:type="dxa" w:w="100"/>
              <w:bottom w:type="dxa" w:w="60"/>
              <w:right w:type="dxa" w:w="100"/>
            </w:tcMar>
          </w:tcPr>
          <w:p>
            <w:pPr>
              <w:jc w:val="center"/>
            </w:pPr>
            <w:r>
              <w:rPr>
                <w:b/>
                <w:bCs/>
                <w:color w:val="FFFFFF"/>
                <w:sz w:val="20"/>
                <w:szCs w:val="20"/>
              </w:rPr>
              <w:t xml:space="preserve">Test</w:t>
            </w:r>
          </w:p>
        </w:tc>
      </w:tr>
      <w:tr>
        <w:tc>
          <w:tcPr>
            <w:tcW w:type="dxa" w:w="3000"/>
            <w:shd w:fill="FFFFFF" w:color="auto" w:val="clear"/>
            <w:tcMar>
              <w:top w:type="dxa" w:w="60"/>
              <w:left w:type="dxa" w:w="100"/>
              <w:bottom w:type="dxa" w:w="60"/>
              <w:right w:type="dxa" w:w="100"/>
            </w:tcMar>
          </w:tcPr>
          <w:p>
            <w:pPr>
              <w:jc w:val="left"/>
            </w:pPr>
            <w:r>
              <w:rPr>
                <w:b/>
                <w:bCs/>
                <w:color w:val="000000"/>
                <w:sz w:val="20"/>
                <w:szCs w:val="20"/>
              </w:rPr>
              <w:t xml:space="preserve">Flood</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4,063</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505</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502</w:t>
            </w:r>
          </w:p>
        </w:tc>
      </w:tr>
      <w:tr>
        <w:tc>
          <w:tcPr>
            <w:tcW w:type="dxa" w:w="3000"/>
            <w:shd w:fill="FFFFFF" w:color="auto" w:val="clear"/>
            <w:tcMar>
              <w:top w:type="dxa" w:w="60"/>
              <w:left w:type="dxa" w:w="100"/>
              <w:bottom w:type="dxa" w:w="60"/>
              <w:right w:type="dxa" w:w="100"/>
            </w:tcMar>
          </w:tcPr>
          <w:p>
            <w:pPr>
              <w:jc w:val="left"/>
            </w:pPr>
            <w:r>
              <w:rPr>
                <w:b/>
                <w:bCs/>
                <w:color w:val="000000"/>
                <w:sz w:val="20"/>
                <w:szCs w:val="20"/>
              </w:rPr>
              <w:t xml:space="preserve">Normal</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3,900</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487</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477</w:t>
            </w:r>
          </w:p>
        </w:tc>
      </w:tr>
      <w:tr>
        <w:tc>
          <w:tcPr>
            <w:tcW w:type="dxa" w:w="3000"/>
            <w:shd w:fill="FFFFFF" w:color="auto" w:val="clear"/>
            <w:tcMar>
              <w:top w:type="dxa" w:w="60"/>
              <w:left w:type="dxa" w:w="100"/>
              <w:bottom w:type="dxa" w:w="60"/>
              <w:right w:type="dxa" w:w="100"/>
            </w:tcMar>
          </w:tcPr>
          <w:p>
            <w:pPr>
              <w:jc w:val="left"/>
            </w:pPr>
            <w:r>
              <w:rPr>
                <w:b/>
                <w:bCs/>
                <w:color w:val="000000"/>
                <w:sz w:val="20"/>
                <w:szCs w:val="20"/>
              </w:rPr>
              <w:t xml:space="preserve">Fire</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3,509</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439</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436</w:t>
            </w:r>
          </w:p>
        </w:tc>
      </w:tr>
      <w:tr>
        <w:tc>
          <w:tcPr>
            <w:tcW w:type="dxa" w:w="3000"/>
            <w:shd w:fill="FFFFFF" w:color="auto" w:val="clear"/>
            <w:tcMar>
              <w:top w:type="dxa" w:w="60"/>
              <w:left w:type="dxa" w:w="100"/>
              <w:bottom w:type="dxa" w:w="60"/>
              <w:right w:type="dxa" w:w="100"/>
            </w:tcMar>
          </w:tcPr>
          <w:p>
            <w:pPr>
              <w:jc w:val="left"/>
            </w:pPr>
            <w:r>
              <w:rPr>
                <w:b/>
                <w:bCs/>
                <w:color w:val="000000"/>
                <w:sz w:val="20"/>
                <w:szCs w:val="20"/>
              </w:rPr>
              <w:t xml:space="preserve">Earthquake</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1,927</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239</w:t>
            </w:r>
          </w:p>
        </w:tc>
        <w:tc>
          <w:tcPr>
            <w:tcW w:type="dxa" w:w="2000"/>
            <w:shd w:fill="FFFFFF" w:color="auto" w:val="clear"/>
            <w:tcMar>
              <w:top w:type="dxa" w:w="60"/>
              <w:left w:type="dxa" w:w="100"/>
              <w:bottom w:type="dxa" w:w="60"/>
              <w:right w:type="dxa" w:w="100"/>
            </w:tcMar>
          </w:tcPr>
          <w:p>
            <w:pPr>
              <w:jc w:val="center"/>
            </w:pPr>
            <w:r>
              <w:rPr>
                <w:b w:val="false"/>
                <w:bCs w:val="false"/>
                <w:color w:val="000000"/>
                <w:sz w:val="20"/>
                <w:szCs w:val="20"/>
              </w:rPr>
              <w:t xml:space="preserve">239</w:t>
            </w:r>
          </w:p>
        </w:tc>
      </w:tr>
    </w:tbl>
    <w:p>
      <w:pPr>
        <w:spacing w:after="80"/>
      </w:pPr>
    </w:p>
    <w:p>
      <w:pPr>
        <w:spacing w:after="120" w:line="276"/>
        <w:jc w:val="both"/>
      </w:pPr>
      <w:r>
        <w:rPr>
          <w:b/>
          <w:bCs/>
          <w:sz w:val="22"/>
          <w:szCs w:val="22"/>
        </w:rPr>
        <w:t xml:space="preserve">Class distribution notes. </w:t>
      </w:r>
      <w:r>
        <w:rPr>
          <w:sz w:val="22"/>
          <w:szCs w:val="22"/>
        </w:rPr>
        <w:t xml:space="preserve">The distribution is moderately imbalanced: Flood, Normal, and Fire are of comparable size, while Earthquake is roughly half as frequent. Balanced class weights are used during training to compensate for this. The dataset contains general aerial and UAV-oriented imagery relevant to emergency-response scenarios; images vary in altitude, viewpoint, and scene complexity, which introduces useful variability for training but also makes the Normal class visually diverse and consequently harder to separate from the disaster classes.</w:t>
      </w:r>
    </w:p>
    <w:p>
      <w:pPr>
        <w:pStyle w:val="Heading1"/>
        <w:spacing w:after="120" w:before="280"/>
      </w:pPr>
      <w:r>
        <w:rPr>
          <w:b/>
          <w:bCs/>
          <w:color w:val="1F4E79"/>
          <w:sz w:val="28"/>
          <w:szCs w:val="28"/>
        </w:rPr>
        <w:t xml:space="preserve">6. Research Questions</w:t>
      </w:r>
    </w:p>
    <w:p>
      <w:pPr>
        <w:pStyle w:val="ListParagraph"/>
        <w:numPr>
          <w:ilvl w:val="0"/>
          <w:numId w:val="2"/>
        </w:numPr>
        <w:spacing w:after="60" w:line="276"/>
      </w:pPr>
      <w:r>
        <w:rPr>
          <w:sz w:val="22"/>
          <w:szCs w:val="22"/>
        </w:rPr>
        <w:t xml:space="preserve">RQ1 — Can a Convolutional Neural Network accurately classify drone-captured aerial imagery into the four disaster-scene categories (Earthquake, Fire, Flood, Normal)?</w:t>
      </w:r>
    </w:p>
    <w:p>
      <w:pPr>
        <w:pStyle w:val="ListParagraph"/>
        <w:numPr>
          <w:ilvl w:val="0"/>
          <w:numId w:val="2"/>
        </w:numPr>
        <w:spacing w:after="60" w:line="276"/>
      </w:pPr>
      <w:r>
        <w:rPr>
          <w:sz w:val="22"/>
          <w:szCs w:val="22"/>
        </w:rPr>
        <w:t xml:space="preserve">RQ2 — How does a custom CNN trained from scratch compare against a transfer-learning model based on a pretrained backbone (MobileNetV2) on this task?</w:t>
      </w:r>
    </w:p>
    <w:p>
      <w:pPr>
        <w:pStyle w:val="ListParagraph"/>
        <w:numPr>
          <w:ilvl w:val="0"/>
          <w:numId w:val="2"/>
        </w:numPr>
        <w:spacing w:after="60" w:line="276"/>
      </w:pPr>
      <w:r>
        <w:rPr>
          <w:sz w:val="22"/>
          <w:szCs w:val="22"/>
        </w:rPr>
        <w:t xml:space="preserve">RQ3 — Which classes are hardest for each model, and does the difficulty pattern differ between the from-scratch and transfer-learning approaches?</w:t>
      </w:r>
    </w:p>
    <w:p>
      <w:pPr>
        <w:pStyle w:val="ListParagraph"/>
        <w:numPr>
          <w:ilvl w:val="0"/>
          <w:numId w:val="2"/>
        </w:numPr>
        <w:spacing w:after="60" w:line="276"/>
      </w:pPr>
      <w:r>
        <w:rPr>
          <w:sz w:val="22"/>
          <w:szCs w:val="22"/>
        </w:rPr>
        <w:t xml:space="preserve">RQ4 — Do interpretability methods such as Grad-CAM confirm that the models are attending to disaster-relevant visual features rather than incidental image cues?</w:t>
      </w:r>
    </w:p>
    <w:p>
      <w:pPr>
        <w:pStyle w:val="ListParagraph"/>
        <w:numPr>
          <w:ilvl w:val="0"/>
          <w:numId w:val="2"/>
        </w:numPr>
        <w:spacing w:after="60" w:line="276"/>
      </w:pPr>
      <w:r>
        <w:rPr>
          <w:sz w:val="22"/>
          <w:szCs w:val="22"/>
        </w:rPr>
        <w:t xml:space="preserve">RQ5 — What does an error analysis of misclassified images reveal about systematic model failures, and what would be required to close those gaps?</w:t>
      </w:r>
    </w:p>
    <w:p>
      <w:pPr>
        <w:pStyle w:val="Heading1"/>
        <w:spacing w:after="120" w:before="280"/>
      </w:pPr>
      <w:r>
        <w:rPr>
          <w:b/>
          <w:bCs/>
          <w:color w:val="1F4E79"/>
          <w:sz w:val="28"/>
          <w:szCs w:val="28"/>
        </w:rPr>
        <w:t xml:space="preserve">7. Expected Results</w:t>
      </w:r>
    </w:p>
    <w:p>
      <w:pPr>
        <w:spacing w:after="120" w:line="276"/>
        <w:jc w:val="both"/>
      </w:pPr>
      <w:r>
        <w:rPr>
          <w:sz w:val="22"/>
          <w:szCs w:val="22"/>
        </w:rPr>
        <w:t xml:space="preserve">Both models are expected to substantially outperform a naive majority-class baseline (~30% accuracy) and reach high overall accuracy on the held-out test set. The transfer-learning model (MobileNetV2, pretrained on ImageNet) is expected to outperform the from-scratch custom CNN, because ImageNet features already encode useful low- and mid-level visual patterns that transfer well to aerial imagery, and because the transfer model can achieve competitive performance with less data-specific training.</w:t>
      </w:r>
    </w:p>
    <w:p>
      <w:pPr>
        <w:spacing w:after="120" w:line="276"/>
        <w:jc w:val="both"/>
      </w:pPr>
      <w:r>
        <w:rPr>
          <w:sz w:val="22"/>
          <w:szCs w:val="22"/>
        </w:rPr>
        <w:t xml:space="preserve">It is expected that per-class performance will not be uniform. The visually distinctive disaster classes (Fire, Flood) are expected to be recognised most easily, while the Normal class — being visually heterogeneous and lacking a single distinctive signal — is expected to be the hardest class for both models, with lower recall than the disaster classes. Grad-CAM visualisations are expected to show that predictions are driven by disaster-relevant image regions (flame areas, water surfaces, rubble patterns) rather than image borders or arbitrary background features.</w:t>
      </w:r>
    </w:p>
    <w:p>
      <w:pPr>
        <w:pStyle w:val="Heading1"/>
        <w:spacing w:after="120" w:before="280"/>
      </w:pPr>
      <w:r>
        <w:rPr>
          <w:b/>
          <w:bCs/>
          <w:color w:val="1F4E79"/>
          <w:sz w:val="28"/>
          <w:szCs w:val="28"/>
        </w:rPr>
        <w:t xml:space="preserve">8. Proposed Methodology</w:t>
      </w:r>
    </w:p>
    <w:p>
      <w:pPr>
        <w:spacing w:after="120" w:line="276"/>
        <w:jc w:val="both"/>
      </w:pPr>
      <w:r>
        <w:rPr>
          <w:sz w:val="22"/>
          <w:szCs w:val="22"/>
        </w:rPr>
        <w:t xml:space="preserve">The methodology follows a standard supervised deep-learning image-classification pipeline:</w:t>
      </w:r>
    </w:p>
    <w:p>
      <w:pPr>
        <w:pStyle w:val="ListParagraph"/>
        <w:numPr>
          <w:ilvl w:val="0"/>
          <w:numId w:val="3"/>
        </w:numPr>
        <w:spacing w:after="60" w:line="276"/>
      </w:pPr>
      <w:r>
        <w:rPr>
          <w:sz w:val="22"/>
          <w:szCs w:val="22"/>
        </w:rPr>
        <w:t xml:space="preserve">Data loading. Images are collected from AIDERv2's Train, Validation, and Test folders (each with one subfolder per class) into per-split path/label tables.</w:t>
      </w:r>
    </w:p>
    <w:p>
      <w:pPr>
        <w:pStyle w:val="ListParagraph"/>
        <w:numPr>
          <w:ilvl w:val="0"/>
          <w:numId w:val="3"/>
        </w:numPr>
        <w:spacing w:after="60" w:line="276"/>
      </w:pPr>
      <w:r>
        <w:rPr>
          <w:sz w:val="22"/>
          <w:szCs w:val="22"/>
        </w:rPr>
        <w:t xml:space="preserve">Preprocessing. Each image is decoded, resized to 224 × 224 pixels, and normalised to the [0, 1] range. Labels are one-hot encoded for four classes.</w:t>
      </w:r>
    </w:p>
    <w:p>
      <w:pPr>
        <w:pStyle w:val="ListParagraph"/>
        <w:numPr>
          <w:ilvl w:val="0"/>
          <w:numId w:val="3"/>
        </w:numPr>
        <w:spacing w:after="60" w:line="276"/>
      </w:pPr>
      <w:r>
        <w:rPr>
          <w:sz w:val="22"/>
          <w:szCs w:val="22"/>
        </w:rPr>
        <w:t xml:space="preserve">Split handling. The dataset's provided Train/Val/Test split is used directly, preserving the class distribution intended by the dataset authors. The training dataframe is shuffled once before batching so that classes are interleaved rather than grouped by folder.</w:t>
      </w:r>
    </w:p>
    <w:p>
      <w:pPr>
        <w:pStyle w:val="ListParagraph"/>
        <w:numPr>
          <w:ilvl w:val="0"/>
          <w:numId w:val="3"/>
        </w:numPr>
        <w:spacing w:after="60" w:line="276"/>
      </w:pPr>
      <w:r>
        <w:rPr>
          <w:sz w:val="22"/>
          <w:szCs w:val="22"/>
        </w:rPr>
        <w:t xml:space="preserve">Data augmentation. Random horizontal flips, small rotations, zooms, and contrast changes are applied on-the-fly during training only, to improve generalisation.</w:t>
      </w:r>
    </w:p>
    <w:p>
      <w:pPr>
        <w:pStyle w:val="ListParagraph"/>
        <w:numPr>
          <w:ilvl w:val="0"/>
          <w:numId w:val="3"/>
        </w:numPr>
        <w:spacing w:after="60" w:line="276"/>
      </w:pPr>
      <w:r>
        <w:rPr>
          <w:sz w:val="22"/>
          <w:szCs w:val="22"/>
        </w:rPr>
        <w:t xml:space="preserve">Class-weight handling. Balanced class weights (inverse frequency) are computed from the training distribution and passed to the loss function, so the smaller Earthquake class is not under-represented in gradient updates.</w:t>
      </w:r>
    </w:p>
    <w:p>
      <w:pPr>
        <w:pStyle w:val="ListParagraph"/>
        <w:numPr>
          <w:ilvl w:val="0"/>
          <w:numId w:val="3"/>
        </w:numPr>
        <w:spacing w:after="60" w:line="276"/>
      </w:pPr>
      <w:r>
        <w:rPr>
          <w:sz w:val="22"/>
          <w:szCs w:val="22"/>
        </w:rPr>
        <w:t xml:space="preserve">Model development. A custom CNN is trained from scratch, and a transfer-learning model based on MobileNetV2 (frozen ImageNet backbone with a new classification head) is trained for comparison.</w:t>
      </w:r>
    </w:p>
    <w:p>
      <w:pPr>
        <w:pStyle w:val="ListParagraph"/>
        <w:numPr>
          <w:ilvl w:val="0"/>
          <w:numId w:val="3"/>
        </w:numPr>
        <w:spacing w:after="60" w:line="276"/>
      </w:pPr>
      <w:r>
        <w:rPr>
          <w:sz w:val="22"/>
          <w:szCs w:val="22"/>
        </w:rPr>
        <w:t xml:space="preserve">Training control. Both models use early stopping on validation loss, learning-rate reduction on plateau, and best-weight checkpointing on validation loss — validation loss (not accuracy) is monitored, so training decisions remain sensible if imbalance briefly skews accuracy.</w:t>
      </w:r>
    </w:p>
    <w:p>
      <w:pPr>
        <w:pStyle w:val="ListParagraph"/>
        <w:numPr>
          <w:ilvl w:val="0"/>
          <w:numId w:val="3"/>
        </w:numPr>
        <w:spacing w:after="60" w:line="276"/>
      </w:pPr>
      <w:r>
        <w:rPr>
          <w:sz w:val="22"/>
          <w:szCs w:val="22"/>
        </w:rPr>
        <w:t xml:space="preserve">Evaluation. Both models are evaluated on the held-out test set using imbalance-aware metrics, confusion matrices, per-class metric charts, Grad-CAM interpretability, and an error-analysis grid of misclassified images.</w:t>
      </w:r>
    </w:p>
    <w:p>
      <w:pPr>
        <w:pStyle w:val="Heading1"/>
        <w:spacing w:after="120" w:before="280"/>
      </w:pPr>
      <w:r>
        <w:rPr>
          <w:b/>
          <w:bCs/>
          <w:color w:val="1F4E79"/>
          <w:sz w:val="28"/>
          <w:szCs w:val="28"/>
        </w:rPr>
        <w:t xml:space="preserve">9. CNN Model Design (Custom Network)</w:t>
      </w:r>
    </w:p>
    <w:p>
      <w:pPr>
        <w:spacing w:after="120" w:line="276"/>
        <w:jc w:val="both"/>
      </w:pPr>
      <w:r>
        <w:rPr>
          <w:sz w:val="22"/>
          <w:szCs w:val="22"/>
        </w:rPr>
        <w:t xml:space="preserve">The custom CNN is a sequential network that begins with the on-the-fly data-augmentation layer, followed by four convolutional blocks of increasing depth, a global-pooling stage, and a small fully-connected classifier head:</w:t>
      </w:r>
    </w:p>
    <w:p>
      <w:pPr>
        <w:pStyle w:val="ListParagraph"/>
        <w:numPr>
          <w:ilvl w:val="0"/>
          <w:numId w:val="4"/>
        </w:numPr>
        <w:spacing w:after="60" w:line="276"/>
      </w:pPr>
      <w:r>
        <w:rPr>
          <w:sz w:val="22"/>
          <w:szCs w:val="22"/>
        </w:rPr>
        <w:t xml:space="preserve">Input: 224 × 224 × 3 RGB image.</w:t>
      </w:r>
    </w:p>
    <w:p>
      <w:pPr>
        <w:pStyle w:val="ListParagraph"/>
        <w:numPr>
          <w:ilvl w:val="0"/>
          <w:numId w:val="4"/>
        </w:numPr>
        <w:spacing w:after="60" w:line="276"/>
      </w:pPr>
      <w:r>
        <w:rPr>
          <w:sz w:val="22"/>
          <w:szCs w:val="22"/>
        </w:rPr>
        <w:t xml:space="preserve">Four convolutional blocks — Conv2D layers with 32, 64, 128, and 256 filters respectively (3 × 3 kernels, ReLU activation, same padding), each followed by 2 × 2 max pooling.</w:t>
      </w:r>
    </w:p>
    <w:p>
      <w:pPr>
        <w:pStyle w:val="ListParagraph"/>
        <w:numPr>
          <w:ilvl w:val="0"/>
          <w:numId w:val="4"/>
        </w:numPr>
        <w:spacing w:after="60" w:line="276"/>
      </w:pPr>
      <w:r>
        <w:rPr>
          <w:sz w:val="22"/>
          <w:szCs w:val="22"/>
        </w:rPr>
        <w:t xml:space="preserve">Global Average Pooling to summarise each feature map into a single value and limit overfitting.</w:t>
      </w:r>
    </w:p>
    <w:p>
      <w:pPr>
        <w:pStyle w:val="ListParagraph"/>
        <w:numPr>
          <w:ilvl w:val="0"/>
          <w:numId w:val="4"/>
        </w:numPr>
        <w:spacing w:after="60" w:line="276"/>
      </w:pPr>
      <w:r>
        <w:rPr>
          <w:sz w:val="22"/>
          <w:szCs w:val="22"/>
        </w:rPr>
        <w:t xml:space="preserve">Dense layer with 128 units (ReLU), followed by Dropout at rate 0.5 for regularisation.</w:t>
      </w:r>
    </w:p>
    <w:p>
      <w:pPr>
        <w:pStyle w:val="ListParagraph"/>
        <w:numPr>
          <w:ilvl w:val="0"/>
          <w:numId w:val="4"/>
        </w:numPr>
        <w:spacing w:after="60" w:line="276"/>
      </w:pPr>
      <w:r>
        <w:rPr>
          <w:sz w:val="22"/>
          <w:szCs w:val="22"/>
        </w:rPr>
        <w:t xml:space="preserve">Output: Dense layer with 4 units and softmax activation for the four-class prediction.</w:t>
      </w:r>
    </w:p>
    <w:p>
      <w:pPr>
        <w:spacing w:after="120" w:line="276"/>
        <w:jc w:val="both"/>
      </w:pPr>
      <w:r>
        <w:rPr>
          <w:b/>
          <w:bCs/>
          <w:sz w:val="22"/>
          <w:szCs w:val="22"/>
        </w:rPr>
        <w:t xml:space="preserve">Training configuration: </w:t>
      </w:r>
      <w:r>
        <w:rPr>
          <w:sz w:val="22"/>
          <w:szCs w:val="22"/>
        </w:rPr>
        <w:t xml:space="preserve">Adam optimiser (learning rate 1e-3), categorical cross-entropy loss, batch size 32, up to 12 epochs, with balanced class weights, early stopping (patience 4), learning-rate reduction on plateau, and best-weight checkpointing on validation loss.</w:t>
      </w:r>
    </w:p>
    <w:p>
      <w:pPr>
        <w:pStyle w:val="Heading1"/>
        <w:spacing w:after="120" w:before="280"/>
      </w:pPr>
      <w:r>
        <w:rPr>
          <w:b/>
          <w:bCs/>
          <w:color w:val="1F4E79"/>
          <w:sz w:val="28"/>
          <w:szCs w:val="28"/>
        </w:rPr>
        <w:t xml:space="preserve">10. Transfer-Learning Model (MobileNetV2)</w:t>
      </w:r>
    </w:p>
    <w:p>
      <w:pPr>
        <w:spacing w:after="120" w:line="276"/>
        <w:jc w:val="both"/>
      </w:pPr>
      <w:r>
        <w:rPr>
          <w:sz w:val="22"/>
          <w:szCs w:val="22"/>
        </w:rPr>
        <w:t xml:space="preserve">MobileNetV2 pretrained on ImageNet is used as a feature-extraction backbone with its top classification layers removed. The backbone is followed by MobileNetV2's own input preprocessing (rescaling the [0, 1] pipeline outputs into the [-1, 1] range the backbone expects), a Global Average Pooling layer, a Dropout layer (rate 0.4), and a Dense softmax output layer for the four classes.</w:t>
      </w:r>
    </w:p>
    <w:p>
      <w:pPr>
        <w:spacing w:after="120" w:line="276"/>
        <w:jc w:val="both"/>
      </w:pPr>
      <w:r>
        <w:rPr>
          <w:sz w:val="22"/>
          <w:szCs w:val="22"/>
        </w:rPr>
        <w:t xml:space="preserve">The backbone is kept frozen throughout training; only the new classification head is updated. This choice is deliberate: on a moderately-sized dataset such as AIDERv2 (with roughly 13,000 training images), a frozen backbone provides strong general features and reduces the risk of overfitting compared with full fine-tuning.</w:t>
      </w:r>
    </w:p>
    <w:p>
      <w:pPr>
        <w:spacing w:after="120" w:line="276"/>
        <w:jc w:val="both"/>
      </w:pPr>
      <w:r>
        <w:rPr>
          <w:b/>
          <w:bCs/>
          <w:sz w:val="22"/>
          <w:szCs w:val="22"/>
        </w:rPr>
        <w:t xml:space="preserve">Training configuration: </w:t>
      </w:r>
      <w:r>
        <w:rPr>
          <w:sz w:val="22"/>
          <w:szCs w:val="22"/>
        </w:rPr>
        <w:t xml:space="preserve">Adam optimiser (learning rate 1e-4), categorical cross-entropy loss, batch size 32, up to 12 epochs, with the same callbacks and class-weight configuration used for the custom CNN.</w:t>
      </w:r>
    </w:p>
    <w:p>
      <w:pPr>
        <w:pStyle w:val="Heading1"/>
        <w:spacing w:after="120" w:before="280"/>
      </w:pPr>
      <w:r>
        <w:rPr>
          <w:b/>
          <w:bCs/>
          <w:color w:val="1F4E79"/>
          <w:sz w:val="28"/>
          <w:szCs w:val="28"/>
        </w:rPr>
        <w:t xml:space="preserve">11. Evaluation Metrics</w:t>
      </w:r>
    </w:p>
    <w:p>
      <w:pPr>
        <w:spacing w:after="120" w:line="276"/>
        <w:jc w:val="both"/>
      </w:pPr>
      <w:r>
        <w:rPr>
          <w:sz w:val="22"/>
          <w:szCs w:val="22"/>
        </w:rPr>
        <w:t xml:space="preserve">Model quality is judged on the following complementary metrics, chosen to expose per-class behaviour rather than only overall performance:</w:t>
      </w:r>
    </w:p>
    <w:p>
      <w:pPr>
        <w:pStyle w:val="ListParagraph"/>
        <w:numPr>
          <w:ilvl w:val="0"/>
          <w:numId w:val="4"/>
        </w:numPr>
        <w:spacing w:after="60" w:line="276"/>
      </w:pPr>
      <w:r>
        <w:rPr>
          <w:sz w:val="22"/>
          <w:szCs w:val="22"/>
        </w:rPr>
        <w:t xml:space="preserve">Overall accuracy — reported for reference on the held-out test set.</w:t>
      </w:r>
    </w:p>
    <w:p>
      <w:pPr>
        <w:pStyle w:val="ListParagraph"/>
        <w:numPr>
          <w:ilvl w:val="0"/>
          <w:numId w:val="4"/>
        </w:numPr>
        <w:spacing w:after="60" w:line="276"/>
      </w:pPr>
      <w:r>
        <w:rPr>
          <w:sz w:val="22"/>
          <w:szCs w:val="22"/>
        </w:rPr>
        <w:t xml:space="preserve">Macro-averaged F1 — the unweighted mean of the per-class F1 scores; treats all four classes equally regardless of frequency.</w:t>
      </w:r>
    </w:p>
    <w:p>
      <w:pPr>
        <w:pStyle w:val="ListParagraph"/>
        <w:numPr>
          <w:ilvl w:val="0"/>
          <w:numId w:val="4"/>
        </w:numPr>
        <w:spacing w:after="60" w:line="276"/>
      </w:pPr>
      <w:r>
        <w:rPr>
          <w:sz w:val="22"/>
          <w:szCs w:val="22"/>
        </w:rPr>
        <w:t xml:space="preserve">Weighted-averaged F1 — the frequency-weighted mean of the per-class F1 scores, reflecting expected real-world performance under the observed class prior.</w:t>
      </w:r>
    </w:p>
    <w:p>
      <w:pPr>
        <w:pStyle w:val="ListParagraph"/>
        <w:numPr>
          <w:ilvl w:val="0"/>
          <w:numId w:val="4"/>
        </w:numPr>
        <w:spacing w:after="60" w:line="276"/>
      </w:pPr>
      <w:r>
        <w:rPr>
          <w:sz w:val="22"/>
          <w:szCs w:val="22"/>
        </w:rPr>
        <w:t xml:space="preserve">Per-class precision, recall, and F1 — reported for each of the four classes, so class-specific weaknesses become visible.</w:t>
      </w:r>
    </w:p>
    <w:p>
      <w:pPr>
        <w:pStyle w:val="ListParagraph"/>
        <w:numPr>
          <w:ilvl w:val="0"/>
          <w:numId w:val="4"/>
        </w:numPr>
        <w:spacing w:after="60" w:line="276"/>
      </w:pPr>
      <w:r>
        <w:rPr>
          <w:sz w:val="22"/>
          <w:szCs w:val="22"/>
        </w:rPr>
        <w:t xml:space="preserve">Confusion matrix — a full 4 × 4 view of which classes are confused with which.</w:t>
      </w:r>
    </w:p>
    <w:p>
      <w:pPr>
        <w:pStyle w:val="ListParagraph"/>
        <w:numPr>
          <w:ilvl w:val="0"/>
          <w:numId w:val="4"/>
        </w:numPr>
        <w:spacing w:after="60" w:line="276"/>
      </w:pPr>
      <w:r>
        <w:rPr>
          <w:sz w:val="22"/>
          <w:szCs w:val="22"/>
        </w:rPr>
        <w:t xml:space="preserve">Validation loss — monitored during training for early stopping, learning-rate scheduling, and checkpoint selection.</w:t>
      </w:r>
    </w:p>
    <w:p>
      <w:pPr>
        <w:pStyle w:val="Heading1"/>
        <w:spacing w:after="120" w:before="280"/>
      </w:pPr>
      <w:r>
        <w:rPr>
          <w:b/>
          <w:bCs/>
          <w:color w:val="1F4E79"/>
          <w:sz w:val="28"/>
          <w:szCs w:val="28"/>
        </w:rPr>
        <w:t xml:space="preserve">12. Expected Figures and Tables</w:t>
      </w:r>
    </w:p>
    <w:p>
      <w:pPr>
        <w:spacing w:after="120" w:line="276"/>
        <w:jc w:val="both"/>
      </w:pPr>
      <w:r>
        <w:rPr>
          <w:sz w:val="22"/>
          <w:szCs w:val="22"/>
        </w:rPr>
        <w:t xml:space="preserve">The implementation produces and saves the following figures and tables (all figures are exported as PDFs alongside the notebook):</w:t>
      </w:r>
    </w:p>
    <w:p>
      <w:pPr>
        <w:pStyle w:val="ListParagraph"/>
        <w:numPr>
          <w:ilvl w:val="0"/>
          <w:numId w:val="4"/>
        </w:numPr>
        <w:spacing w:after="60" w:line="276"/>
      </w:pPr>
      <w:r>
        <w:rPr>
          <w:sz w:val="22"/>
          <w:szCs w:val="22"/>
        </w:rPr>
        <w:t xml:space="preserve">Figure — Class-distribution bar chart of the training set.</w:t>
      </w:r>
    </w:p>
    <w:p>
      <w:pPr>
        <w:pStyle w:val="ListParagraph"/>
        <w:numPr>
          <w:ilvl w:val="0"/>
          <w:numId w:val="4"/>
        </w:numPr>
        <w:spacing w:after="60" w:line="276"/>
      </w:pPr>
      <w:r>
        <w:rPr>
          <w:sz w:val="22"/>
          <w:szCs w:val="22"/>
        </w:rPr>
        <w:t xml:space="preserve">Figure — Sample images from each of the four classes.</w:t>
      </w:r>
    </w:p>
    <w:p>
      <w:pPr>
        <w:pStyle w:val="ListParagraph"/>
        <w:numPr>
          <w:ilvl w:val="0"/>
          <w:numId w:val="4"/>
        </w:numPr>
        <w:spacing w:after="60" w:line="276"/>
      </w:pPr>
      <w:r>
        <w:rPr>
          <w:sz w:val="22"/>
          <w:szCs w:val="22"/>
        </w:rPr>
        <w:t xml:space="preserve">Figure — Training and validation accuracy curves for each model.</w:t>
      </w:r>
    </w:p>
    <w:p>
      <w:pPr>
        <w:pStyle w:val="ListParagraph"/>
        <w:numPr>
          <w:ilvl w:val="0"/>
          <w:numId w:val="4"/>
        </w:numPr>
        <w:spacing w:after="60" w:line="276"/>
      </w:pPr>
      <w:r>
        <w:rPr>
          <w:sz w:val="22"/>
          <w:szCs w:val="22"/>
        </w:rPr>
        <w:t xml:space="preserve">Figure — Training and validation loss curves for each model.</w:t>
      </w:r>
    </w:p>
    <w:p>
      <w:pPr>
        <w:pStyle w:val="ListParagraph"/>
        <w:numPr>
          <w:ilvl w:val="0"/>
          <w:numId w:val="4"/>
        </w:numPr>
        <w:spacing w:after="60" w:line="276"/>
      </w:pPr>
      <w:r>
        <w:rPr>
          <w:sz w:val="22"/>
          <w:szCs w:val="22"/>
        </w:rPr>
        <w:t xml:space="preserve">Figure — Confusion matrix for the custom CNN on the test set.</w:t>
      </w:r>
    </w:p>
    <w:p>
      <w:pPr>
        <w:pStyle w:val="ListParagraph"/>
        <w:numPr>
          <w:ilvl w:val="0"/>
          <w:numId w:val="4"/>
        </w:numPr>
        <w:spacing w:after="60" w:line="276"/>
      </w:pPr>
      <w:r>
        <w:rPr>
          <w:sz w:val="22"/>
          <w:szCs w:val="22"/>
        </w:rPr>
        <w:t xml:space="preserve">Figure — Confusion matrix for MobileNetV2 on the test set.</w:t>
      </w:r>
    </w:p>
    <w:p>
      <w:pPr>
        <w:pStyle w:val="ListParagraph"/>
        <w:numPr>
          <w:ilvl w:val="0"/>
          <w:numId w:val="4"/>
        </w:numPr>
        <w:spacing w:after="60" w:line="276"/>
      </w:pPr>
      <w:r>
        <w:rPr>
          <w:sz w:val="22"/>
          <w:szCs w:val="22"/>
        </w:rPr>
        <w:t xml:space="preserve">Figure — Per-class precision / recall / F1 bar chart for each model.</w:t>
      </w:r>
    </w:p>
    <w:p>
      <w:pPr>
        <w:pStyle w:val="ListParagraph"/>
        <w:numPr>
          <w:ilvl w:val="0"/>
          <w:numId w:val="4"/>
        </w:numPr>
        <w:spacing w:after="60" w:line="276"/>
      </w:pPr>
      <w:r>
        <w:rPr>
          <w:sz w:val="22"/>
          <w:szCs w:val="22"/>
        </w:rPr>
        <w:t xml:space="preserve">Figure — Grad-CAM visualisations for representative images of each class, using the custom CNN, showing which image regions drive the prediction.</w:t>
      </w:r>
    </w:p>
    <w:p>
      <w:pPr>
        <w:pStyle w:val="ListParagraph"/>
        <w:numPr>
          <w:ilvl w:val="0"/>
          <w:numId w:val="4"/>
        </w:numPr>
        <w:spacing w:after="60" w:line="276"/>
      </w:pPr>
      <w:r>
        <w:rPr>
          <w:sz w:val="22"/>
          <w:szCs w:val="22"/>
        </w:rPr>
        <w:t xml:space="preserve">Figure — Error-analysis grid of misclassified test images with true vs. predicted labels.</w:t>
      </w:r>
    </w:p>
    <w:p>
      <w:pPr>
        <w:pStyle w:val="ListParagraph"/>
        <w:numPr>
          <w:ilvl w:val="0"/>
          <w:numId w:val="4"/>
        </w:numPr>
        <w:spacing w:after="60" w:line="276"/>
      </w:pPr>
      <w:r>
        <w:rPr>
          <w:sz w:val="22"/>
          <w:szCs w:val="22"/>
        </w:rPr>
        <w:t xml:space="preserve">Figure — Model-comparison bar chart of test accuracy.</w:t>
      </w:r>
    </w:p>
    <w:p>
      <w:pPr>
        <w:pStyle w:val="ListParagraph"/>
        <w:numPr>
          <w:ilvl w:val="0"/>
          <w:numId w:val="4"/>
        </w:numPr>
        <w:spacing w:after="60" w:line="276"/>
      </w:pPr>
      <w:r>
        <w:rPr>
          <w:sz w:val="22"/>
          <w:szCs w:val="22"/>
        </w:rPr>
        <w:t xml:space="preserve">Table — Classification report (precision, recall, F1, support) for each model.</w:t>
      </w:r>
    </w:p>
    <w:p>
      <w:pPr>
        <w:pStyle w:val="ListParagraph"/>
        <w:numPr>
          <w:ilvl w:val="0"/>
          <w:numId w:val="4"/>
        </w:numPr>
        <w:spacing w:after="60" w:line="276"/>
      </w:pPr>
      <w:r>
        <w:rPr>
          <w:sz w:val="22"/>
          <w:szCs w:val="22"/>
        </w:rPr>
        <w:t xml:space="preserve">Table — Model-comparison summary (test loss, test accuracy, macro-F1, weighted-F1).</w:t>
      </w:r>
    </w:p>
    <w:p>
      <w:r>
        <w:br w:type="page"/>
      </w:r>
    </w:p>
    <w:p>
      <w:pPr>
        <w:pStyle w:val="Heading1"/>
        <w:spacing w:after="120" w:before="280"/>
      </w:pPr>
      <w:r>
        <w:rPr>
          <w:b/>
          <w:bCs/>
          <w:color w:val="1F4E79"/>
          <w:sz w:val="28"/>
          <w:szCs w:val="28"/>
        </w:rPr>
        <w:t xml:space="preserve">Appendix A — Achieved Results</w:t>
      </w:r>
    </w:p>
    <w:p>
      <w:pPr>
        <w:spacing w:after="120" w:line="276"/>
        <w:jc w:val="both"/>
      </w:pPr>
      <w:r>
        <w:rPr>
          <w:sz w:val="22"/>
          <w:szCs w:val="22"/>
        </w:rPr>
        <w:t xml:space="preserve">The following results were obtained from the completed implementation on the held-out test set (1,654 images: Flood 502, Normal 477, Fire 436, Earthquake 239). Both models trained cleanly with no divergence between training and validation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400"/>
      </w:tblGrid>
      <w:tr>
        <w:trPr>
          <w:tblHeader/>
        </w:trPr>
        <w:tc>
          <w:tcPr>
            <w:tcW w:type="dxa" w:w="3400"/>
            <w:shd w:fill="1F4E79" w:color="auto" w:val="clear"/>
            <w:tcMar>
              <w:top w:type="dxa" w:w="60"/>
              <w:left w:type="dxa" w:w="100"/>
              <w:bottom w:type="dxa" w:w="60"/>
              <w:right w:type="dxa" w:w="100"/>
            </w:tcMar>
          </w:tcPr>
          <w:p>
            <w:pPr>
              <w:jc w:val="center"/>
            </w:pPr>
            <w:r>
              <w:rPr>
                <w:b/>
                <w:bCs/>
                <w:color w:val="FFFFFF"/>
                <w:sz w:val="20"/>
                <w:szCs w:val="20"/>
              </w:rPr>
              <w:t xml:space="preserve">Model</w:t>
            </w:r>
          </w:p>
        </w:tc>
        <w:tc>
          <w:tcPr>
            <w:tcW w:type="dxa" w:w="1400"/>
            <w:shd w:fill="1F4E79" w:color="auto" w:val="clear"/>
            <w:tcMar>
              <w:top w:type="dxa" w:w="60"/>
              <w:left w:type="dxa" w:w="100"/>
              <w:bottom w:type="dxa" w:w="60"/>
              <w:right w:type="dxa" w:w="100"/>
            </w:tcMar>
          </w:tcPr>
          <w:p>
            <w:pPr>
              <w:jc w:val="center"/>
            </w:pPr>
            <w:r>
              <w:rPr>
                <w:b/>
                <w:bCs/>
                <w:color w:val="FFFFFF"/>
                <w:sz w:val="20"/>
                <w:szCs w:val="20"/>
              </w:rPr>
              <w:t xml:space="preserve">Test Acc.</w:t>
            </w:r>
          </w:p>
        </w:tc>
        <w:tc>
          <w:tcPr>
            <w:tcW w:type="dxa" w:w="1400"/>
            <w:shd w:fill="1F4E79" w:color="auto" w:val="clear"/>
            <w:tcMar>
              <w:top w:type="dxa" w:w="60"/>
              <w:left w:type="dxa" w:w="100"/>
              <w:bottom w:type="dxa" w:w="60"/>
              <w:right w:type="dxa" w:w="100"/>
            </w:tcMar>
          </w:tcPr>
          <w:p>
            <w:pPr>
              <w:jc w:val="center"/>
            </w:pPr>
            <w:r>
              <w:rPr>
                <w:b/>
                <w:bCs/>
                <w:color w:val="FFFFFF"/>
                <w:sz w:val="20"/>
                <w:szCs w:val="20"/>
              </w:rPr>
              <w:t xml:space="preserve">Macro F1</w:t>
            </w:r>
          </w:p>
        </w:tc>
        <w:tc>
          <w:tcPr>
            <w:tcW w:type="dxa" w:w="1400"/>
            <w:shd w:fill="1F4E79" w:color="auto" w:val="clear"/>
            <w:tcMar>
              <w:top w:type="dxa" w:w="60"/>
              <w:left w:type="dxa" w:w="100"/>
              <w:bottom w:type="dxa" w:w="60"/>
              <w:right w:type="dxa" w:w="100"/>
            </w:tcMar>
          </w:tcPr>
          <w:p>
            <w:pPr>
              <w:jc w:val="center"/>
            </w:pPr>
            <w:r>
              <w:rPr>
                <w:b/>
                <w:bCs/>
                <w:color w:val="FFFFFF"/>
                <w:sz w:val="20"/>
                <w:szCs w:val="20"/>
              </w:rPr>
              <w:t xml:space="preserve">Weighted F1</w:t>
            </w:r>
          </w:p>
        </w:tc>
        <w:tc>
          <w:tcPr>
            <w:tcW w:type="dxa" w:w="1400"/>
            <w:shd w:fill="1F4E79" w:color="auto" w:val="clear"/>
            <w:tcMar>
              <w:top w:type="dxa" w:w="60"/>
              <w:left w:type="dxa" w:w="100"/>
              <w:bottom w:type="dxa" w:w="60"/>
              <w:right w:type="dxa" w:w="100"/>
            </w:tcMar>
          </w:tcPr>
          <w:p>
            <w:pPr>
              <w:jc w:val="center"/>
            </w:pPr>
            <w:r>
              <w:rPr>
                <w:b/>
                <w:bCs/>
                <w:color w:val="FFFFFF"/>
                <w:sz w:val="20"/>
                <w:szCs w:val="20"/>
              </w:rPr>
              <w:t xml:space="preserve">Test Loss</w:t>
            </w:r>
          </w:p>
        </w:tc>
      </w:tr>
      <w:tr>
        <w:tc>
          <w:tcPr>
            <w:tcW w:type="dxa" w:w="3400"/>
            <w:shd w:fill="FFFFFF" w:color="auto" w:val="clear"/>
            <w:tcMar>
              <w:top w:type="dxa" w:w="60"/>
              <w:left w:type="dxa" w:w="100"/>
              <w:bottom w:type="dxa" w:w="60"/>
              <w:right w:type="dxa" w:w="100"/>
            </w:tcMar>
          </w:tcPr>
          <w:p>
            <w:pPr>
              <w:jc w:val="left"/>
            </w:pPr>
            <w:r>
              <w:rPr>
                <w:b/>
                <w:bCs/>
                <w:color w:val="000000"/>
                <w:sz w:val="20"/>
                <w:szCs w:val="20"/>
              </w:rPr>
              <w:t xml:space="preserve">Custom CNN</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0.815</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0.807</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0.816</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0.508</w:t>
            </w:r>
          </w:p>
        </w:tc>
      </w:tr>
      <w:tr>
        <w:tc>
          <w:tcPr>
            <w:tcW w:type="dxa" w:w="3400"/>
            <w:shd w:fill="FFFFFF" w:color="auto" w:val="clear"/>
            <w:tcMar>
              <w:top w:type="dxa" w:w="60"/>
              <w:left w:type="dxa" w:w="100"/>
              <w:bottom w:type="dxa" w:w="60"/>
              <w:right w:type="dxa" w:w="100"/>
            </w:tcMar>
          </w:tcPr>
          <w:p>
            <w:pPr>
              <w:jc w:val="left"/>
            </w:pPr>
            <w:r>
              <w:rPr>
                <w:b/>
                <w:bCs/>
                <w:color w:val="000000"/>
                <w:sz w:val="20"/>
                <w:szCs w:val="20"/>
              </w:rPr>
              <w:t xml:space="preserve">MobileNetV2 (transfer learning)</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0.883</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0.881</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0.879</w:t>
            </w:r>
          </w:p>
        </w:tc>
        <w:tc>
          <w:tcPr>
            <w:tcW w:type="dxa" w:w="1400"/>
            <w:shd w:fill="FFFFFF" w:color="auto" w:val="clear"/>
            <w:tcMar>
              <w:top w:type="dxa" w:w="60"/>
              <w:left w:type="dxa" w:w="100"/>
              <w:bottom w:type="dxa" w:w="60"/>
              <w:right w:type="dxa" w:w="100"/>
            </w:tcMar>
          </w:tcPr>
          <w:p>
            <w:pPr>
              <w:jc w:val="center"/>
            </w:pPr>
            <w:r>
              <w:rPr>
                <w:b w:val="false"/>
                <w:bCs w:val="false"/>
                <w:color w:val="000000"/>
                <w:sz w:val="20"/>
                <w:szCs w:val="20"/>
              </w:rPr>
              <w:t xml:space="preserve">0.324</w:t>
            </w:r>
          </w:p>
        </w:tc>
      </w:tr>
    </w:tbl>
    <w:p>
      <w:pPr>
        <w:spacing w:after="100"/>
      </w:pPr>
    </w:p>
    <w:p>
      <w:pPr>
        <w:spacing w:after="120" w:line="276"/>
        <w:jc w:val="both"/>
      </w:pPr>
      <w:r>
        <w:rPr>
          <w:sz w:val="22"/>
          <w:szCs w:val="22"/>
        </w:rPr>
        <w:t xml:space="preserve">Per-class recall on the test set (the operationally most important quantity):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600"/>
        <w:gridCol w:w="1600"/>
      </w:tblGrid>
      <w:tr>
        <w:trPr>
          <w:tblHeader/>
        </w:trPr>
        <w:tc>
          <w:tcPr>
            <w:tcW w:type="dxa" w:w="2500"/>
            <w:shd w:fill="1F4E79" w:color="auto" w:val="clear"/>
            <w:tcMar>
              <w:top w:type="dxa" w:w="60"/>
              <w:left w:type="dxa" w:w="100"/>
              <w:bottom w:type="dxa" w:w="60"/>
              <w:right w:type="dxa" w:w="100"/>
            </w:tcMar>
          </w:tcPr>
          <w:p>
            <w:pPr>
              <w:jc w:val="center"/>
            </w:pPr>
            <w:r>
              <w:rPr>
                <w:b/>
                <w:bCs/>
                <w:color w:val="FFFFFF"/>
                <w:sz w:val="20"/>
                <w:szCs w:val="20"/>
              </w:rPr>
              <w:t xml:space="preserve">Model</w:t>
            </w:r>
          </w:p>
        </w:tc>
        <w:tc>
          <w:tcPr>
            <w:tcW w:type="dxa" w:w="1600"/>
            <w:shd w:fill="1F4E79" w:color="auto" w:val="clear"/>
            <w:tcMar>
              <w:top w:type="dxa" w:w="60"/>
              <w:left w:type="dxa" w:w="100"/>
              <w:bottom w:type="dxa" w:w="60"/>
              <w:right w:type="dxa" w:w="100"/>
            </w:tcMar>
          </w:tcPr>
          <w:p>
            <w:pPr>
              <w:jc w:val="center"/>
            </w:pPr>
            <w:r>
              <w:rPr>
                <w:b/>
                <w:bCs/>
                <w:color w:val="FFFFFF"/>
                <w:sz w:val="20"/>
                <w:szCs w:val="20"/>
              </w:rPr>
              <w:t xml:space="preserve">Earthquake</w:t>
            </w:r>
          </w:p>
        </w:tc>
        <w:tc>
          <w:tcPr>
            <w:tcW w:type="dxa" w:w="1600"/>
            <w:shd w:fill="1F4E79" w:color="auto" w:val="clear"/>
            <w:tcMar>
              <w:top w:type="dxa" w:w="60"/>
              <w:left w:type="dxa" w:w="100"/>
              <w:bottom w:type="dxa" w:w="60"/>
              <w:right w:type="dxa" w:w="100"/>
            </w:tcMar>
          </w:tcPr>
          <w:p>
            <w:pPr>
              <w:jc w:val="center"/>
            </w:pPr>
            <w:r>
              <w:rPr>
                <w:b/>
                <w:bCs/>
                <w:color w:val="FFFFFF"/>
                <w:sz w:val="20"/>
                <w:szCs w:val="20"/>
              </w:rPr>
              <w:t xml:space="preserve">Fire</w:t>
            </w:r>
          </w:p>
        </w:tc>
        <w:tc>
          <w:tcPr>
            <w:tcW w:type="dxa" w:w="1600"/>
            <w:shd w:fill="1F4E79" w:color="auto" w:val="clear"/>
            <w:tcMar>
              <w:top w:type="dxa" w:w="60"/>
              <w:left w:type="dxa" w:w="100"/>
              <w:bottom w:type="dxa" w:w="60"/>
              <w:right w:type="dxa" w:w="100"/>
            </w:tcMar>
          </w:tcPr>
          <w:p>
            <w:pPr>
              <w:jc w:val="center"/>
            </w:pPr>
            <w:r>
              <w:rPr>
                <w:b/>
                <w:bCs/>
                <w:color w:val="FFFFFF"/>
                <w:sz w:val="20"/>
                <w:szCs w:val="20"/>
              </w:rPr>
              <w:t xml:space="preserve">Flood</w:t>
            </w:r>
          </w:p>
        </w:tc>
        <w:tc>
          <w:tcPr>
            <w:tcW w:type="dxa" w:w="1600"/>
            <w:shd w:fill="1F4E79" w:color="auto" w:val="clear"/>
            <w:tcMar>
              <w:top w:type="dxa" w:w="60"/>
              <w:left w:type="dxa" w:w="100"/>
              <w:bottom w:type="dxa" w:w="60"/>
              <w:right w:type="dxa" w:w="100"/>
            </w:tcMar>
          </w:tcPr>
          <w:p>
            <w:pPr>
              <w:jc w:val="center"/>
            </w:pPr>
            <w:r>
              <w:rPr>
                <w:b/>
                <w:bCs/>
                <w:color w:val="FFFFFF"/>
                <w:sz w:val="20"/>
                <w:szCs w:val="20"/>
              </w:rPr>
              <w:t xml:space="preserve">Normal</w:t>
            </w:r>
          </w:p>
        </w:tc>
      </w:tr>
      <w:tr>
        <w:tc>
          <w:tcPr>
            <w:tcW w:type="dxa" w:w="2500"/>
            <w:shd w:fill="FFFFFF" w:color="auto" w:val="clear"/>
            <w:tcMar>
              <w:top w:type="dxa" w:w="60"/>
              <w:left w:type="dxa" w:w="100"/>
              <w:bottom w:type="dxa" w:w="60"/>
              <w:right w:type="dxa" w:w="100"/>
            </w:tcMar>
          </w:tcPr>
          <w:p>
            <w:pPr>
              <w:jc w:val="left"/>
            </w:pPr>
            <w:r>
              <w:rPr>
                <w:b/>
                <w:bCs/>
                <w:color w:val="000000"/>
                <w:sz w:val="20"/>
                <w:szCs w:val="20"/>
              </w:rPr>
              <w:t xml:space="preserve">Custom CNN</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0.95</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0.91</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0.83</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0.65</w:t>
            </w:r>
          </w:p>
        </w:tc>
      </w:tr>
      <w:tr>
        <w:tc>
          <w:tcPr>
            <w:tcW w:type="dxa" w:w="2500"/>
            <w:shd w:fill="FFFFFF" w:color="auto" w:val="clear"/>
            <w:tcMar>
              <w:top w:type="dxa" w:w="60"/>
              <w:left w:type="dxa" w:w="100"/>
              <w:bottom w:type="dxa" w:w="60"/>
              <w:right w:type="dxa" w:w="100"/>
            </w:tcMar>
          </w:tcPr>
          <w:p>
            <w:pPr>
              <w:jc w:val="left"/>
            </w:pPr>
            <w:r>
              <w:rPr>
                <w:b/>
                <w:bCs/>
                <w:color w:val="000000"/>
                <w:sz w:val="20"/>
                <w:szCs w:val="20"/>
              </w:rPr>
              <w:t xml:space="preserve">MobileNetV2</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0.91</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0.97</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0.96</w:t>
            </w:r>
          </w:p>
        </w:tc>
        <w:tc>
          <w:tcPr>
            <w:tcW w:type="dxa" w:w="1600"/>
            <w:shd w:fill="FFFFFF" w:color="auto" w:val="clear"/>
            <w:tcMar>
              <w:top w:type="dxa" w:w="60"/>
              <w:left w:type="dxa" w:w="100"/>
              <w:bottom w:type="dxa" w:w="60"/>
              <w:right w:type="dxa" w:w="100"/>
            </w:tcMar>
          </w:tcPr>
          <w:p>
            <w:pPr>
              <w:jc w:val="center"/>
            </w:pPr>
            <w:r>
              <w:rPr>
                <w:b w:val="false"/>
                <w:bCs w:val="false"/>
                <w:color w:val="000000"/>
                <w:sz w:val="20"/>
                <w:szCs w:val="20"/>
              </w:rPr>
              <w:t xml:space="preserve">0.70</w:t>
            </w:r>
          </w:p>
        </w:tc>
      </w:tr>
    </w:tbl>
    <w:p>
      <w:pPr>
        <w:spacing w:after="100"/>
      </w:pPr>
    </w:p>
    <w:p>
      <w:pPr>
        <w:spacing w:after="120" w:line="276"/>
        <w:jc w:val="both"/>
      </w:pPr>
      <w:r>
        <w:rPr>
          <w:b/>
          <w:bCs/>
          <w:sz w:val="22"/>
          <w:szCs w:val="22"/>
        </w:rPr>
        <w:t xml:space="preserve">Interpretation. </w:t>
      </w:r>
      <w:r>
        <w:rPr>
          <w:sz w:val="22"/>
          <w:szCs w:val="22"/>
        </w:rPr>
        <w:t xml:space="preserve">MobileNetV2 outperforms the custom CNN by roughly 7 accuracy points and 7 macro-F1 points, confirming the value of transfer learning on this task (RQ2). Both models handle the visually distinctive disaster classes (Fire, Flood) very well, and both correctly identify the smaller Earthquake class thanks to class weighting (RQ1). The dominant per-class failure for both models is the Normal class, with recall of 0.65 (custom CNN) and 0.70 (MobileNetV2) — that is, roughly one third of ordinary aerial scenes are mistaken for some type of disaster (RQ3). Since a false alarm is generally less costly than a missed disaster in an emergency-response setting, this directional bias is arguably safer than the opposite failure mode, but it remains the clearest area for future improvement (RQ5).</w:t>
      </w:r>
    </w:p>
    <w:p>
      <w:pPr>
        <w:spacing w:after="120" w:line="276"/>
        <w:jc w:val="both"/>
      </w:pPr>
      <w:r>
        <w:rPr>
          <w:i/>
          <w:iCs/>
          <w:color w:val="555555"/>
          <w:sz w:val="20"/>
          <w:szCs w:val="20"/>
        </w:rPr>
        <w:t xml:space="preserve">Grad-CAM visualisations (produced for the custom CNN) confirm that predictions are driven by disaster-relevant regions of the image, addressing RQ4.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2026-07-03T11:48:29.420Z</dcterms:created>
  <dcterms:modified xsi:type="dcterms:W3CDTF">2026-07-03T11:48:29.435Z</dcterms:modified>
</cp:coreProperties>
</file>

<file path=docProps/custom.xml><?xml version="1.0" encoding="utf-8"?>
<Properties xmlns="http://schemas.openxmlformats.org/officeDocument/2006/custom-properties" xmlns:vt="http://schemas.openxmlformats.org/officeDocument/2006/docPropsVTypes"/>
</file>