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Arial" w:cs="Arial" w:eastAsia="Arial" w:hAnsi="Arial"/>
          <w:b/>
          <w:bCs/>
          <w:color w:val="1F3864"/>
          <w:sz w:val="40"/>
          <w:szCs w:val="40"/>
        </w:rPr>
        <w:t xml:space="preserve">BANK LOAN REPORT</w:t>
      </w:r>
    </w:p>
    <w:p>
      <w:pPr>
        <w:spacing w:after="480" w:before="0"/>
        <w:jc w:val="center"/>
      </w:pPr>
      <w:r>
        <w:rPr>
          <w:rFonts w:ascii="Arial" w:cs="Arial" w:eastAsia="Arial" w:hAnsi="Arial"/>
          <w:b/>
          <w:bCs/>
          <w:color w:val="2E5FA3"/>
          <w:sz w:val="28"/>
          <w:szCs w:val="28"/>
        </w:rPr>
        <w:t xml:space="preserve">Problem Statement</w:t>
      </w:r>
    </w:p>
    <w:p>
      <w:pPr>
        <w:pStyle w:val="Heading1"/>
        <w:spacing w:after="160" w:before="320"/>
      </w:pPr>
      <w:r>
        <w:rPr>
          <w:rFonts w:ascii="Arial" w:cs="Arial" w:eastAsia="Arial" w:hAnsi="Arial"/>
          <w:b/>
          <w:bCs/>
          <w:sz w:val="32"/>
          <w:szCs w:val="32"/>
        </w:rPr>
        <w:t xml:space="preserve">Dashboard 1: Summary</w:t>
      </w:r>
    </w:p>
    <w:p>
      <w:pPr>
        <w:spacing w:after="80" w:before="80"/>
      </w:pPr>
      <w:r>
        <w:rPr>
          <w:rFonts w:ascii="Arial" w:cs="Arial" w:eastAsia="Arial" w:hAnsi="Arial"/>
          <w:sz w:val="22"/>
          <w:szCs w:val="22"/>
        </w:rPr>
        <w:t xml:space="preserve">In order to monitor and assess the bank's lending activities and performance, a comprehensive Bank Loan Report is required. This report aims to provide insights into key loan-related metrics and their changes over time. The report will help make data-driven decisions, track the loan portfolio's health, and identify trends that can inform lending strategies.</w:t>
      </w:r>
    </w:p>
    <w:p>
      <w:r>
        <w:t xml:space="preserve"/>
      </w:r>
    </w:p>
    <w:p>
      <w:pPr>
        <w:pStyle w:val="Heading2"/>
        <w:spacing w:after="120" w:before="240"/>
      </w:pPr>
      <w:r>
        <w:rPr>
          <w:rFonts w:ascii="Arial" w:cs="Arial" w:eastAsia="Arial" w:hAnsi="Arial"/>
          <w:b/>
          <w:bCs/>
          <w:sz w:val="26"/>
          <w:szCs w:val="26"/>
        </w:rPr>
        <w:t xml:space="preserve">Key Performance Indicators (KPIs)</w:t>
      </w:r>
    </w:p>
    <w:p>
      <w:r>
        <w:t xml:space="preserve"/>
      </w:r>
    </w:p>
    <w:p>
      <w:pPr>
        <w:spacing w:after="100" w:before="200"/>
      </w:pPr>
      <w:r>
        <w:rPr>
          <w:rFonts w:ascii="Arial" w:cs="Arial" w:eastAsia="Arial" w:hAnsi="Arial"/>
          <w:b/>
          <w:bCs/>
          <w:sz w:val="24"/>
          <w:szCs w:val="24"/>
        </w:rPr>
        <w:t xml:space="preserve">Total Loan Applications</w:t>
      </w:r>
    </w:p>
    <w:p>
      <w:pPr>
        <w:spacing w:after="80" w:before="80"/>
      </w:pPr>
      <w:r>
        <w:rPr>
          <w:rFonts w:ascii="Arial" w:cs="Arial" w:eastAsia="Arial" w:hAnsi="Arial"/>
          <w:sz w:val="22"/>
          <w:szCs w:val="22"/>
        </w:rPr>
        <w:t xml:space="preserve">Calculate the total number of loan applications received during a specified period. Monitor Month-to-Date (MTD) Loan Applications and track Month-over-Month (MoM) changes.</w:t>
      </w:r>
    </w:p>
    <w:p>
      <w:r>
        <w:t xml:space="preserve"/>
      </w:r>
    </w:p>
    <w:p>
      <w:pPr>
        <w:spacing w:after="100" w:before="200"/>
      </w:pPr>
      <w:r>
        <w:rPr>
          <w:rFonts w:ascii="Arial" w:cs="Arial" w:eastAsia="Arial" w:hAnsi="Arial"/>
          <w:b/>
          <w:bCs/>
          <w:sz w:val="24"/>
          <w:szCs w:val="24"/>
        </w:rPr>
        <w:t xml:space="preserve">Total Funded Amount</w:t>
      </w:r>
    </w:p>
    <w:p>
      <w:pPr>
        <w:spacing w:after="80" w:before="80"/>
      </w:pPr>
      <w:r>
        <w:rPr>
          <w:rFonts w:ascii="Arial" w:cs="Arial" w:eastAsia="Arial" w:hAnsi="Arial"/>
          <w:sz w:val="22"/>
          <w:szCs w:val="22"/>
        </w:rPr>
        <w:t xml:space="preserve">Understand the total amount of funds disbursed as loans. Monitor MTD Total Funded Amount and analyse Month-over-Month (MoM) changes in this metric.</w:t>
      </w:r>
    </w:p>
    <w:p>
      <w:r>
        <w:t xml:space="preserve"/>
      </w:r>
    </w:p>
    <w:p>
      <w:pPr>
        <w:spacing w:after="100" w:before="200"/>
      </w:pPr>
      <w:r>
        <w:rPr>
          <w:rFonts w:ascii="Arial" w:cs="Arial" w:eastAsia="Arial" w:hAnsi="Arial"/>
          <w:b/>
          <w:bCs/>
          <w:sz w:val="24"/>
          <w:szCs w:val="24"/>
        </w:rPr>
        <w:t xml:space="preserve">Total Amount Received</w:t>
      </w:r>
    </w:p>
    <w:p>
      <w:pPr>
        <w:spacing w:after="80" w:before="80"/>
      </w:pPr>
      <w:r>
        <w:rPr>
          <w:rFonts w:ascii="Arial" w:cs="Arial" w:eastAsia="Arial" w:hAnsi="Arial"/>
          <w:sz w:val="22"/>
          <w:szCs w:val="22"/>
        </w:rPr>
        <w:t xml:space="preserve">Track the total amount received from borrowers to assess the bank's cash flow and loan repayment. Analyse the MTD Total Amount Received and observe Month-over-Month (MoM) changes.</w:t>
      </w:r>
    </w:p>
    <w:p>
      <w:r>
        <w:t xml:space="preserve"/>
      </w:r>
    </w:p>
    <w:p>
      <w:pPr>
        <w:spacing w:after="100" w:before="200"/>
      </w:pPr>
      <w:r>
        <w:rPr>
          <w:rFonts w:ascii="Arial" w:cs="Arial" w:eastAsia="Arial" w:hAnsi="Arial"/>
          <w:b/>
          <w:bCs/>
          <w:sz w:val="24"/>
          <w:szCs w:val="24"/>
        </w:rPr>
        <w:t xml:space="preserve">Average Interest Rate</w:t>
      </w:r>
    </w:p>
    <w:p>
      <w:pPr>
        <w:spacing w:after="80" w:before="80"/>
      </w:pPr>
      <w:r>
        <w:rPr>
          <w:rFonts w:ascii="Arial" w:cs="Arial" w:eastAsia="Arial" w:hAnsi="Arial"/>
          <w:sz w:val="22"/>
          <w:szCs w:val="22"/>
        </w:rPr>
        <w:t xml:space="preserve">Calculate the average interest rate across all loans, MTD, and monitor Month-over-Month (MoM) variations in interest rates to understand the overall cost of the lending portfolio.</w:t>
      </w:r>
    </w:p>
    <w:p>
      <w:r>
        <w:t xml:space="preserve"/>
      </w:r>
    </w:p>
    <w:p>
      <w:pPr>
        <w:spacing w:after="100" w:before="200"/>
      </w:pPr>
      <w:r>
        <w:rPr>
          <w:rFonts w:ascii="Arial" w:cs="Arial" w:eastAsia="Arial" w:hAnsi="Arial"/>
          <w:b/>
          <w:bCs/>
          <w:sz w:val="24"/>
          <w:szCs w:val="24"/>
        </w:rPr>
        <w:t xml:space="preserve">Average Debt-to-Income Ratio (DTI)</w:t>
      </w:r>
    </w:p>
    <w:p>
      <w:pPr>
        <w:spacing w:after="80" w:before="80"/>
      </w:pPr>
      <w:r>
        <w:rPr>
          <w:rFonts w:ascii="Arial" w:cs="Arial" w:eastAsia="Arial" w:hAnsi="Arial"/>
          <w:sz w:val="22"/>
          <w:szCs w:val="22"/>
        </w:rPr>
        <w:t xml:space="preserve">Evaluate the average DTI for borrowers to gauge their financial health. Compute the average DTI for all loans, MTD, and track Month-over-Month (MoM) fluctuations.</w:t>
      </w:r>
    </w:p>
    <w:p>
      <w:r>
        <w:t xml:space="preserve"/>
      </w:r>
    </w:p>
    <w:p>
      <w:pPr>
        <w:pStyle w:val="Heading2"/>
        <w:spacing w:after="120" w:before="240"/>
      </w:pPr>
      <w:r>
        <w:rPr>
          <w:rFonts w:ascii="Arial" w:cs="Arial" w:eastAsia="Arial" w:hAnsi="Arial"/>
          <w:b/>
          <w:bCs/>
          <w:sz w:val="26"/>
          <w:szCs w:val="26"/>
        </w:rPr>
        <w:t xml:space="preserve">Good Loan vs Bad Loan KPIs</w:t>
      </w:r>
    </w:p>
    <w:p>
      <w:pPr>
        <w:spacing w:after="80" w:before="80"/>
      </w:pPr>
      <w:r>
        <w:rPr>
          <w:rFonts w:ascii="Arial" w:cs="Arial" w:eastAsia="Arial" w:hAnsi="Arial"/>
          <w:sz w:val="22"/>
          <w:szCs w:val="22"/>
        </w:rPr>
        <w:t xml:space="preserve">In order to evaluate the performance of lending activities and assess the quality of the loan portfolio, the report distinguishes between Good Loans and Bad Loans based on specific loan status criteria.</w:t>
      </w:r>
    </w:p>
    <w:p>
      <w:r>
        <w:t xml:space="preserve"/>
      </w:r>
    </w:p>
    <w:p>
      <w:pPr>
        <w:spacing w:after="100" w:before="200"/>
      </w:pPr>
      <w:r>
        <w:rPr>
          <w:rFonts w:ascii="Arial" w:cs="Arial" w:eastAsia="Arial" w:hAnsi="Arial"/>
          <w:b/>
          <w:bCs/>
          <w:sz w:val="24"/>
          <w:szCs w:val="24"/>
        </w:rPr>
        <w:t xml:space="preserve">Good Loan KPIs</w:t>
      </w:r>
    </w:p>
    <w:p>
      <w:pPr>
        <w:spacing w:after="80" w:before="80"/>
      </w:pPr>
      <w:r>
        <w:rPr>
          <w:rFonts w:ascii="Arial" w:cs="Arial" w:eastAsia="Arial" w:hAnsi="Arial"/>
          <w:sz w:val="22"/>
          <w:szCs w:val="22"/>
        </w:rPr>
        <w:t xml:space="preserve">Good Loans are classified as loans with a status of Fully Paid or Current.</w:t>
      </w:r>
    </w:p>
    <w:p>
      <w:r>
        <w:t xml:space="preserve"/>
      </w:r>
    </w:p>
    <w:p>
      <w:pPr>
        <w:pStyle w:val="ListParagraph"/>
        <w:numPr>
          <w:ilvl w:val="0"/>
          <w:numId w:val="2"/>
        </w:numPr>
        <w:spacing w:after="60" w:before="60"/>
      </w:pPr>
      <w:r>
        <w:rPr>
          <w:rFonts w:ascii="Arial" w:cs="Arial" w:eastAsia="Arial" w:hAnsi="Arial"/>
          <w:sz w:val="22"/>
          <w:szCs w:val="22"/>
        </w:rPr>
        <w:t xml:space="preserve">Good Loan Application Percentage: The percentage of loan applications classified as Good Loans.</w:t>
      </w:r>
    </w:p>
    <w:p>
      <w:pPr>
        <w:pStyle w:val="ListParagraph"/>
        <w:numPr>
          <w:ilvl w:val="0"/>
          <w:numId w:val="2"/>
        </w:numPr>
        <w:spacing w:after="60" w:before="60"/>
      </w:pPr>
      <w:r>
        <w:rPr>
          <w:rFonts w:ascii="Arial" w:cs="Arial" w:eastAsia="Arial" w:hAnsi="Arial"/>
          <w:sz w:val="22"/>
          <w:szCs w:val="22"/>
        </w:rPr>
        <w:t xml:space="preserve">Good Loan Applications: Total number of loan applications falling under the Good Loan category.</w:t>
      </w:r>
    </w:p>
    <w:p>
      <w:pPr>
        <w:pStyle w:val="ListParagraph"/>
        <w:numPr>
          <w:ilvl w:val="0"/>
          <w:numId w:val="2"/>
        </w:numPr>
        <w:spacing w:after="60" w:before="60"/>
      </w:pPr>
      <w:r>
        <w:rPr>
          <w:rFonts w:ascii="Arial" w:cs="Arial" w:eastAsia="Arial" w:hAnsi="Arial"/>
          <w:sz w:val="22"/>
          <w:szCs w:val="22"/>
        </w:rPr>
        <w:t xml:space="preserve">Good Loan Funded Amount: Total amount of funds disbursed as Good Loans, including principal amounts of Fully Paid and Current loans.</w:t>
      </w:r>
    </w:p>
    <w:p>
      <w:pPr>
        <w:pStyle w:val="ListParagraph"/>
        <w:numPr>
          <w:ilvl w:val="0"/>
          <w:numId w:val="2"/>
        </w:numPr>
        <w:spacing w:after="60" w:before="60"/>
      </w:pPr>
      <w:r>
        <w:rPr>
          <w:rFonts w:ascii="Arial" w:cs="Arial" w:eastAsia="Arial" w:hAnsi="Arial"/>
          <w:sz w:val="22"/>
          <w:szCs w:val="22"/>
        </w:rPr>
        <w:t xml:space="preserve">Good Loan Total Received Amount: Total amount received from borrowers for Good Loans, encompassing all payments made on Fully Paid and Current loans.</w:t>
      </w:r>
    </w:p>
    <w:p>
      <w:r>
        <w:t xml:space="preserve"/>
      </w:r>
    </w:p>
    <w:p>
      <w:pPr>
        <w:spacing w:after="100" w:before="200"/>
      </w:pPr>
      <w:r>
        <w:rPr>
          <w:rFonts w:ascii="Arial" w:cs="Arial" w:eastAsia="Arial" w:hAnsi="Arial"/>
          <w:b/>
          <w:bCs/>
          <w:sz w:val="24"/>
          <w:szCs w:val="24"/>
        </w:rPr>
        <w:t xml:space="preserve">Bad Loan KPIs</w:t>
      </w:r>
    </w:p>
    <w:p>
      <w:pPr>
        <w:spacing w:after="80" w:before="80"/>
      </w:pPr>
      <w:r>
        <w:rPr>
          <w:rFonts w:ascii="Arial" w:cs="Arial" w:eastAsia="Arial" w:hAnsi="Arial"/>
          <w:sz w:val="22"/>
          <w:szCs w:val="22"/>
        </w:rPr>
        <w:t xml:space="preserve">Bad Loans are classified as loans with a status of Charged Off.</w:t>
      </w:r>
    </w:p>
    <w:p>
      <w:r>
        <w:t xml:space="preserve"/>
      </w:r>
    </w:p>
    <w:p>
      <w:pPr>
        <w:pStyle w:val="ListParagraph"/>
        <w:numPr>
          <w:ilvl w:val="0"/>
          <w:numId w:val="2"/>
        </w:numPr>
        <w:spacing w:after="60" w:before="60"/>
      </w:pPr>
      <w:r>
        <w:rPr>
          <w:rFonts w:ascii="Arial" w:cs="Arial" w:eastAsia="Arial" w:hAnsi="Arial"/>
          <w:sz w:val="22"/>
          <w:szCs w:val="22"/>
        </w:rPr>
        <w:t xml:space="preserve">Bad Loan Application Percentage: The percentage of loan applications categorised as Bad Loans.</w:t>
      </w:r>
    </w:p>
    <w:p>
      <w:pPr>
        <w:pStyle w:val="ListParagraph"/>
        <w:numPr>
          <w:ilvl w:val="0"/>
          <w:numId w:val="2"/>
        </w:numPr>
        <w:spacing w:after="60" w:before="60"/>
      </w:pPr>
      <w:r>
        <w:rPr>
          <w:rFonts w:ascii="Arial" w:cs="Arial" w:eastAsia="Arial" w:hAnsi="Arial"/>
          <w:sz w:val="22"/>
          <w:szCs w:val="22"/>
        </w:rPr>
        <w:t xml:space="preserve">Bad Loan Applications: Total number of loan applications categorised as Bad Loans.</w:t>
      </w:r>
    </w:p>
    <w:p>
      <w:pPr>
        <w:pStyle w:val="ListParagraph"/>
        <w:numPr>
          <w:ilvl w:val="0"/>
          <w:numId w:val="2"/>
        </w:numPr>
        <w:spacing w:after="60" w:before="60"/>
      </w:pPr>
      <w:r>
        <w:rPr>
          <w:rFonts w:ascii="Arial" w:cs="Arial" w:eastAsia="Arial" w:hAnsi="Arial"/>
          <w:sz w:val="22"/>
          <w:szCs w:val="22"/>
        </w:rPr>
        <w:t xml:space="preserve">Bad Loan Funded Amount: Total amount of funds disbursed as Bad Loans, comprising principal amounts of Charged Off loans.</w:t>
      </w:r>
    </w:p>
    <w:p>
      <w:pPr>
        <w:pStyle w:val="ListParagraph"/>
        <w:numPr>
          <w:ilvl w:val="0"/>
          <w:numId w:val="2"/>
        </w:numPr>
        <w:spacing w:after="60" w:before="60"/>
      </w:pPr>
      <w:r>
        <w:rPr>
          <w:rFonts w:ascii="Arial" w:cs="Arial" w:eastAsia="Arial" w:hAnsi="Arial"/>
          <w:sz w:val="22"/>
          <w:szCs w:val="22"/>
        </w:rPr>
        <w:t xml:space="preserve">Bad Loan Total Received Amount: Total amount received from borrowers for Bad Loans, including all payments made on Charged Off loans.</w:t>
      </w:r>
    </w:p>
    <w:p>
      <w:r>
        <w:t xml:space="preserve"/>
      </w:r>
    </w:p>
    <w:p>
      <w:pPr>
        <w:pStyle w:val="Heading2"/>
        <w:spacing w:after="120" w:before="240"/>
      </w:pPr>
      <w:r>
        <w:rPr>
          <w:rFonts w:ascii="Arial" w:cs="Arial" w:eastAsia="Arial" w:hAnsi="Arial"/>
          <w:b/>
          <w:bCs/>
          <w:sz w:val="26"/>
          <w:szCs w:val="26"/>
        </w:rPr>
        <w:t xml:space="preserve">Loan Status Grid View</w:t>
      </w:r>
    </w:p>
    <w:p>
      <w:pPr>
        <w:spacing w:after="80" w:before="80"/>
      </w:pPr>
      <w:r>
        <w:rPr>
          <w:rFonts w:ascii="Arial" w:cs="Arial" w:eastAsia="Arial" w:hAnsi="Arial"/>
          <w:sz w:val="22"/>
          <w:szCs w:val="22"/>
        </w:rPr>
        <w:t xml:space="preserve">A grid view report categorised by Loan Status will be created to provide a comprehensive overview of lending operations and monitor loan performance. This report will include the following metrics for each loan status category:</w:t>
      </w:r>
    </w:p>
    <w:p>
      <w:r>
        <w:t xml:space="preserve"/>
      </w:r>
    </w:p>
    <w:p>
      <w:pPr>
        <w:pStyle w:val="ListParagraph"/>
        <w:numPr>
          <w:ilvl w:val="0"/>
          <w:numId w:val="2"/>
        </w:numPr>
        <w:spacing w:after="60" w:before="60"/>
      </w:pPr>
      <w:r>
        <w:rPr>
          <w:rFonts w:ascii="Arial" w:cs="Arial" w:eastAsia="Arial" w:hAnsi="Arial"/>
          <w:sz w:val="22"/>
          <w:szCs w:val="22"/>
        </w:rPr>
        <w:t xml:space="preserve">Total Loan Applications</w:t>
      </w:r>
    </w:p>
    <w:p>
      <w:pPr>
        <w:pStyle w:val="ListParagraph"/>
        <w:numPr>
          <w:ilvl w:val="0"/>
          <w:numId w:val="2"/>
        </w:numPr>
        <w:spacing w:after="60" w:before="60"/>
      </w:pPr>
      <w:r>
        <w:rPr>
          <w:rFonts w:ascii="Arial" w:cs="Arial" w:eastAsia="Arial" w:hAnsi="Arial"/>
          <w:sz w:val="22"/>
          <w:szCs w:val="22"/>
        </w:rPr>
        <w:t xml:space="preserve">Total Funded Amount</w:t>
      </w:r>
    </w:p>
    <w:p>
      <w:pPr>
        <w:pStyle w:val="ListParagraph"/>
        <w:numPr>
          <w:ilvl w:val="0"/>
          <w:numId w:val="2"/>
        </w:numPr>
        <w:spacing w:after="60" w:before="60"/>
      </w:pPr>
      <w:r>
        <w:rPr>
          <w:rFonts w:ascii="Arial" w:cs="Arial" w:eastAsia="Arial" w:hAnsi="Arial"/>
          <w:sz w:val="22"/>
          <w:szCs w:val="22"/>
        </w:rPr>
        <w:t xml:space="preserve">Total Amount Received</w:t>
      </w:r>
    </w:p>
    <w:p>
      <w:pPr>
        <w:pStyle w:val="ListParagraph"/>
        <w:numPr>
          <w:ilvl w:val="0"/>
          <w:numId w:val="2"/>
        </w:numPr>
        <w:spacing w:after="60" w:before="60"/>
      </w:pPr>
      <w:r>
        <w:rPr>
          <w:rFonts w:ascii="Arial" w:cs="Arial" w:eastAsia="Arial" w:hAnsi="Arial"/>
          <w:sz w:val="22"/>
          <w:szCs w:val="22"/>
        </w:rPr>
        <w:t xml:space="preserve">Month-to-Date (MTD) Funded Amount</w:t>
      </w:r>
    </w:p>
    <w:p>
      <w:pPr>
        <w:pStyle w:val="ListParagraph"/>
        <w:numPr>
          <w:ilvl w:val="0"/>
          <w:numId w:val="2"/>
        </w:numPr>
        <w:spacing w:after="60" w:before="60"/>
      </w:pPr>
      <w:r>
        <w:rPr>
          <w:rFonts w:ascii="Arial" w:cs="Arial" w:eastAsia="Arial" w:hAnsi="Arial"/>
          <w:sz w:val="22"/>
          <w:szCs w:val="22"/>
        </w:rPr>
        <w:t xml:space="preserve">MTD Amount Received</w:t>
      </w:r>
    </w:p>
    <w:p>
      <w:pPr>
        <w:pStyle w:val="ListParagraph"/>
        <w:numPr>
          <w:ilvl w:val="0"/>
          <w:numId w:val="2"/>
        </w:numPr>
        <w:spacing w:after="60" w:before="60"/>
      </w:pPr>
      <w:r>
        <w:rPr>
          <w:rFonts w:ascii="Arial" w:cs="Arial" w:eastAsia="Arial" w:hAnsi="Arial"/>
          <w:sz w:val="22"/>
          <w:szCs w:val="22"/>
        </w:rPr>
        <w:t xml:space="preserve">Average Interest Rate</w:t>
      </w:r>
    </w:p>
    <w:p>
      <w:pPr>
        <w:pStyle w:val="ListParagraph"/>
        <w:numPr>
          <w:ilvl w:val="0"/>
          <w:numId w:val="2"/>
        </w:numPr>
        <w:spacing w:after="60" w:before="60"/>
      </w:pPr>
      <w:r>
        <w:rPr>
          <w:rFonts w:ascii="Arial" w:cs="Arial" w:eastAsia="Arial" w:hAnsi="Arial"/>
          <w:sz w:val="22"/>
          <w:szCs w:val="22"/>
        </w:rPr>
        <w:t xml:space="preserve">Average Debt-to-Income Ratio (DTI)</w:t>
      </w:r>
    </w:p>
    <w:p>
      <w:r>
        <w:t xml:space="preserve"/>
      </w:r>
    </w:p>
    <w:p>
      <w:pPr>
        <w:pStyle w:val="Heading1"/>
        <w:spacing w:after="160" w:before="320"/>
      </w:pPr>
      <w:r>
        <w:rPr>
          <w:rFonts w:ascii="Arial" w:cs="Arial" w:eastAsia="Arial" w:hAnsi="Arial"/>
          <w:b/>
          <w:bCs/>
          <w:sz w:val="32"/>
          <w:szCs w:val="32"/>
        </w:rPr>
        <w:t xml:space="preserve">Dashboard 2: Overview</w:t>
      </w:r>
    </w:p>
    <w:p>
      <w:pPr>
        <w:spacing w:after="80" w:before="80"/>
      </w:pPr>
      <w:r>
        <w:rPr>
          <w:rFonts w:ascii="Arial" w:cs="Arial" w:eastAsia="Arial" w:hAnsi="Arial"/>
          <w:sz w:val="22"/>
          <w:szCs w:val="22"/>
        </w:rPr>
        <w:t xml:space="preserve">The Overview dashboard aims to visually represent critical loan-related metrics and trends using a variety of chart types, providing a clear and insightful view of lending operations.</w:t>
      </w:r>
    </w:p>
    <w:p>
      <w:r>
        <w:t xml:space="preserve"/>
      </w:r>
    </w:p>
    <w:p>
      <w:pPr>
        <w:spacing w:after="100" w:before="200"/>
      </w:pPr>
      <w:r>
        <w:rPr>
          <w:rFonts w:ascii="Arial" w:cs="Arial" w:eastAsia="Arial" w:hAnsi="Arial"/>
          <w:b/>
          <w:bCs/>
          <w:sz w:val="24"/>
          <w:szCs w:val="24"/>
        </w:rPr>
        <w:t xml:space="preserve">1. Monthly Trends by Issue Date — Line Chart</w:t>
      </w:r>
    </w:p>
    <w:p>
      <w:pPr>
        <w:spacing w:after="80" w:before="80"/>
      </w:pPr>
      <w:r>
        <w:rPr>
          <w:rFonts w:ascii="Arial" w:cs="Arial" w:eastAsia="Arial" w:hAnsi="Arial"/>
          <w:sz w:val="22"/>
          <w:szCs w:val="22"/>
        </w:rPr>
        <w:t xml:space="preserve">Tracks Total Loan Applications, Total Funded Amount, and Total Amount Received over time across months. Helps identify seasonality and long-term trends in lending activities.</w:t>
      </w:r>
    </w:p>
    <w:p>
      <w:r>
        <w:t xml:space="preserve"/>
      </w:r>
    </w:p>
    <w:p>
      <w:pPr>
        <w:spacing w:after="100" w:before="200"/>
      </w:pPr>
      <w:r>
        <w:rPr>
          <w:rFonts w:ascii="Arial" w:cs="Arial" w:eastAsia="Arial" w:hAnsi="Arial"/>
          <w:b/>
          <w:bCs/>
          <w:sz w:val="24"/>
          <w:szCs w:val="24"/>
        </w:rPr>
        <w:t xml:space="preserve">2. Regional Analysis by State — Filled Map</w:t>
      </w:r>
    </w:p>
    <w:p>
      <w:pPr>
        <w:spacing w:after="80" w:before="80"/>
      </w:pPr>
      <w:r>
        <w:rPr>
          <w:rFonts w:ascii="Arial" w:cs="Arial" w:eastAsia="Arial" w:hAnsi="Arial"/>
          <w:sz w:val="22"/>
          <w:szCs w:val="22"/>
        </w:rPr>
        <w:t xml:space="preserve">Visually represents lending metrics categorised by state, enabling identification of regions with significant lending activity and assessment of regional disparities.</w:t>
      </w:r>
    </w:p>
    <w:p>
      <w:r>
        <w:t xml:space="preserve"/>
      </w:r>
    </w:p>
    <w:p>
      <w:pPr>
        <w:spacing w:after="100" w:before="200"/>
      </w:pPr>
      <w:r>
        <w:rPr>
          <w:rFonts w:ascii="Arial" w:cs="Arial" w:eastAsia="Arial" w:hAnsi="Arial"/>
          <w:b/>
          <w:bCs/>
          <w:sz w:val="24"/>
          <w:szCs w:val="24"/>
        </w:rPr>
        <w:t xml:space="preserve">3. Loan Term Analysis — Donut Chart</w:t>
      </w:r>
    </w:p>
    <w:p>
      <w:pPr>
        <w:spacing w:after="80" w:before="80"/>
      </w:pPr>
      <w:r>
        <w:rPr>
          <w:rFonts w:ascii="Arial" w:cs="Arial" w:eastAsia="Arial" w:hAnsi="Arial"/>
          <w:sz w:val="22"/>
          <w:szCs w:val="22"/>
        </w:rPr>
        <w:t xml:space="preserve">Depicts loan statistics based on different loan terms (e.g., 36 months, 60 months), showing the distribution of loans across various term lengths.</w:t>
      </w:r>
    </w:p>
    <w:p>
      <w:r>
        <w:t xml:space="preserve"/>
      </w:r>
    </w:p>
    <w:p>
      <w:pPr>
        <w:spacing w:after="100" w:before="200"/>
      </w:pPr>
      <w:r>
        <w:rPr>
          <w:rFonts w:ascii="Arial" w:cs="Arial" w:eastAsia="Arial" w:hAnsi="Arial"/>
          <w:b/>
          <w:bCs/>
          <w:sz w:val="24"/>
          <w:szCs w:val="24"/>
        </w:rPr>
        <w:t xml:space="preserve">4. Employee Length Analysis — Bar Chart</w:t>
      </w:r>
    </w:p>
    <w:p>
      <w:pPr>
        <w:spacing w:after="80" w:before="80"/>
      </w:pPr>
      <w:r>
        <w:rPr>
          <w:rFonts w:ascii="Arial" w:cs="Arial" w:eastAsia="Arial" w:hAnsi="Arial"/>
          <w:sz w:val="22"/>
          <w:szCs w:val="22"/>
        </w:rPr>
        <w:t xml:space="preserve">Illustrates how lending metrics are distributed among borrowers with different employment lengths (e.g., 1 year, 5 years, 10+ years), helping assess the impact of employment history on loan applications.</w:t>
      </w:r>
    </w:p>
    <w:p>
      <w:r>
        <w:t xml:space="preserve"/>
      </w:r>
    </w:p>
    <w:p>
      <w:pPr>
        <w:spacing w:after="100" w:before="200"/>
      </w:pPr>
      <w:r>
        <w:rPr>
          <w:rFonts w:ascii="Arial" w:cs="Arial" w:eastAsia="Arial" w:hAnsi="Arial"/>
          <w:b/>
          <w:bCs/>
          <w:sz w:val="24"/>
          <w:szCs w:val="24"/>
        </w:rPr>
        <w:t xml:space="preserve">5. Loan Purpose Breakdown — Bar Chart</w:t>
      </w:r>
    </w:p>
    <w:p>
      <w:pPr>
        <w:spacing w:after="80" w:before="80"/>
      </w:pPr>
      <w:r>
        <w:rPr>
          <w:rFonts w:ascii="Arial" w:cs="Arial" w:eastAsia="Arial" w:hAnsi="Arial"/>
          <w:sz w:val="22"/>
          <w:szCs w:val="22"/>
        </w:rPr>
        <w:t xml:space="preserve">Provides a visual breakdown of loan metrics based on the stated purposes of loans (e.g., debt consolidation, credit card refinancing), aiding in understanding the primary reasons borrowers seek financing.</w:t>
      </w:r>
    </w:p>
    <w:p>
      <w:r>
        <w:t xml:space="preserve"/>
      </w:r>
    </w:p>
    <w:p>
      <w:pPr>
        <w:spacing w:after="100" w:before="200"/>
      </w:pPr>
      <w:r>
        <w:rPr>
          <w:rFonts w:ascii="Arial" w:cs="Arial" w:eastAsia="Arial" w:hAnsi="Arial"/>
          <w:b/>
          <w:bCs/>
          <w:sz w:val="24"/>
          <w:szCs w:val="24"/>
        </w:rPr>
        <w:t xml:space="preserve">6. Home Ownership Analysis — Tree Map</w:t>
      </w:r>
    </w:p>
    <w:p>
      <w:pPr>
        <w:spacing w:after="80" w:before="80"/>
      </w:pPr>
      <w:r>
        <w:rPr>
          <w:rFonts w:ascii="Arial" w:cs="Arial" w:eastAsia="Arial" w:hAnsi="Arial"/>
          <w:sz w:val="22"/>
          <w:szCs w:val="22"/>
        </w:rPr>
        <w:t xml:space="preserve">Displays loan metrics categorised by home ownership status (e.g., Own, Rent, Mortgage), providing a hierarchical view of how home ownership impacts loan applications and disbursements.</w:t>
      </w:r>
    </w:p>
    <w:p>
      <w:r>
        <w:t xml:space="preserve"/>
      </w:r>
    </w:p>
    <w:p>
      <w:pPr>
        <w:pStyle w:val="Heading1"/>
        <w:spacing w:after="160" w:before="320"/>
      </w:pPr>
      <w:r>
        <w:rPr>
          <w:rFonts w:ascii="Arial" w:cs="Arial" w:eastAsia="Arial" w:hAnsi="Arial"/>
          <w:b/>
          <w:bCs/>
          <w:sz w:val="32"/>
          <w:szCs w:val="32"/>
        </w:rPr>
        <w:t xml:space="preserve">Dashboard 3: Details</w:t>
      </w:r>
    </w:p>
    <w:p>
      <w:pPr>
        <w:spacing w:after="80" w:before="80"/>
      </w:pPr>
      <w:r>
        <w:rPr>
          <w:rFonts w:ascii="Arial" w:cs="Arial" w:eastAsia="Arial" w:hAnsi="Arial"/>
          <w:sz w:val="22"/>
          <w:szCs w:val="22"/>
        </w:rPr>
        <w:t xml:space="preserve">The Details Dashboard provides a consolidated view of all essential information within the loan data. It offers a holistic snapshot of key loan-related metrics and data points, enabling users to access critical information efficiently.</w:t>
      </w:r>
    </w:p>
    <w:p>
      <w:r>
        <w:t xml:space="preserve"/>
      </w:r>
    </w:p>
    <w:p>
      <w:pPr>
        <w:spacing w:after="80" w:before="80"/>
      </w:pPr>
      <w:r>
        <w:rPr>
          <w:rFonts w:ascii="Arial" w:cs="Arial" w:eastAsia="Arial" w:hAnsi="Arial"/>
          <w:sz w:val="22"/>
          <w:szCs w:val="22"/>
        </w:rPr>
        <w:t xml:space="preserve">The primary objective of the Details Dashboard is to provide a comprehensive and user-friendly interface for accessing vital loan data. It serves as a one-stop solution for users seeking detailed insights into the loan portfolio, borrower profiles, and loan performance.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2026-06-05T19:51:16.153Z</dcterms:created>
  <dcterms:modified xsi:type="dcterms:W3CDTF">2026-06-05T19:51:16.153Z</dcterms:modified>
</cp:coreProperties>
</file>

<file path=docProps/custom.xml><?xml version="1.0" encoding="utf-8"?>
<Properties xmlns="http://schemas.openxmlformats.org/officeDocument/2006/custom-properties" xmlns:vt="http://schemas.openxmlformats.org/officeDocument/2006/docPropsVTypes"/>
</file>