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1008">
      <w:pPr>
        <w:spacing w:after="0" w:before="0" w:line="20" w:lineRule="auto"/>
        <w:rPr>
          <w:rFonts w:ascii="Helvetica Neue" w:cs="Helvetica Neue" w:eastAsia="Helvetica Neue" w:hAnsi="Helvetica Neue"/>
          <w:color w:val="000000"/>
        </w:rPr>
      </w:pPr>
      <w:r>
        <w:rPr>
          <w:rtl w:val="0"/>
        </w:rPr>
      </w:r>
    </w:p>
    <w:p w14:paraId="00001009">
      <w:pPr>
        <w:pStyle w:val="Title"/>
        <w:spacing w:line="240" w:lineRule="auto"/>
        <w:rPr>
          <w:rFonts w:ascii="Helvetica Neue Light" w:cs="Helvetica Neue Light" w:eastAsia="Helvetica Neue Light" w:hAnsi="Helvetica Neue Light"/>
          <w:b w:val="0"/>
          <w:bCs w:val="0"/>
          <w:color w:val="5b7085"/>
          <w:sz w:val="72"/>
          <w:szCs w:val="72"/>
        </w:rPr>
        <w:widowControl w:val="1"/>
      </w:pPr>
      <w:r>
        <w:rPr>
          <w:rFonts w:ascii="Helvetica Neue Light" w:cs="Helvetica Neue Light" w:eastAsia="Helvetica Neue Light" w:hAnsi="Helvetica Neue Light"/>
          <w:b w:val="0"/>
          <w:bCs w:val="0"/>
          <w:color w:val="5b7085"/>
          <w:sz w:val="72"/>
          <w:szCs w:val="72"/>
          <w:rtl w:val="0"/>
        </w:rPr>
        <w:t xml:space="preserve">Circular Campus</w:t>
      </w:r>
    </w:p>
    <w:p w14:paraId="0000100A">
      <w:pPr>
        <w:pStyle w:val="Title"/>
        <w:spacing w:line="240" w:lineRule="auto"/>
        <w:rPr>
          <w:rFonts w:ascii="Helvetica Neue" w:cs="Helvetica Neue" w:eastAsia="Helvetica Neue" w:hAnsi="Helvetica Neue"/>
          <w:sz w:val="72"/>
          <w:szCs w:val="72"/>
        </w:rPr>
        <w:widowControl w:val="1"/>
      </w:pPr>
      <w:r>
        <w:rPr>
          <w:rFonts w:ascii="Helvetica Neue" w:cs="Helvetica Neue" w:eastAsia="Helvetica Neue" w:hAnsi="Helvetica Neue"/>
          <w:sz w:val="72"/>
          <w:szCs w:val="72"/>
          <w:rtl w:val="0"/>
        </w:rPr>
        <w:t xml:space="preserve">Phase 1 Report</w:t>
      </w:r>
    </w:p>
    <w:p w14:paraId="0000100B">
      <w:pPr>
        <w:rPr>
          <w:rFonts w:ascii="Helvetica Neue" w:cs="Helvetica Neue" w:eastAsia="Helvetica Neue" w:hAnsi="Helvetica Neue"/>
        </w:rPr>
      </w:pPr>
      <w:r>
        <w:rPr>
          <w:rtl w:val="0"/>
        </w:rPr>
      </w:r>
    </w:p>
    <w:p w14:paraId="0000100C">
      <w:pPr>
        <w:rPr>
          <w:rFonts w:ascii="Helvetica Neue" w:cs="Helvetica Neue" w:eastAsia="Helvetica Neue" w:hAnsi="Helvetica Neue"/>
        </w:rPr>
      </w:pPr>
      <w:r>
        <w:rPr>
          <w:rtl w:val="0"/>
        </w:rPr>
      </w:r>
    </w:p>
    <w:p w14:paraId="0000100D">
      <w:pPr>
        <w:rPr>
          <w:rFonts w:ascii="Helvetica Neue" w:cs="Helvetica Neue" w:eastAsia="Helvetica Neue" w:hAnsi="Helvetica Neue"/>
        </w:rPr>
      </w:pPr>
      <w:r>
        <w:rPr>
          <w:rtl w:val="0"/>
        </w:rPr>
      </w:r>
    </w:p>
    <w:p w14:paraId="0000100E">
      <w:pPr>
        <w:rPr>
          <w:rFonts w:ascii="Helvetica Neue" w:cs="Helvetica Neue" w:eastAsia="Helvetica Neue" w:hAnsi="Helvetica Neue"/>
        </w:rPr>
      </w:pPr>
      <w:r>
        <w:rPr>
          <w:rtl w:val="0"/>
        </w:rPr>
      </w:r>
    </w:p>
    <w:p w14:paraId="0000100F">
      <w:pPr>
        <w:rPr>
          <w:rFonts w:ascii="Helvetica Neue" w:cs="Helvetica Neue" w:eastAsia="Helvetica Neue" w:hAnsi="Helvetica Neue"/>
        </w:rPr>
      </w:pPr>
      <w:r>
        <w:rPr>
          <w:rtl w:val="0"/>
        </w:rPr>
      </w:r>
    </w:p>
    <w:p w14:paraId="00001010">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
      <w:tr>
        <w:trPr>
          <w:cantSplit w:val="0"/>
          <w:tblHeader w:val="0"/>
        </w:trPr>
        <w:tc>
          <w:tcPr/>
          <w:p w14:paraId="00001011">
            <w:pPr>
              <w:pStyle w:val="Heading3"/>
              <w:rPr/>
              <w:widowControl w:val="1"/>
            </w:pPr>
            <w:r>
              <w:rPr>
                <w:rtl w:val="0"/>
              </w:rPr>
              <w:t xml:space="preserve">STAGE</w:t>
            </w:r>
          </w:p>
          <w:p w14:paraId="00001012">
            <w:pPr>
              <w:spacing w:after="110" w:line="300" w:lineRule="auto"/>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Phase 1</w:t>
            </w:r>
          </w:p>
        </w:tc>
        <w:tc>
          <w:tcPr/>
          <w:p w14:paraId="00001013">
            <w:pPr>
              <w:rPr>
                <w:rFonts w:ascii="Helvetica Neue" w:cs="Helvetica Neue" w:eastAsia="Helvetica Neue" w:hAnsi="Helvetica Neue"/>
              </w:rPr>
            </w:pPr>
            <w:r>
              <w:rPr>
                <w:rtl w:val="0"/>
              </w:rPr>
            </w:r>
          </w:p>
        </w:tc>
        <w:tc>
          <w:tcPr/>
          <w:p w14:paraId="00001014">
            <w:pPr>
              <w:pStyle w:val="Heading3"/>
              <w:rPr/>
              <w:widowControl w:val="1"/>
            </w:pPr>
            <w:r>
              <w:rPr>
                <w:rtl w:val="0"/>
              </w:rPr>
              <w:t xml:space="preserve">COURSE</w:t>
            </w:r>
          </w:p>
          <w:p w14:paraId="00001015">
            <w:pPr>
              <w:spacing w:after="110" w:line="300" w:lineRule="auto"/>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COSC 336</w:t>
            </w:r>
          </w:p>
        </w:tc>
        <w:tc>
          <w:tcPr/>
          <w:p w14:paraId="00001016">
            <w:pPr>
              <w:rPr>
                <w:rFonts w:ascii="Helvetica Neue" w:cs="Helvetica Neue" w:eastAsia="Helvetica Neue" w:hAnsi="Helvetica Neue"/>
              </w:rPr>
            </w:pPr>
            <w:r>
              <w:rPr>
                <w:rtl w:val="0"/>
              </w:rPr>
            </w:r>
          </w:p>
        </w:tc>
        <w:tc>
          <w:tcPr/>
          <w:p w14:paraId="00001017">
            <w:pPr>
              <w:pStyle w:val="Heading3"/>
              <w:rPr/>
              <w:widowControl w:val="1"/>
            </w:pPr>
            <w:r>
              <w:rPr>
                <w:rtl w:val="0"/>
              </w:rPr>
              <w:t xml:space="preserve">DATE</w:t>
            </w:r>
          </w:p>
          <w:p w14:paraId="00001018">
            <w:pPr>
              <w:spacing w:after="110" w:line="300" w:lineRule="auto"/>
              <w:rPr>
                <w:rFonts w:ascii="Helvetica Neue" w:cs="Helvetica Neue" w:eastAsia="Helvetica Neue" w:hAnsi="Helvetica Neue"/>
              </w:rPr>
              <w:widowControl w:val="1"/>
            </w:pPr>
            <w:r>
              <w:rPr>
                <w:rFonts w:ascii="Helvetica Neue" w:cs="Helvetica Neue" w:eastAsia="Helvetica Neue" w:hAnsi="Helvetica Neue"/>
                <w:rtl w:val="0"/>
              </w:rPr>
              <w:t xml:space="preserve">14 September 2026</w:t>
            </w:r>
          </w:p>
        </w:tc>
      </w:tr>
    </w:tbl>
    <w:p w14:paraId="00001019">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
      <w:tr>
        <w:trPr>
          <w:cantSplit w:val="1"/>
          <w:tblHeader w:val="0"/>
        </w:trPr>
        <w:tc>
          <w:tcPr>
            <w:shd w:fill="cfe2f3" w:val="clear"/>
            <w:tcMar>
              <w:top w:w="110.0" w:type="dxa"/>
              <w:left w:w="120.0" w:type="dxa"/>
              <w:bottom w:w="110.0" w:type="dxa"/>
              <w:right w:w="120.0" w:type="dxa"/>
            </w:tcMar>
            <w:vAlign w:val="center"/>
          </w:tcPr>
          <w:p w14:paraId="0000101A">
            <w:pPr>
              <w:spacing w:after="25" w:before="20" w:line="285" w:lineRule="auto"/>
              <w:rPr>
                <w:rFonts w:ascii="Helvetica Neue" w:cs="Helvetica Neue" w:eastAsia="Helvetica Neue" w:hAnsi="Helvetica Neue"/>
                <w:color w:val="000000"/>
              </w:rPr>
              <w:widowControl w:val="1"/>
              <w:keepNext w:val="0"/>
            </w:pPr>
            <w:r>
              <w:rPr>
                <w:rFonts w:ascii="Helvetica Neue" w:cs="Helvetica Neue" w:eastAsia="Helvetica Neue" w:hAnsi="Helvetica Neue"/>
                <w:b w:val="1"/>
                <w:bCs w:val="1"/>
                <w:color w:val="000000"/>
                <w:rtl w:val="0"/>
                <w:sz w:val="20"/>
                <w:szCs w:val="20"/>
              </w:rPr>
              <w:t xml:space="preserve">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101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0"/>
                <w:szCs w:val="20"/>
              </w:rPr>
              <w:t xml:space="preserve">SAEED ALKAABI  100063100</w:t>
              <w:br/>
              <w:t xml:space="preserve">ALI ALAWADHI  100063186</w:t>
              <w:br/>
              <w:t xml:space="preserve">HUMAID AL ALI  100062914</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101C">
            <w:pPr>
              <w:spacing w:after="25" w:before="20" w:line="285" w:lineRule="auto"/>
              <w:rPr>
                <w:rFonts w:ascii="Helvetica Neue" w:cs="Helvetica Neue" w:eastAsia="Helvetica Neue" w:hAnsi="Helvetica Neue"/>
                <w:color w:val="000000"/>
              </w:rPr>
              <w:widowControl w:val="1"/>
              <w:keepNext w:val="0"/>
            </w:pPr>
            <w:r>
              <w:rPr>
                <w:rFonts w:ascii="Helvetica Neue" w:cs="Helvetica Neue" w:eastAsia="Helvetica Neue" w:hAnsi="Helvetica Neue"/>
                <w:b w:val="1"/>
                <w:bCs w:val="1"/>
                <w:color w:val="000000"/>
                <w:rtl w:val="0"/>
                <w:sz w:val="20"/>
                <w:szCs w:val="20"/>
              </w:rPr>
              <w:t xml:space="preserve">Prepared for</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101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0"/>
                <w:szCs w:val="20"/>
              </w:rPr>
              <w:t xml:space="preserve">COSC 336 instructor and teaching assistant</w:t>
            </w:r>
          </w:p>
        </w:tc>
      </w:tr>
      <w:tr>
        <w:trPr>
          <w:cantSplit w:val="1"/>
          <w:tblHeader w:val="0"/>
        </w:trPr>
        <w:tc>
          <w:tcPr>
            <w:shd w:fill="cfe2f3" w:val="clear"/>
            <w:tcMar>
              <w:top w:w="110.0" w:type="dxa"/>
              <w:left w:w="120.0" w:type="dxa"/>
              <w:bottom w:w="110.0" w:type="dxa"/>
              <w:right w:w="120.0" w:type="dxa"/>
            </w:tcMar>
            <w:vAlign w:val="center"/>
          </w:tcPr>
          <w:p w14:paraId="0000101E">
            <w:pPr>
              <w:spacing w:after="25" w:before="20" w:line="285" w:lineRule="auto"/>
              <w:rPr>
                <w:rFonts w:ascii="Helvetica Neue" w:cs="Helvetica Neue" w:eastAsia="Helvetica Neue" w:hAnsi="Helvetica Neue"/>
                <w:color w:val="000000"/>
              </w:rPr>
              <w:widowControl w:val="1"/>
              <w:keepNext w:val="0"/>
            </w:pPr>
            <w:r>
              <w:rPr>
                <w:rFonts w:ascii="Helvetica Neue" w:cs="Helvetica Neue" w:eastAsia="Helvetica Neue" w:hAnsi="Helvetica Neue"/>
                <w:b w:val="1"/>
                <w:bCs w:val="1"/>
                <w:color w:val="000000"/>
                <w:rtl w:val="0"/>
                <w:sz w:val="20"/>
                <w:szCs w:val="20"/>
              </w:rPr>
              <w:t xml:space="preserve">Course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101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0"/>
                <w:szCs w:val="20"/>
              </w:rPr>
              <w:t xml:space="preserve">COSC 336 Introduction to Software Engineering</w:t>
              <w:br/>
              <w:t xml:space="preserve">Fall 2026</w:t>
            </w:r>
          </w:p>
        </w:tc>
      </w:tr>
      <w:tr>
        <w:trPr>
          <w:cantSplit w:val="1"/>
          <w:tblHeader w:val="0"/>
        </w:trPr>
        <w:tc>
          <w:tcPr>
            <w:shd w:fill="cfe2f3" w:val="clear"/>
            <w:tcMar>
              <w:top w:w="110.0" w:type="dxa"/>
              <w:left w:w="120.0" w:type="dxa"/>
              <w:bottom w:w="110.0" w:type="dxa"/>
              <w:right w:w="120.0" w:type="dxa"/>
            </w:tcMar>
            <w:vAlign w:val="center"/>
          </w:tcPr>
          <w:p w14:paraId="00001020">
            <w:pPr>
              <w:spacing w:after="25" w:before="20" w:line="285" w:lineRule="auto"/>
              <w:rPr>
                <w:rFonts w:ascii="Helvetica Neue" w:cs="Helvetica Neue" w:eastAsia="Helvetica Neue" w:hAnsi="Helvetica Neue"/>
                <w:color w:val="000000"/>
              </w:rPr>
              <w:widowControl w:val="1"/>
              <w:keepNext w:val="0"/>
            </w:pPr>
            <w:r>
              <w:rPr>
                <w:rFonts w:ascii="Helvetica Neue" w:cs="Helvetica Neue" w:eastAsia="Helvetica Neue" w:hAnsi="Helvetica Neue"/>
                <w:b w:val="1"/>
                <w:bCs w:val="1"/>
                <w:color w:val="000000"/>
                <w:rtl w:val="0"/>
                <w:sz w:val="20"/>
                <w:szCs w:val="20"/>
              </w:rPr>
              <w:t xml:space="preserve">Project</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102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0"/>
                <w:szCs w:val="20"/>
              </w:rPr>
              <w:t xml:space="preserve">Intelligent, AI-Powered Circular Campus Resource Exchange and Asset Life Cycle Management System</w:t>
            </w:r>
          </w:p>
        </w:tc>
      </w:tr>
    </w:tbl>
    <w:p w14:paraId="00001022">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ageBreakBefore w:val="1"/>
      </w:pPr>
      <w:r>
        <w:rPr>
          <w:rFonts w:ascii="Helvetica Neue" w:cs="Helvetica Neue" w:eastAsia="Helvetica Neue" w:hAnsi="Helvetica Neue"/>
          <w:color w:val="082a4a"/>
          <w:rtl w:val="0"/>
        </w:rPr>
        <w:t xml:space="preserve">1 Introduction</w:t>
      </w:r>
    </w:p>
    <w:p w14:paraId="00001023">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Project purpose</w:t>
      </w:r>
    </w:p>
    <w:p w14:paraId="00001024">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Intelligent, AI-Powered Circular Campus Resource Exchange and Asset Life Cycle Management System is a proposed internal web application through which university departments can publish surplus assets, request suitable items and document their transfer. It will also record inspections, repairs and final life-cycle actions against each asset. AI functions will suggest classifications, rank compatible resources and summarize recorded activity; authorized users will retain control of approvals and asset decisions. [R1, pp. 1–6]</w:t>
      </w:r>
    </w:p>
    <w:p w14:paraId="00001025">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This Phase 1 report defines the project scope, stakeholder responsibilities, requirements-gathering approach, initial requirements and development plan for COSC 336 Introduction to Software Engineering. The requirements are an initial proposal based on the course documents. Operational roles and acceptance thresholds are proposed for the prototype, not established university policy. Stakeholder interviews and prototype testing have not yet been conducted.</w:t>
      </w:r>
    </w:p>
    <w:p w14:paraId="00001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Pr>
      <w:r>
        <w:rPr>
          <w:rFonts w:ascii="Helvetica Neue" w:cs="Helvetica Neue" w:eastAsia="Helvetica Neue" w:hAnsi="Helvetica Neue"/>
          <w:color w:val="082a4a"/>
          <w:rtl w:val="0"/>
        </w:rPr>
        <w:t xml:space="preserve">2 Project Overview</w:t>
      </w:r>
    </w:p>
    <w:p w14:paraId="00001027">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Problem definition</w:t>
      </w:r>
    </w:p>
    <w:p w14:paraId="00001028">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project brief identifies a resource-allocation problem: a department may purchase an item while a suitable asset remains unused in another department. An inventory entry showing ownership and location does not necessarily show whether the item can be requested, who must authorize its release or whether it is serviceable. Separate approval, transfer and maintenance records can also obscure who currently holds the asset and whether it is available for reuse. [R1, pp. 1–3]</w:t>
      </w:r>
    </w:p>
    <w:p w14:paraId="00001029">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proposed system addresses these gaps by linking an asset listing to departmental requests, approval decisions, release and receipt confirmations, and its subsequent maintenance history. The project does not assume a measured rate of unnecessary purchasing or a verified description of current university procedures.</w:t>
      </w:r>
    </w:p>
    <w:p w14:paraId="0000102A">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Project objectives</w:t>
      </w:r>
    </w:p>
    <w:p w14:paraId="0000102B">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project has four operational objectives. First, requesters should be able to identify available assets using category, specifications, condition, quantity and location. Second, each completed exchange should have a recorded approval, releasing custodian and receiving user. Third, an asset's custody and condition history should remain accessible after transfer, repair or retirement. Fourth, reuse reports should derive their counts and estimated financial benefits from identifiable events and documented calculation inputs.</w:t>
      </w:r>
    </w:p>
    <w:p w14:paraId="0000102C">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AI will support these objectives by identifying relevant assets even when requests and listings use different wording, explaining the matching factors and suggesting appropriate life-cycle actions. Its recommendations will not replace availability checks or approval rules. Prototype success will be assessed against the tests in Section 5; no financial or environmental improvement is claimed as an achieved result.</w:t>
      </w:r>
    </w:p>
    <w:p w14:paraId="0000102D">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Operational process under investigation</w:t>
      </w:r>
    </w:p>
    <w:p w14:paraId="0000102E">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initial process model begins when a custodian identifies a surplus asset and checks its condition. A department expresses a need, an authorized person decides whether release is permitted, and the releasing and receiving staff confirm the exchange. A defect leads to inspection or repair; an item unsuitable for further use requires a documented decision on donation, component recovery, recycling or disposal. This model is a hypothesis for stakeholder validation. [R1, p. 7]</w:t>
      </w:r>
    </w:p>
    <w:p w14:paraId="0000102F">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Requirements gathering will establish the records used at each step, the person authorized to decide, the evidence required to confirm completion and the handling of exceptions. The specific exceptions are competing requests, insufficient quantity, rejected approvals, failed receipt confirmation and assets becoming unserviceable while reserved.</w:t>
      </w:r>
    </w:p>
    <w:p w14:paraId="00001030">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Product scope</w:t>
      </w:r>
    </w:p>
    <w:p w14:paraId="00001031">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prototype will serve authorized campus users and cover furniture, computers, laboratory equipment, books and other resource categories identified in the brief. Its baseline functions are account and department management, asset registration and publication, structured search, resource requests, reservations, approvals, transfers, inspections, maintenance records, notifications and operational reports. Asset history will include custody changes, repair, refurbishment, donation, recycling, retirement and disposal. [R1, pp. 3–4, 8–9]</w:t>
      </w:r>
    </w:p>
    <w:p w14:paraId="00001032">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AI scope consists of classification and metadata suggestions, semantic resource matching, ranked recommendations with explanations, sustainable-action recommendations, natural-language assistance and summaries of recorded activity. Structured search and request processing will remain usable when AI services are unavailable. [R1, pp. 4–6]</w:t>
      </w:r>
    </w:p>
    <w:p w14:paraId="00001033">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proposed boundary excludes public trading, payment processing and automatic procurement. The prototype will initially use labelled sample data. Live university databases, institutional sign-in and other external integrations are not assumed; their access requirements and feasibility will be assessed in Phase 2. The programming language, framework, database, hosting service and AI provider have not been selected. Development is constrained by three team members and the semester schedule.</w:t>
      </w:r>
    </w:p>
    <w:p w14:paraId="00001034">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Monitor transfer scenario</w:t>
      </w:r>
    </w:p>
    <w:p w14:paraId="00001035">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Consider an illustrative request for one working monitor with a screen size of at least 24 inches and an HDMI connection. Department A has one available monitor that meets those specifications, and Department B needs it for a workstation. Department labels and specifications in this example are sample inputs, not campus observations.</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52"/>
        <w:gridCol w:w="5010"/>
        <w:gridCol w:w="2862"/>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52" w:type="dxa"/>
          </w:tcPr>
          <w:p w14:paraId="00001036">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Step</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010" w:type="dxa"/>
          </w:tcPr>
          <w:p w14:paraId="00001037">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Required system action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862" w:type="dxa"/>
          </w:tcPr>
          <w:p w14:paraId="00001038">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Responsible role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3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Register and publish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3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Save the monitor's specifications, condition, quantity of one, department and location; mark it available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3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Asset custodian in Department A</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3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Submit request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3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Record the minimum screen size, HDMI connection, quantity and required date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3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Requester in Department B</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3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Match and reserve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4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Exclude unavailable or incompatible listings; display why the candidate qualifies; reserve the selected quantity without overbooking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4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System, following requester selection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4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Decide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4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Record approval or rejection, decision maker, time and reason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4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Designated approver</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4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Release and receive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4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Record release, then receipt confirmation; update custody and location only when the approved transfer is completed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4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Releasing custodian and receiving user</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4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Maintain history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4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Retain the transfer event and attach later inspection, repair or retirement records to the same asset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4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Authorized custodian or maintenance staff</w:t>
            </w:r>
          </w:p>
        </w:tc>
      </w:tr>
    </w:tbl>
    <w:p w14:paraId="0000104B">
      <w:pPr>
        <w:spacing w:after="110" w:line="300" w:lineRule="auto"/>
        <w:jc w:val="both"/>
        <w:rPr>
          <w:rFonts w:ascii="Helvetica Neue" w:cs="Helvetica Neue" w:eastAsia="Helvetica Neue" w:hAnsi="Helvetica Neue"/>
        </w:rPr>
        <w:widowControl w:val="1"/>
        <w:keepNext w:val="0"/>
      </w:pPr>
    </w:p>
    <w:p w14:paraId="0000104C">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 22-inch monitor or a monitor without HDMI must not qualify simply because its description is similar. Rejection must release the reserved quantity and leave custody unchanged. Approval alone must not mark the exchange completed; the releasing custodian and receiving user must confirm their respective steps. A second request cannot reserve the same single monitor while the first reservation remains active. Reservation duration is a policy decision to be established through stakeholder consultation.</w:t>
      </w:r>
    </w:p>
    <w:p w14:paraId="0000104D">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Pr>
      <w:r>
        <w:rPr>
          <w:rFonts w:ascii="Helvetica Neue" w:cs="Helvetica Neue" w:eastAsia="Helvetica Neue" w:hAnsi="Helvetica Neue"/>
          <w:color w:val="082a4a"/>
          <w:rtl w:val="0"/>
        </w:rPr>
        <w:t xml:space="preserve">3 Stakeholder Analysis</w:t>
      </w:r>
    </w:p>
    <w:p w14:paraId="0000104E">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Roles and responsibilities</w:t>
      </w:r>
    </w:p>
    <w:p w14:paraId="0000104F">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proposed permission model separates requesting, record maintenance, business approval and technical administration. A person may hold more than one assigned role, but each action must be checked against the permission required for that action and its department or asset scope. Technical administration does not by itself authorize a transfer or disposal. [R1, pp. 3–4, 7–8]</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52"/>
        <w:gridCol w:w="5010"/>
        <w:gridCol w:w="2862"/>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52" w:type="dxa"/>
          </w:tcPr>
          <w:p w14:paraId="00001050">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Stakeholder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010" w:type="dxa"/>
          </w:tcPr>
          <w:p w14:paraId="00001051">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Required information and 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862" w:type="dxa"/>
          </w:tcPr>
          <w:p w14:paraId="00001052">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Proposed authority</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5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Department representative or requester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5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Asset specifications, condition, available quantity and request status; submit departmental needs and confirm receipt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5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View available listings; create and manage permitted requests; confirm assigned receipts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5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Asset custodian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5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Assigned asset details, current location and pending requests; maintain condition and availability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5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Create and update assigned assets; publish listings; confirm release after approval</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5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Designated approver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5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Request purpose, asset condition, departmental ownership and supporting records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5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Approve or reject releases and applicable life-cycle actions within assigned authority</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5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Maintenance staff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5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Defect reports, service history and repair costs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5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Record inspections and service work for assigned assets; update resulting condition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5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Procurement and finance officers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6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Replacement-cost assumptions, repair and transfer costs, completed exchange records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6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Review permitted cost inputs and financial reports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6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Sustainability officers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6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Completed reuse events, asset mass and documented environmental factors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6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Review impact assumptions and sustainability reports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6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System administrator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6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User accounts, roles, department membership and audit records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6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Configure access and review authorized administrative records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6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Project team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6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Requirements, source evidence, sample data, implementation and test results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6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Develop, review and test the prototype and documentation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6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Instructor and lab engineer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6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Phase deliverables, repository history and demonstrations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6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Review scope, assess progress and evaluate project work</w:t>
            </w:r>
          </w:p>
        </w:tc>
      </w:tr>
    </w:tbl>
    <w:p w14:paraId="0000106E">
      <w:pPr>
        <w:spacing w:after="110" w:line="300" w:lineRule="auto"/>
        <w:jc w:val="both"/>
        <w:rPr>
          <w:rFonts w:ascii="Helvetica Neue" w:cs="Helvetica Neue" w:eastAsia="Helvetica Neue" w:hAnsi="Helvetica Neue"/>
        </w:rPr>
        <w:widowControl w:val="1"/>
        <w:keepNext w:val="0"/>
      </w:pPr>
    </w:p>
    <w:p w14:paraId="0000106F">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Data access boundaries</w:t>
      </w:r>
    </w:p>
    <w:p w14:paraId="00001070">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Requesters need sufficient listing information to judge suitability, but access to a listing will not automatically grant access to purchase values, unrestricted service records or another department's private requests. Custodians will modify only assets assigned to them. Approval screens will expose the records needed for the assigned decision; finance and sustainability reports will be restricted to their permitted users. The detailed organizational assignments require validation with an authorized stakeholder.</w:t>
      </w:r>
    </w:p>
    <w:p w14:paraId="00001071">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Permission checks will apply both to screen access and to the underlying operation. A user who cannot edit an asset through the interface must also be prevented from editing it through a direct request. Audit records will retain the acting user, time, action and affected record so that changes can be traced to an accountable account.</w:t>
      </w:r>
    </w:p>
    <w:p w14:paraId="00001072">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Pr>
      <w:r>
        <w:rPr>
          <w:rFonts w:ascii="Helvetica Neue" w:cs="Helvetica Neue" w:eastAsia="Helvetica Neue" w:hAnsi="Helvetica Neue"/>
          <w:color w:val="082a4a"/>
          <w:rtl w:val="0"/>
        </w:rPr>
        <w:t xml:space="preserve">4 Requirements Gathering</w:t>
      </w:r>
    </w:p>
    <w:p w14:paraId="00001073">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Evidence collected</w:t>
      </w:r>
    </w:p>
    <w:p w14:paraId="00001074">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current evidence consists of the full project description and the Phase 1 guidance. Document analysis establishes the required system capabilities and report structure. It does not establish campus approval authority, current staff practices or the availability of institutional data. [R1, pp. 7–9; R2, pp. 9–10]</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52"/>
        <w:gridCol w:w="5010"/>
        <w:gridCol w:w="2862"/>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52" w:type="dxa"/>
          </w:tcPr>
          <w:p w14:paraId="00001075">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Finding from document analysis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010" w:type="dxa"/>
          </w:tcPr>
          <w:p w14:paraId="00001076">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Requirement implication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862" w:type="dxa"/>
          </w:tcPr>
          <w:p w14:paraId="00001077">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Source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7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system must support resource discovery and exchange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7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Register available assets, capture needs, prevent unavailable reservations and confirm transfers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7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R1, pp. 3–4; FR-02 to FR-04</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7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Records must cover the asset life cycle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7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Preserve inspections, repairs, custody changes and final actions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7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R1, pp. 3–4; FR-05</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7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Stakeholders have different responsibilities and data needs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7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Enforce role and departmental restrictions and record decisions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8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R1, pp. 3–4, 7; FR-01</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8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AI functions must be considered alongside conventional functions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8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Implement suggestions with explanations, human review and a conventional fallback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8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R1, pp. 4–6; AI-01 to AI-05</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8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Phase 1 includes planning and requirements gathering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8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Define scope, stakeholders, initial specifications, responsibilities and milestones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8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R2, pp. 9–10</w:t>
            </w:r>
          </w:p>
        </w:tc>
      </w:tr>
    </w:tbl>
    <w:p w14:paraId="00001087">
      <w:pPr>
        <w:spacing w:after="110" w:line="300" w:lineRule="auto"/>
        <w:jc w:val="both"/>
        <w:rPr>
          <w:rFonts w:ascii="Helvetica Neue" w:cs="Helvetica Neue" w:eastAsia="Helvetica Neue" w:hAnsi="Helvetica Neue"/>
        </w:rPr>
        <w:widowControl w:val="1"/>
        <w:keepNext w:val="0"/>
      </w:pPr>
    </w:p>
    <w:p w14:paraId="00001088">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Planned validation activities</w:t>
      </w:r>
    </w:p>
    <w:p w14:paraId="00001089">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proposed gathering sequence is instructor consultation, an interview with an asset custodian or approved proxy, and a scenario walkthrough. Instructor consultation will establish the required prototype depth and identify an appropriate operational contact. The interview will document how assets are published, requested, approved, released, received and removed from service. The walkthrough will test that description against the monitor example and the exception cases in Section 2.</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52"/>
        <w:gridCol w:w="5010"/>
        <w:gridCol w:w="2862"/>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52" w:type="dxa"/>
          </w:tcPr>
          <w:p w14:paraId="0000108A">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Question to investigate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010" w:type="dxa"/>
          </w:tcPr>
          <w:p w14:paraId="0000108B">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Intended respondent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862" w:type="dxa"/>
          </w:tcPr>
          <w:p w14:paraId="0000108C">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Required output</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8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Who can approve release, transfer, donation, recycling and disposal?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8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Custodian and authorized approval representative, or approved proxy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8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Action-by-role permission matrix</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9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Which asset fields are mandatory before publication?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9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Custodian and maintenance representative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9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Field definitions, mandatory values and condition rules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9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When does a reservation expire, and how are competing requests resolved?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9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Custodian and department representative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9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Reservation and cancellation rules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9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What confirms physical release and receipt?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9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Releasing and receiving representatives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9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Required confirmation fields and exception handling</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9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Which inputs can support cost and environmental estimates?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9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Finance and sustainability representatives, or approved proxy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9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Input definitions, access restrictions and calculation sources</w:t>
            </w:r>
          </w:p>
        </w:tc>
      </w:tr>
    </w:tbl>
    <w:p w14:paraId="0000109C">
      <w:pPr>
        <w:spacing w:after="110" w:line="300" w:lineRule="auto"/>
        <w:jc w:val="both"/>
        <w:rPr>
          <w:rFonts w:ascii="Helvetica Neue" w:cs="Helvetica Neue" w:eastAsia="Helvetica Neue" w:hAnsi="Helvetica Neue"/>
        </w:rPr>
        <w:widowControl w:val="1"/>
        <w:keepNext w:val="0"/>
      </w:pPr>
    </w:p>
    <w:p w14:paraId="0000109D">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Each recorded finding will identify its source, date, related requirement ID and decision. Conflicting answers will remain unresolved until the responsible stakeholder clarifies them. Proxy responses will be distinguished from direct staff evidence. No interview findings are reported at this stage.</w:t>
      </w:r>
    </w:p>
    <w:p w14:paraId="0000109E">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Requirement priorities</w:t>
      </w:r>
    </w:p>
    <w:p w14:paraId="0000109F">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High-priority requirements establish a complete controlled exchange: authentication, accurate listings, search and reservation, approval, receipt and history. Classification and resource matching are also high priority because they support the comparison between conventional and AI-assisted discovery. Medium-priority functions are scheduled after this workflow but remain in scope. These include notifications, operational reporting, sustainable-action advice, conversational assistance and generated summaries.</w:t>
      </w:r>
    </w:p>
    <w:p w14:paraId="000010A0">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Pr>
      <w:r>
        <w:rPr>
          <w:rFonts w:ascii="Helvetica Neue" w:cs="Helvetica Neue" w:eastAsia="Helvetica Neue" w:hAnsi="Helvetica Neue"/>
          <w:color w:val="082a4a"/>
          <w:rtl w:val="0"/>
        </w:rPr>
        <w:t xml:space="preserve">5 Initial Requirements Specification</w:t>
      </w:r>
    </w:p>
    <w:p w14:paraId="000010A1">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Data requirements</w:t>
      </w:r>
    </w:p>
    <w:p w14:paraId="000010A2">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records below define proposed information needs, not a final database schema. All records will have a unique identifier. Asset, request and event references will allow the system to connect a recommendation or report value to the underlying operational record. Photographs and supporting documents are included in the source brief. [R1, pp. 3–5]</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52"/>
        <w:gridCol w:w="5010"/>
        <w:gridCol w:w="2862"/>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52" w:type="dxa"/>
          </w:tcPr>
          <w:p w14:paraId="000010A3">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Record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010" w:type="dxa"/>
          </w:tcPr>
          <w:p w14:paraId="000010A4">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Proposed fields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862" w:type="dxa"/>
          </w:tcPr>
          <w:p w14:paraId="000010A5">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Validation or use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A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Asset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A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Name, description, category, specifications, quantity, owner, department, custodian, location, purchase date, estimated value, condition, availability, photographs and documents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A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Require name, category, department, custodian, location, condition and positive whole-number quantity before publication; record unavailable optional values explicitly</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A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Request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A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Requester, department, purpose, required category and specifications, quantity, acceptable condition, urgency, location and required date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A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Require purpose, positive whole-number quantity and essential specifications; distinguish mandatory constraints from preferences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A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Approval and transfer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A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Asset and request IDs, decision, reason, approver, decision time, released quantity, releasing user, receiving user, confirmations and destination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A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Reject unauthorized decisions or quantities exceeding the reservation; retain release and receipt separately</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A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Maintenance and life cycle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B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Asset ID, event type, defect, action, event date, responsible user, cost, resulting condition and supporting evidence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B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Preserve earlier events; record the approval reference for an action requiring authorization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B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Recommendation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B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Request or asset ID, candidate, matching factors, explanation, missing inputs, model or service version and user response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B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Retain enough context to review suitability and compare outputs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0B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Impact and audit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0B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Source event, actor, time, input values, units, calculation assumptions and result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0B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Trace reported totals and estimates to eligible events; prevent duplicate counting</w:t>
            </w:r>
          </w:p>
        </w:tc>
      </w:tr>
    </w:tbl>
    <w:p w14:paraId="000010B8">
      <w:pPr>
        <w:spacing w:after="110" w:line="300" w:lineRule="auto"/>
        <w:jc w:val="both"/>
        <w:rPr>
          <w:rFonts w:ascii="Helvetica Neue" w:cs="Helvetica Neue" w:eastAsia="Helvetica Neue" w:hAnsi="Helvetica Neue"/>
        </w:rPr>
        <w:widowControl w:val="1"/>
        <w:keepNext w:val="0"/>
      </w:pPr>
    </w:p>
    <w:p w14:paraId="000010B9">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Functional requirements</w:t>
      </w:r>
    </w:p>
    <w:p w14:paraId="000010BA">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following requirements define proposed prototype behavior. The associated conditions specify actions and exceptions for validation before implementation. [R1, pp. 3–4, 8–9]</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227"/>
        <w:gridCol w:w="7464"/>
        <w:gridCol w:w="1533"/>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227" w:type="dxa"/>
          </w:tcPr>
          <w:p w14:paraId="000010BB">
            <w:pPr>
              <w:spacing w:after="0" w:before="20" w:line="265" w:lineRule="auto"/>
              <w:rPr>
                <w:rFonts w:ascii="Helvetica Neue" w:cs="Helvetica Neue" w:eastAsia="Helvetica Neue" w:hAnsi="Helvetica Neue"/>
              </w:rPr>
              <w:widowControl w:val="1"/>
              <w:keepNext w:val="0"/>
              <w:jc w:val="center"/>
            </w:pPr>
            <w:r>
              <w:rPr>
                <w:rFonts w:ascii="Helvetica Neue" w:cs="Helvetica Neue" w:eastAsia="Helvetica Neue" w:hAnsi="Helvetica Neue"/>
                <w:b w:val="1"/>
                <w:bCs w:val="1"/>
                <w:color w:val="ffffff"/>
                <w:rtl w:val="0"/>
                <w:sz w:val="22"/>
                <w:szCs w:val="22"/>
              </w:rPr>
              <w:t xml:space="preserve">ID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7464" w:type="dxa"/>
          </w:tcPr>
          <w:p w14:paraId="000010BC">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Requirement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533" w:type="dxa"/>
          </w:tcPr>
          <w:p w14:paraId="000010BD">
            <w:pPr>
              <w:spacing w:after="0" w:before="20" w:line="265" w:lineRule="auto"/>
              <w:rPr>
                <w:rFonts w:ascii="Helvetica Neue" w:cs="Helvetica Neue" w:eastAsia="Helvetica Neue" w:hAnsi="Helvetica Neue"/>
              </w:rPr>
              <w:widowControl w:val="1"/>
              <w:keepNext w:val="0"/>
              <w:jc w:val="center"/>
            </w:pPr>
            <w:r>
              <w:rPr>
                <w:rFonts w:ascii="Helvetica Neue" w:cs="Helvetica Neue" w:eastAsia="Helvetica Neue" w:hAnsi="Helvetica Neue"/>
                <w:b w:val="1"/>
                <w:bCs w:val="1"/>
                <w:color w:val="ffffff"/>
                <w:rtl w:val="0"/>
                <w:sz w:val="22"/>
                <w:szCs w:val="22"/>
              </w:rPr>
              <w:t xml:space="preserve">Priority</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0BE">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FR-01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464" w:type="dxa"/>
          </w:tcPr>
          <w:p w14:paraId="000010B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system shall authenticate users and check role, department and assigned-record permissions before each protected operation.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533" w:type="dxa"/>
          </w:tcPr>
          <w:p w14:paraId="000010C0">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High</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0C1">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FR-02</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464" w:type="dxa"/>
          </w:tcPr>
          <w:p w14:paraId="000010C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system shall allow assigned custodians to create, update and publish assets that meet the publication validation rules.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533" w:type="dxa"/>
          </w:tcPr>
          <w:p w14:paraId="000010C3">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High</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0C4">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FR-03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464" w:type="dxa"/>
          </w:tcPr>
          <w:p w14:paraId="000010C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system shall search available resources, record requests, reserve eligible quantities and display request status without overbooking.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533" w:type="dxa"/>
          </w:tcPr>
          <w:p w14:paraId="000010C6">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High</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0C7">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FR-04</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464" w:type="dxa"/>
          </w:tcPr>
          <w:p w14:paraId="000010C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system shall record approval, release and receipt before completing a transfer and updating custody and location.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533" w:type="dxa"/>
          </w:tcPr>
          <w:p w14:paraId="000010C9">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High</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0CA">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FR-05</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464" w:type="dxa"/>
          </w:tcPr>
          <w:p w14:paraId="000010C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system shall retain asset custody, inspection, repair, refurbishment, donation, recycling, retirement and disposal events.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533" w:type="dxa"/>
          </w:tcPr>
          <w:p w14:paraId="000010CC">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High</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0CD">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FR-06</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464" w:type="dxa"/>
          </w:tcPr>
          <w:p w14:paraId="000010C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system shall notify relevant users of request and transfer status changes and report recorded operational totals.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533" w:type="dxa"/>
          </w:tcPr>
          <w:p w14:paraId="000010CF">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Medium</w:t>
            </w:r>
          </w:p>
        </w:tc>
      </w:tr>
    </w:tbl>
    <w:p w14:paraId="000010D0">
      <w:pPr>
        <w:spacing w:after="110" w:line="300" w:lineRule="auto"/>
        <w:jc w:val="both"/>
        <w:rPr>
          <w:rFonts w:ascii="Helvetica Neue" w:cs="Helvetica Neue" w:eastAsia="Helvetica Neue" w:hAnsi="Helvetica Neue"/>
        </w:rPr>
        <w:widowControl w:val="1"/>
        <w:keepNext w:val="0"/>
      </w:pPr>
    </w:p>
    <w:p w14:paraId="000010D1">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FR-01 shall reject an unauthenticated operation and any action outside the user's assigned permissions. Rejection shall not modify the target record. Account and department administration shall support the role assignments used by these checks.</w:t>
      </w:r>
    </w:p>
    <w:p w14:paraId="000010D2">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FR-02 shall identify missing mandatory fields and reject zero, negative or fractional quantities. A condition or availability change shall affect subsequent searches and reservations. A retired or unserviceable asset shall not appear as an available working item.</w:t>
      </w:r>
    </w:p>
    <w:p w14:paraId="000010D3">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FR-03 shall support filters for category, condition, department, location, quantity and availability, and for age, value and life-cycle status where those data are available and permitted. A request shall distinguish essential specifications from preferences. Reserving a quantity shall reduce the quantity available to competing requests. An unsuccessful reservation shall explain that the requested quantity is unavailable without creating a partial reservation. Proposed request states are submitted, reserved, approved, rejected, cancelled and completed; rejection or cancellation shall release its reservation.</w:t>
      </w:r>
    </w:p>
    <w:p w14:paraId="000010D4">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FR-04 shall allow only the assigned approver to record a decision and only authorized releasing and receiving users to confirm their respective steps. Receipt cannot complete a transfer that lacks approval or release confirmation. On completion, custody, location and the transfer event shall update together. An interrupted operation shall leave either the previous state or the complete new state, never a partially updated exchange. Delivery arrangements and supporting documents shall remain linked to the transfer.</w:t>
      </w:r>
    </w:p>
    <w:p w14:paraId="000010D5">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FR-05 shall append each event to the asset's history with its responsible user and date. A maintenance event shall include the reported problem, action taken, cost when applicable and resulting condition. A donation, recycling or disposal event shall retain the applicable approval and final disposition. Removing an asset from availability shall not delete its history.</w:t>
      </w:r>
    </w:p>
    <w:p w14:paraId="000010D6">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FR-06 shall generate status notifications for the requester and responsible custodian when a request is approved, rejected or cancelled, and when a transfer is completed. Reports shall show available assets, open requests, completed transfers, approvals, maintenance events and custody changes for a selected reporting period. Totals shall reconcile with source records and respect the viewer's access restrictions.</w:t>
      </w:r>
    </w:p>
    <w:p w14:paraId="000010D7">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AI requirements</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227"/>
        <w:gridCol w:w="7464"/>
        <w:gridCol w:w="1533"/>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227" w:type="dxa"/>
          </w:tcPr>
          <w:p w14:paraId="000010D8">
            <w:pPr>
              <w:spacing w:after="0" w:before="20" w:line="265" w:lineRule="auto"/>
              <w:rPr>
                <w:rFonts w:ascii="Helvetica Neue" w:cs="Helvetica Neue" w:eastAsia="Helvetica Neue" w:hAnsi="Helvetica Neue"/>
              </w:rPr>
              <w:widowControl w:val="1"/>
              <w:keepNext w:val="0"/>
              <w:jc w:val="center"/>
            </w:pPr>
            <w:r>
              <w:rPr>
                <w:rFonts w:ascii="Helvetica Neue" w:cs="Helvetica Neue" w:eastAsia="Helvetica Neue" w:hAnsi="Helvetica Neue"/>
                <w:b w:val="1"/>
                <w:bCs w:val="1"/>
                <w:color w:val="ffffff"/>
                <w:rtl w:val="0"/>
                <w:sz w:val="22"/>
                <w:szCs w:val="22"/>
              </w:rPr>
              <w:t xml:space="preserve">ID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7464" w:type="dxa"/>
          </w:tcPr>
          <w:p w14:paraId="000010D9">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Proposed requirement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533" w:type="dxa"/>
          </w:tcPr>
          <w:p w14:paraId="000010DA">
            <w:pPr>
              <w:spacing w:after="0" w:before="20" w:line="265" w:lineRule="auto"/>
              <w:rPr>
                <w:rFonts w:ascii="Helvetica Neue" w:cs="Helvetica Neue" w:eastAsia="Helvetica Neue" w:hAnsi="Helvetica Neue"/>
              </w:rPr>
              <w:widowControl w:val="1"/>
              <w:keepNext w:val="0"/>
              <w:jc w:val="center"/>
            </w:pPr>
            <w:r>
              <w:rPr>
                <w:rFonts w:ascii="Helvetica Neue" w:cs="Helvetica Neue" w:eastAsia="Helvetica Neue" w:hAnsi="Helvetica Neue"/>
                <w:b w:val="1"/>
                <w:bCs w:val="1"/>
                <w:color w:val="ffffff"/>
                <w:rtl w:val="0"/>
                <w:sz w:val="22"/>
                <w:szCs w:val="22"/>
              </w:rPr>
              <w:t xml:space="preserve">Priority</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0DB">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AI-01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464" w:type="dxa"/>
          </w:tcPr>
          <w:p w14:paraId="000010D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Suggest a category, tags and missing metadata from the supplied asset information; require custodian acceptance before saving suggestions.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533" w:type="dxa"/>
          </w:tcPr>
          <w:p w14:paraId="000010DD">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High</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0DE">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AI-02</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464" w:type="dxa"/>
          </w:tcPr>
          <w:p w14:paraId="000010D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Exclude incompatible or unavailable assets, rank eligible candidates and explain the factors used for each recommendation.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533" w:type="dxa"/>
          </w:tcPr>
          <w:p w14:paraId="000010E0">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High</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0E1">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AI-03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464" w:type="dxa"/>
          </w:tcPr>
          <w:p w14:paraId="000010E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Suggest an appropriate life-cycle action using recorded condition, repair history and available cost or impact inputs.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533" w:type="dxa"/>
          </w:tcPr>
          <w:p w14:paraId="000010E3">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Medium</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0E4">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AI-04</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464" w:type="dxa"/>
          </w:tcPr>
          <w:p w14:paraId="000010E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Answer permitted search and status questions and prepare resource requests for explicit user confirmation.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533" w:type="dxa"/>
          </w:tcPr>
          <w:p w14:paraId="000010E6">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Medium</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0E7">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AI-05</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464" w:type="dxa"/>
          </w:tcPr>
          <w:p w14:paraId="000010E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Summarize recorded exchanges, maintenance activity and traceable financial or environmental estimates.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533" w:type="dxa"/>
          </w:tcPr>
          <w:p w14:paraId="000010E9">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Medium</w:t>
            </w:r>
          </w:p>
        </w:tc>
      </w:tr>
    </w:tbl>
    <w:p w14:paraId="000010EA">
      <w:pPr>
        <w:spacing w:after="110" w:line="300" w:lineRule="auto"/>
        <w:jc w:val="both"/>
        <w:rPr>
          <w:rFonts w:ascii="Helvetica Neue" w:cs="Helvetica Neue" w:eastAsia="Helvetica Neue" w:hAnsi="Helvetica Neue"/>
        </w:rPr>
        <w:widowControl w:val="1"/>
        <w:keepNext w:val="0"/>
      </w:pPr>
    </w:p>
    <w:p w14:paraId="000010EB">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For AI-01, the custodian shall be able to accept, edit or reject each suggestion. The brief includes descriptions, specifications, images and documents as potential inputs. Phase 2 will assess which input-processing methods can be supported; the system shall identify missing information rather than silently infer an unsupported specification. [R1, pp. 4–5]</w:t>
      </w:r>
    </w:p>
    <w:p w14:paraId="000010EC">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For AI-02, eligibility shall be checked before ranking. Available quantity, required specifications and acceptable condition are mandatory constraints when stated in the request. Location, urgency, timing and recorded transfer or repair costs may influence ordering after eligibility has been established. Each explanation shall identify the matching fields and any unresolved information. A similarity score shall not be described as a probability that the asset is suitable.</w:t>
      </w:r>
    </w:p>
    <w:p w14:paraId="000010ED">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For AI-03, candidate actions include continued use, transfer, repair, refurbishment, donation, component recovery, recycling and disposal. A recommendation shall state its supporting condition or cost evidence and flag missing inputs. It shall not create an approval or change the asset's disposition.</w:t>
      </w:r>
    </w:p>
    <w:p w14:paraId="000010EE">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For AI-04, the assistant shall use the same permissions as the signed-in user. Before submitting a request, it shall display the requested specifications, quantity, department and required date for confirmation. The assistant shall not confirm physical receipt or authorize a transfer on the user's behalf.</w:t>
      </w:r>
    </w:p>
    <w:p w14:paraId="000010EF">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For AI-05, each numerical summary shall be derived from stored records or a documented calculation. Estimated savings shall remain labelled as estimates, and missing cost or environmental inputs shall be disclosed. The system shall not generate an unsupported count of avoided purchases. If an AI operation fails, the interface shall report the failure and retain access to structured search and standard request forms. [R1, pp. 4–6, 8–9]</w:t>
      </w:r>
    </w:p>
    <w:p w14:paraId="000010F0">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Nonfunctional requirements</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227"/>
        <w:gridCol w:w="5419"/>
        <w:gridCol w:w="3578"/>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227" w:type="dxa"/>
          </w:tcPr>
          <w:p w14:paraId="000010F1">
            <w:pPr>
              <w:spacing w:after="0" w:before="20" w:line="265" w:lineRule="auto"/>
              <w:rPr>
                <w:rFonts w:ascii="Helvetica Neue" w:cs="Helvetica Neue" w:eastAsia="Helvetica Neue" w:hAnsi="Helvetica Neue"/>
              </w:rPr>
              <w:widowControl w:val="1"/>
              <w:keepNext w:val="0"/>
              <w:jc w:val="center"/>
            </w:pPr>
            <w:r>
              <w:rPr>
                <w:rFonts w:ascii="Helvetica Neue" w:cs="Helvetica Neue" w:eastAsia="Helvetica Neue" w:hAnsi="Helvetica Neue"/>
                <w:b w:val="1"/>
                <w:bCs w:val="1"/>
                <w:color w:val="ffffff"/>
                <w:rtl w:val="0"/>
                <w:sz w:val="22"/>
                <w:szCs w:val="22"/>
              </w:rPr>
              <w:t xml:space="preserve">ID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419" w:type="dxa"/>
          </w:tcPr>
          <w:p w14:paraId="000010F2">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Quality requirement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578" w:type="dxa"/>
          </w:tcPr>
          <w:p w14:paraId="000010F3">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Proposed verification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0F4">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NFR-01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419" w:type="dxa"/>
          </w:tcPr>
          <w:p w14:paraId="000010F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At least 95% of structured searches shall complete within 2 seconds with 500 sample assets and 10 concurrent users.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578" w:type="dxa"/>
          </w:tcPr>
          <w:p w14:paraId="000010F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Record search response times under a repeatable workload and documented environment</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0F7">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NFR-02</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419" w:type="dxa"/>
          </w:tcPr>
          <w:p w14:paraId="000010F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Protected operations and reports shall reject every unauthorized case in the role and department test matrix.</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578" w:type="dxa"/>
          </w:tcPr>
          <w:p w14:paraId="000010F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Exercise both permitted and prohibited actions through interface and direct requests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0FA">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NFR-03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419" w:type="dxa"/>
          </w:tcPr>
          <w:p w14:paraId="000010F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Transfer completion shall preserve consistency between custody, location and history.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578" w:type="dxa"/>
          </w:tcPr>
          <w:p w14:paraId="000010F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Interrupt completion and verify that no partial transfer remains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0FD">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NFR-04</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419" w:type="dxa"/>
          </w:tcPr>
          <w:p w14:paraId="000010F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At least 4 of 5 testers shall complete asset discovery, request submission and request-status checking without assistance.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578" w:type="dxa"/>
          </w:tcPr>
          <w:p w14:paraId="000010F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Observe each tester using the same tasks and record completion and errors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100">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NFR-05</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419" w:type="dxa"/>
          </w:tcPr>
          <w:p w14:paraId="0000110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Publication, approval, transfer, maintenance and final disposition changes shall retain actor, time, action and affected record.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578" w:type="dxa"/>
          </w:tcPr>
          <w:p w14:paraId="0000110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Compare audit entries with each executed test event</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103">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NFR-06</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419" w:type="dxa"/>
          </w:tcPr>
          <w:p w14:paraId="0000110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AI service failure shall not prevent structured search or standard request submission.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578" w:type="dxa"/>
          </w:tcPr>
          <w:p w14:paraId="0000110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Simulate an AI failure and complete both baseline functions</w:t>
            </w:r>
          </w:p>
        </w:tc>
      </w:tr>
    </w:tbl>
    <w:p w14:paraId="00001106">
      <w:pPr>
        <w:spacing w:after="110" w:line="300" w:lineRule="auto"/>
        <w:jc w:val="both"/>
        <w:rPr>
          <w:rFonts w:ascii="Helvetica Neue" w:cs="Helvetica Neue" w:eastAsia="Helvetica Neue" w:hAnsi="Helvetica Neue"/>
        </w:rPr>
        <w:widowControl w:val="1"/>
        <w:keepNext w:val="0"/>
      </w:pPr>
    </w:p>
    <w:p w14:paraId="00001107">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Acceptance and evaluation plan</w:t>
      </w:r>
    </w:p>
    <w:p w14:paraId="00001108">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following thresholds are proposed prototype acceptance targets, not instructor-prescribed values or achieved test results. The test record will identify inputs, expected output, observed output and pass or fail status.</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52"/>
        <w:gridCol w:w="5010"/>
        <w:gridCol w:w="2862"/>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52" w:type="dxa"/>
          </w:tcPr>
          <w:p w14:paraId="00001109">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Area</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010" w:type="dxa"/>
          </w:tcPr>
          <w:p w14:paraId="0000110A">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Acceptance target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862" w:type="dxa"/>
          </w:tcPr>
          <w:p w14:paraId="0000110B">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Evidence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10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Core workflow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10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Pass all 10 scenarios specified below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10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Scenario records and resulting asset or request states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10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Access control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11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Reject every unauthorized action in the defined test matrix</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11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Positive and negative role and department tests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11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Search performance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11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At least 95% of searches within 2 seconds with 500 assets and 10 concurrent users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11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Timing results with workload and environment details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11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Usability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11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At least 4 of 5 testers complete the specified tasks without help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11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Individual observation sheets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11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Match usefulness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11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Return an acceptable asset in the top 3 for at least 16 of 20 feasible requests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11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Predetermined suitability labels and ranked results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11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Impact calculations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11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Reproduce expected values for all 10 reuse and repair test cases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11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Independent calculations compared with system output</w:t>
            </w:r>
          </w:p>
        </w:tc>
      </w:tr>
    </w:tbl>
    <w:p w14:paraId="0000111E">
      <w:pPr>
        <w:spacing w:after="110" w:line="300" w:lineRule="auto"/>
        <w:jc w:val="both"/>
        <w:rPr>
          <w:rFonts w:ascii="Helvetica Neue" w:cs="Helvetica Neue" w:eastAsia="Helvetica Neue" w:hAnsi="Helvetica Neue"/>
        </w:rPr>
        <w:widowControl w:val="1"/>
        <w:keepNext w:val="0"/>
      </w:pPr>
    </w:p>
    <w:p w14:paraId="0000111F">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10 workflow scenarios will cover valid publication, invalid publication, successful search, search with no eligible results, request submission, a competing reservation, rejected approval, a completed transfer, interrupted transfer completion, and a maintenance or retirement update that removes an asset from availability. Each case will verify both the displayed outcome and the stored state.</w:t>
      </w:r>
    </w:p>
    <w:p w14:paraId="00001120">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matching test will use 20 sample requests, each with at least one compatible asset. Acceptable assets will be labelled before running either method. Semantic ranking and conventional keyword or filter search will use the same dataset and requests. The reported measure will be the number of requests with an acceptable asset among the first three results; it will not be presented as general AI accuracy. Classification suggestions will also be reviewed against labelled categories, while explanations will be checked against the actual asset fields.</w:t>
      </w:r>
    </w:p>
    <w:p w14:paraId="00001121">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Usability participants will be identified as staff or student proxies. Results from five testers will describe those observed sessions, not establish campus-wide acceptance. Search performance results will document the test device or server, workload, dataset and measurement interval.</w:t>
      </w:r>
    </w:p>
    <w:p w14:paraId="00001122">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For each eligible completed reuse event, estimated net savings will equal the avoided replacement cost minus transfer and repair costs. Calculations will retain the currency, input source and event reference. Reuse counts will include only completed exchanges. Diverted mass will require a recorded mass and a justified disposal baseline; carbon estimates will additionally require an identified emissions factor and unit. A missing input will produce an unavailable estimate, not a zero value. The 10 calculation cases will include missing inputs and duplicate-event checks as well as known reuse and repair values.</w:t>
      </w:r>
    </w:p>
    <w:p w14:paraId="00001123">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Pr>
      <w:r>
        <w:rPr>
          <w:rFonts w:ascii="Helvetica Neue" w:cs="Helvetica Neue" w:eastAsia="Helvetica Neue" w:hAnsi="Helvetica Neue"/>
          <w:color w:val="082a4a"/>
          <w:rtl w:val="0"/>
        </w:rPr>
        <w:t xml:space="preserve">6 Initial Project Plan</w:t>
      </w:r>
    </w:p>
    <w:p w14:paraId="00001124">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Development method</w:t>
      </w:r>
    </w:p>
    <w:p w14:paraId="00001125">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proposed method uses short iterations within the course phases. Each iteration will select a defined requirement, implement its behavior, execute its acceptance cases and obtain peer review before integration. Scope or rule changes will be recorded against the affected requirement ID. Feasibility decisions will precede technology selection, and the requirements specification will precede architecture and detailed design. [R1, pp. 7–10]</w:t>
      </w:r>
    </w:p>
    <w:p w14:paraId="00001126">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first implementation increment will establish user permissions, asset records and the request-to-receipt workflow. Subsequent increments will add classification and matching, extend maintenance and life-cycle handling, and complete notifications, reporting and the remaining AI functions. This sequence defines implementation order without removing the medium-priority requirements from scope.</w:t>
      </w:r>
    </w:p>
    <w:p w14:paraId="00001127">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Proposed team responsibilities</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52"/>
        <w:gridCol w:w="5010"/>
        <w:gridCol w:w="2862"/>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52" w:type="dxa"/>
          </w:tcPr>
          <w:p w14:paraId="00001128">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Member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010" w:type="dxa"/>
          </w:tcPr>
          <w:p w14:paraId="00001129">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Phase 1 lead 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862" w:type="dxa"/>
          </w:tcPr>
          <w:p w14:paraId="0000112A">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Review responsibility</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12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SAEED ALKAABI 100063100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12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Problem definition, scope, operational scenario and repository coordination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12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Check requirements against the exchange workflow</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12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ALI ALAWADHI 100063186</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12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Stakeholder analysis, gathering methods and functional requirements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13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Check permissions, data needs and requirement traceability</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13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HUMAID AL ALI 100062914</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13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Quality criteria, evaluation, resources, risks and milestones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13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Check that acceptance conditions are measurable and consistent</w:t>
            </w:r>
          </w:p>
        </w:tc>
      </w:tr>
    </w:tbl>
    <w:p w14:paraId="00001134">
      <w:pPr>
        <w:spacing w:after="110" w:line="300" w:lineRule="auto"/>
        <w:jc w:val="both"/>
        <w:rPr>
          <w:rFonts w:ascii="Helvetica Neue" w:cs="Helvetica Neue" w:eastAsia="Helvetica Neue" w:hAnsi="Helvetica Neue"/>
        </w:rPr>
        <w:widowControl w:val="1"/>
        <w:keepNext w:val="0"/>
      </w:pPr>
    </w:p>
    <w:p w14:paraId="00001135">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These are proposed assignments. All three members will review the integrated report and prototype. Each member will record their substantive changes under their own account; task branches and peer review will support integration and attribution.</w:t>
      </w:r>
    </w:p>
    <w:p w14:paraId="00001136">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Resources and dependencies</w:t>
      </w:r>
    </w:p>
    <w:p w14:paraId="00001137">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initial resources are three student developers, their development computers, VS Code, Git, GitHub and a labelled sample dataset. Later implementation requires a database, application hosting and an AI service or locally executable model. Phase 2 will compare these options against hardware requirements, usage limits, cost and the semester schedule. No paid-service budget or production deployment is assumed.</w:t>
      </w:r>
    </w:p>
    <w:p w14:paraId="00001138">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Stakeholder validation depends on access to a custodian or approved proxy. Live-data use depends on authorization and suitable field definitions. AI evaluation depends on labelled requests and compatible asset examples. Financial and environmental reporting depends on documented input values and calculation factors.</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52"/>
        <w:gridCol w:w="5010"/>
        <w:gridCol w:w="2862"/>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52" w:type="dxa"/>
          </w:tcPr>
          <w:p w14:paraId="00001139">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Risk</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010" w:type="dxa"/>
          </w:tcPr>
          <w:p w14:paraId="0000113A">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Effect on the project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862" w:type="dxa"/>
          </w:tcPr>
          <w:p w14:paraId="0000113B">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Planned response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13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Limited staff or data access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13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Operational assumptions cannot be validated directly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13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Use approved proxies and labelled sample records; distinguish their evidence from staff findings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13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Scope exceeds available effort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14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Required functions remain incomplete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14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Implement the core exchange first and review feature depth against course requirements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14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AI service cost or outage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14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Recommendations become unavailable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14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Assess service limits and cost before selection; preserve standard search and request processing</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14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Poor AI recommendations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14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Users receive unsuitable candidates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14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Enforce hard constraints before ranking and evaluate against labelled requests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14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Missing cost or environmental inputs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14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Impact reports contain unsupported estimates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14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Require source values and units; omit estimates whose required inputs are unavailable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14:paraId="0000114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Conflicting edits or inconsistent requirements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010" w:type="dxa"/>
          </w:tcPr>
          <w:p w14:paraId="0000114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Integration errors and unclear ownership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62" w:type="dxa"/>
          </w:tcPr>
          <w:p w14:paraId="0000114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Use individual commits, task branches and peer review</w:t>
            </w:r>
          </w:p>
        </w:tc>
      </w:tr>
    </w:tbl>
    <w:p w14:paraId="0000114E">
      <w:pPr>
        <w:spacing w:after="110" w:line="300" w:lineRule="auto"/>
        <w:jc w:val="both"/>
        <w:rPr>
          <w:rFonts w:ascii="Helvetica Neue" w:cs="Helvetica Neue" w:eastAsia="Helvetica Neue" w:hAnsi="Helvetica Neue"/>
        </w:rPr>
        <w:widowControl w:val="1"/>
        <w:keepNext w:val="0"/>
      </w:pPr>
    </w:p>
    <w:p w14:paraId="0000114F">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Phase milestones</w:t>
      </w:r>
    </w:p>
    <w:p w14:paraId="00001150">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following dates are the indicative schedule in the full project brief. The course materials contain different schedules: the Phase 1 guidance and Phase 2 slides place the first two phases in the weeks of 14 and 21 September, whereas the full brief lists 20 September and 4 October. The table is therefore a planning reference rather than a confirmed submission calendar. [R1, p. 10; R2, p. 4; R3, slide 2]</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227"/>
        <w:gridCol w:w="6237"/>
        <w:gridCol w:w="2760"/>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227" w:type="dxa"/>
          </w:tcPr>
          <w:p w14:paraId="00001151">
            <w:pPr>
              <w:spacing w:after="0" w:before="20" w:line="265" w:lineRule="auto"/>
              <w:rPr>
                <w:rFonts w:ascii="Helvetica Neue" w:cs="Helvetica Neue" w:eastAsia="Helvetica Neue" w:hAnsi="Helvetica Neue"/>
              </w:rPr>
              <w:widowControl w:val="1"/>
              <w:keepNext w:val="0"/>
              <w:jc w:val="center"/>
            </w:pPr>
            <w:r>
              <w:rPr>
                <w:rFonts w:ascii="Helvetica Neue" w:cs="Helvetica Neue" w:eastAsia="Helvetica Neue" w:hAnsi="Helvetica Neue"/>
                <w:b w:val="1"/>
                <w:bCs w:val="1"/>
                <w:color w:val="ffffff"/>
                <w:rtl w:val="0"/>
                <w:sz w:val="22"/>
                <w:szCs w:val="22"/>
              </w:rPr>
              <w:t xml:space="preserve">Phase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6237" w:type="dxa"/>
          </w:tcPr>
          <w:p w14:paraId="00001152">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Deliverable and dependency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760" w:type="dxa"/>
          </w:tcPr>
          <w:p w14:paraId="00001153">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Indicative week starting in 2026</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154">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37" w:type="dxa"/>
          </w:tcPr>
          <w:p w14:paraId="0000115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Initial plan and requirements gathering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760" w:type="dxa"/>
          </w:tcPr>
          <w:p w14:paraId="0000115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20 September</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157">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2</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37" w:type="dxa"/>
          </w:tcPr>
          <w:p w14:paraId="0000115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Feasibility study using the initial scope, data needs and resource constraints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760" w:type="dxa"/>
          </w:tcPr>
          <w:p w14:paraId="0000115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4 October</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15A">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37" w:type="dxa"/>
          </w:tcPr>
          <w:p w14:paraId="0000115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Requirements specification incorporating feasibility and stakeholder decisions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760" w:type="dxa"/>
          </w:tcPr>
          <w:p w14:paraId="0000115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18 October</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15D">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4–5</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37" w:type="dxa"/>
          </w:tcPr>
          <w:p w14:paraId="0000115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Architecture and detailed design based on the requirements specification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760" w:type="dxa"/>
          </w:tcPr>
          <w:p w14:paraId="0000115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1 November</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160">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6</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37" w:type="dxa"/>
          </w:tcPr>
          <w:p w14:paraId="0000116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Draft implementation of the specified prototype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760" w:type="dxa"/>
          </w:tcPr>
          <w:p w14:paraId="0000116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22 November</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14:paraId="00001163">
            <w:pPr>
              <w:spacing w:after="25" w:before="20" w:line="285" w:lineRule="auto"/>
              <w:rPr>
                <w:rFonts w:ascii="Helvetica Neue" w:cs="Helvetica Neue" w:eastAsia="Helvetica Neue" w:hAnsi="Helvetica Neue"/>
              </w:rPr>
              <w:widowControl w:val="1"/>
              <w:keepNext w:val="0"/>
              <w:jc w:val="center"/>
            </w:pPr>
            <w:r>
              <w:rPr>
                <w:rFonts w:ascii="Helvetica Neue" w:cs="Helvetica Neue" w:eastAsia="Helvetica Neue" w:hAnsi="Helvetica Neue"/>
                <w:color w:val="233447"/>
                <w:rtl w:val="0"/>
                <w:sz w:val="22"/>
                <w:szCs w:val="22"/>
              </w:rPr>
              <w:t xml:space="preserve">7–8</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37" w:type="dxa"/>
          </w:tcPr>
          <w:p w14:paraId="0000116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Test cases, final project documentation and demonstration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760" w:type="dxa"/>
          </w:tcPr>
          <w:p w14:paraId="0000116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6 December</w:t>
            </w:r>
          </w:p>
        </w:tc>
      </w:tr>
    </w:tbl>
    <w:p w14:paraId="00001166">
      <w:pPr>
        <w:spacing w:after="110" w:line="300" w:lineRule="auto"/>
        <w:jc w:val="both"/>
        <w:rPr>
          <w:rFonts w:ascii="Helvetica Neue" w:cs="Helvetica Neue" w:eastAsia="Helvetica Neue" w:hAnsi="Helvetica Neue"/>
        </w:rPr>
        <w:widowControl w:val="1"/>
        <w:keepNext w:val="0"/>
      </w:pPr>
    </w:p>
    <w:p w14:paraId="00001167">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Pr>
      <w:r>
        <w:rPr>
          <w:rFonts w:ascii="Helvetica Neue" w:cs="Helvetica Neue" w:eastAsia="Helvetica Neue" w:hAnsi="Helvetica Neue"/>
          <w:color w:val="082a4a"/>
          <w:rtl w:val="0"/>
        </w:rPr>
        <w:t xml:space="preserve">References</w:t>
      </w:r>
    </w:p>
    <w:p w14:paraId="00001168">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[R1] COSC 336. Project description. Fall 2026. Project-September2026.pdf. Project objectives and system functions, pp. 1–6; phase requirements, pp. 7–9; indicative schedule, p. 10.</w:t>
      </w:r>
    </w:p>
    <w:p w14:paraId="00001169">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[R2] COSC 336. Lab Phase 1 Initial Plan and Requirement Gathering Document. Fall 2026. COSC336_Circular_Campus_Project_Fall2026.pdf. Schedule, p. 4; Phase 1 report requirements, pp. 9–10.</w:t>
      </w:r>
    </w:p>
    <w:p w14:paraId="0000116A">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[R3] COSC 336. Phase 2 Feasibility Study. Fall 2026. feasibility study (1).pptx. Schedule, slide 2.</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COSC 336 | Phase 1 Report</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