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rFonts w:ascii="Arial" w:cs="Arial" w:eastAsia="Arial" w:hAnsi="Arial"/>
          <w:b/>
          <w:bCs/>
          <w:color w:val="1F4E79"/>
          <w:sz w:val="52"/>
          <w:szCs w:val="52"/>
        </w:rPr>
        <w:t xml:space="preserve">Income Tax Deductions Guide</w:t>
      </w:r>
    </w:p>
    <w:p>
      <w:pPr>
        <w:spacing w:after="60" w:before="0"/>
        <w:jc w:val="center"/>
      </w:pPr>
      <w:r>
        <w:rPr>
          <w:rFonts w:ascii="Arial" w:cs="Arial" w:eastAsia="Arial" w:hAnsi="Arial"/>
          <w:i/>
          <w:iCs/>
          <w:color w:val="2E75B6"/>
          <w:sz w:val="24"/>
          <w:szCs w:val="24"/>
        </w:rPr>
        <w:t xml:space="preserve">A Complete Reference for New Employees | FY 2024–25</w:t>
      </w:r>
    </w:p>
    <w:p>
      <w:pPr>
        <w:spacing w:after="300" w:before="0"/>
        <w:jc w:val="center"/>
      </w:pPr>
      <w:r>
        <w:rPr>
          <w:rFonts w:ascii="Arial" w:cs="Arial" w:eastAsia="Arial" w:hAnsi="Arial"/>
          <w:color w:val="555555"/>
          <w:sz w:val="20"/>
          <w:szCs w:val="20"/>
        </w:rPr>
        <w:t xml:space="preserve">Under the Old Tax Regime (Income Tax Act, 1961)</w:t>
      </w:r>
    </w:p>
    <w:p>
      <w:pPr>
        <w:pStyle w:val="Heading1"/>
        <w:pBdr>
          <w:bottom w:val="single" w:color="2E75B6" w:sz="8" w:space="4"/>
        </w:pBdr>
        <w:spacing w:after="160" w:before="360"/>
      </w:pPr>
      <w:r>
        <w:rPr>
          <w:rFonts w:ascii="Arial" w:cs="Arial" w:eastAsia="Arial" w:hAnsi="Arial"/>
          <w:b/>
          <w:bCs/>
          <w:color w:val="1F4E79"/>
          <w:sz w:val="32"/>
          <w:szCs w:val="32"/>
        </w:rPr>
        <w:t xml:space="preserve">Introduction</w:t>
      </w:r>
    </w:p>
    <w:p>
      <w:pPr>
        <w:spacing w:after="60" w:before="60"/>
      </w:pPr>
      <w:r>
        <w:rPr>
          <w:rFonts w:ascii="Arial" w:cs="Arial" w:eastAsia="Arial" w:hAnsi="Arial"/>
          <w:color w:val="333333"/>
          <w:sz w:val="22"/>
          <w:szCs w:val="22"/>
        </w:rPr>
        <w:t xml:space="preserve">Welcome! As you begin your employment, understanding income tax deductions will help you plan your finances better and reduce your tax liability legally. This guide explains the key sections of the Income Tax Act, 1961 that allow you to claim deductions on your taxable income.</w:t>
      </w:r>
    </w:p>
    <w:p>
      <w:pPr>
        <w:spacing w:after="60" w:before="0"/>
      </w:pPr>
      <w:r>
        <w:t xml:space="preserve"/>
      </w:r>
    </w:p>
    <w:p>
      <w:pPr>
        <w:spacing w:after="60" w:before="60"/>
      </w:pPr>
      <w:r>
        <w:rPr>
          <w:rFonts w:ascii="Arial" w:cs="Arial" w:eastAsia="Arial" w:hAnsi="Arial"/>
          <w:color w:val="333333"/>
          <w:sz w:val="22"/>
          <w:szCs w:val="22"/>
        </w:rPr>
        <w:t xml:space="preserve">Tax deductions reduce your gross taxable income, which in turn lowers the amount of tax you owe. By making the right investments and maintaining proper documentation, you can maximize your savings within the limits set by the Income Tax 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AF4FB"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  Key Things to Know Before You Begin</w:t>
            </w:r>
          </w:p>
          <w:p>
            <w:pPr>
              <w:pStyle w:val="ListParagraph"/>
              <w:numPr>
                <w:ilvl w:val="0"/>
                <w:numId w:val="2"/>
              </w:numPr>
              <w:spacing w:after="40" w:before="40"/>
            </w:pPr>
            <w:r>
              <w:rPr>
                <w:rFonts w:ascii="Arial" w:cs="Arial" w:eastAsia="Arial" w:hAnsi="Arial"/>
                <w:color w:val="333333"/>
                <w:sz w:val="20"/>
                <w:szCs w:val="20"/>
              </w:rPr>
              <w:t xml:space="preserve">These deductions apply under the Old Tax Regime only. If you opt for the New Tax Regime, most of these deductions will not be available.</w:t>
            </w:r>
          </w:p>
          <w:p>
            <w:pPr>
              <w:pStyle w:val="ListParagraph"/>
              <w:numPr>
                <w:ilvl w:val="0"/>
                <w:numId w:val="2"/>
              </w:numPr>
              <w:spacing w:after="40" w:before="40"/>
            </w:pPr>
            <w:r>
              <w:rPr>
                <w:rFonts w:ascii="Arial" w:cs="Arial" w:eastAsia="Arial" w:hAnsi="Arial"/>
                <w:color w:val="333333"/>
                <w:sz w:val="20"/>
                <w:szCs w:val="20"/>
              </w:rPr>
              <w:t xml:space="preserve">Always submit proofs and declarations to your employer's HR/Finance team on time.</w:t>
            </w:r>
          </w:p>
          <w:p>
            <w:pPr>
              <w:pStyle w:val="ListParagraph"/>
              <w:numPr>
                <w:ilvl w:val="0"/>
                <w:numId w:val="2"/>
              </w:numPr>
              <w:spacing w:after="40" w:before="40"/>
            </w:pPr>
            <w:r>
              <w:rPr>
                <w:rFonts w:ascii="Arial" w:cs="Arial" w:eastAsia="Arial" w:hAnsi="Arial"/>
                <w:color w:val="333333"/>
                <w:sz w:val="20"/>
                <w:szCs w:val="20"/>
              </w:rPr>
              <w:t xml:space="preserve">Maintain original receipts and certificates for all investments and expenses claimed.</w:t>
            </w:r>
          </w:p>
        </w:tc>
      </w:tr>
    </w:tbl>
    <w:p>
      <w:pPr>
        <w:spacing w:after="20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Quick Reference: All Deduction Sections at a Glance</w:t>
      </w:r>
    </w:p>
    <w:p>
      <w:pPr>
        <w:spacing w:after="60" w:before="60"/>
      </w:pPr>
      <w:r>
        <w:rPr>
          <w:rFonts w:ascii="Arial" w:cs="Arial" w:eastAsia="Arial" w:hAnsi="Arial"/>
          <w:color w:val="333333"/>
          <w:sz w:val="22"/>
          <w:szCs w:val="22"/>
        </w:rPr>
        <w:t xml:space="preserve">The table below summarizes all major tax deduction sections covered in this guide: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312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4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Deduction</w:t>
            </w:r>
          </w:p>
        </w:tc>
        <w:tc>
          <w:tcPr>
            <w:tcW w:type="dxa" w:w="234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Eligible For</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80C</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Tax-saving investments (PPF, ELSS, LIC, etc.)</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₹1,50,000</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 HUF</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80CCC</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Pension fund contributions</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₹1,50,000 (combined)</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80CCD</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National Pension System (NPS)</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₹50,000 extra (1B)</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 Salaried</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80D</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Medical insurance premiums</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Up to ₹1,00,000</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 HUF</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80E</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Education loan interest</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No upper limit</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80EE</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Home loan interest (first-time buyer)</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₹50,000</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80TTA</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Savings account interest</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₹10,000</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 HUF</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80GG</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Rent paid (no HRA)</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₹5,000/month</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80GGA</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Scientific research / rural development donations</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100% of donation</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Non-business</w:t>
            </w:r>
          </w:p>
        </w:tc>
      </w:tr>
      <w:tr>
        <w:tc>
          <w:tcPr>
            <w:tcW w:type="dxa" w:w="15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80CCF</w:t>
            </w:r>
          </w:p>
        </w:tc>
        <w:tc>
          <w:tcPr>
            <w:tcW w:type="dxa" w:w="312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Infrastructure bond investments</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₹20,000</w:t>
            </w:r>
          </w:p>
        </w:tc>
        <w:tc>
          <w:tcPr>
            <w:tcW w:type="dxa" w:w="234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9"/>
                <w:szCs w:val="19"/>
              </w:rPr>
              <w:t xml:space="preserve">Individual, HUF</w:t>
            </w:r>
          </w:p>
        </w:tc>
      </w:tr>
    </w:tbl>
    <w:p>
      <w:pPr>
        <w:spacing w:after="20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Section 80C – Tax-Saving Investments</w:t>
      </w:r>
    </w:p>
    <w:p>
      <w:pPr>
        <w:spacing w:after="60" w:before="60"/>
      </w:pPr>
      <w:r>
        <w:rPr>
          <w:rFonts w:ascii="Arial" w:cs="Arial" w:eastAsia="Arial" w:hAnsi="Arial"/>
          <w:color w:val="333333"/>
          <w:sz w:val="22"/>
          <w:szCs w:val="22"/>
        </w:rPr>
        <w:t xml:space="preserve">Section 80C is the most widely used tax deduction available to individual taxpayers and HUFs. It allows you to reduce your taxable income by investing in government-approved savings schemes and making certain specified payments.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You can claim a deduction of up to ₹1,50,000 per financial year. This limit is shared across Section 80C, 80CCC, and 80CCD(1) combined — meaning your total claim under all three cannot exceed ₹1,50,000.</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 (salaried or self-employed)</w:t>
      </w:r>
    </w:p>
    <w:p>
      <w:pPr>
        <w:pStyle w:val="ListParagraph"/>
        <w:numPr>
          <w:ilvl w:val="0"/>
          <w:numId w:val="2"/>
        </w:numPr>
        <w:spacing w:after="40" w:before="40"/>
      </w:pPr>
      <w:r>
        <w:rPr>
          <w:rFonts w:ascii="Arial" w:cs="Arial" w:eastAsia="Arial" w:hAnsi="Arial"/>
          <w:color w:val="333333"/>
          <w:sz w:val="22"/>
          <w:szCs w:val="22"/>
        </w:rPr>
        <w:t xml:space="preserve">Hindu Undivided Families (HUFs)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Eligible Investments and Expenses</w:t>
      </w:r>
    </w:p>
    <w:p>
      <w:pPr>
        <w:spacing w:after="60" w:before="60"/>
      </w:pPr>
      <w:r>
        <w:rPr>
          <w:rFonts w:ascii="Arial" w:cs="Arial" w:eastAsia="Arial" w:hAnsi="Arial"/>
          <w:color w:val="333333"/>
          <w:sz w:val="22"/>
          <w:szCs w:val="22"/>
        </w:rPr>
        <w:t xml:space="preserve">The following investments and payments qualify for deduction under Section 80C:</w:t>
      </w:r>
    </w:p>
    <w:p>
      <w:pPr>
        <w:pStyle w:val="ListParagraph"/>
        <w:numPr>
          <w:ilvl w:val="0"/>
          <w:numId w:val="2"/>
        </w:numPr>
        <w:spacing w:after="40" w:before="40"/>
      </w:pPr>
      <w:r>
        <w:rPr>
          <w:rFonts w:ascii="Arial" w:cs="Arial" w:eastAsia="Arial" w:hAnsi="Arial"/>
          <w:color w:val="333333"/>
          <w:sz w:val="22"/>
          <w:szCs w:val="22"/>
        </w:rPr>
        <w:t xml:space="preserve">Public Provident Fund (PPF) – Government-backed long-term savings with tax-free returns</w:t>
      </w:r>
    </w:p>
    <w:p>
      <w:pPr>
        <w:pStyle w:val="ListParagraph"/>
        <w:numPr>
          <w:ilvl w:val="0"/>
          <w:numId w:val="2"/>
        </w:numPr>
        <w:spacing w:after="40" w:before="40"/>
      </w:pPr>
      <w:r>
        <w:rPr>
          <w:rFonts w:ascii="Arial" w:cs="Arial" w:eastAsia="Arial" w:hAnsi="Arial"/>
          <w:color w:val="333333"/>
          <w:sz w:val="22"/>
          <w:szCs w:val="22"/>
        </w:rPr>
        <w:t xml:space="preserve">Employee Provident Fund (EPF) – Your share of PF contribution from salary is included</w:t>
      </w:r>
    </w:p>
    <w:p>
      <w:pPr>
        <w:pStyle w:val="ListParagraph"/>
        <w:numPr>
          <w:ilvl w:val="0"/>
          <w:numId w:val="2"/>
        </w:numPr>
        <w:spacing w:after="40" w:before="40"/>
      </w:pPr>
      <w:r>
        <w:rPr>
          <w:rFonts w:ascii="Arial" w:cs="Arial" w:eastAsia="Arial" w:hAnsi="Arial"/>
          <w:color w:val="333333"/>
          <w:sz w:val="22"/>
          <w:szCs w:val="22"/>
        </w:rPr>
        <w:t xml:space="preserve">Equity Linked Saving Scheme (ELSS) – Mutual funds with a 3-year lock-in period</w:t>
      </w:r>
    </w:p>
    <w:p>
      <w:pPr>
        <w:pStyle w:val="ListParagraph"/>
        <w:numPr>
          <w:ilvl w:val="0"/>
          <w:numId w:val="2"/>
        </w:numPr>
        <w:spacing w:after="40" w:before="40"/>
      </w:pPr>
      <w:r>
        <w:rPr>
          <w:rFonts w:ascii="Arial" w:cs="Arial" w:eastAsia="Arial" w:hAnsi="Arial"/>
          <w:color w:val="333333"/>
          <w:sz w:val="22"/>
          <w:szCs w:val="22"/>
        </w:rPr>
        <w:t xml:space="preserve">Life Insurance Premium – Premiums paid for self, spouse, or dependent children</w:t>
      </w:r>
    </w:p>
    <w:p>
      <w:pPr>
        <w:pStyle w:val="ListParagraph"/>
        <w:numPr>
          <w:ilvl w:val="0"/>
          <w:numId w:val="2"/>
        </w:numPr>
        <w:spacing w:after="40" w:before="40"/>
      </w:pPr>
      <w:r>
        <w:rPr>
          <w:rFonts w:ascii="Arial" w:cs="Arial" w:eastAsia="Arial" w:hAnsi="Arial"/>
          <w:color w:val="333333"/>
          <w:sz w:val="22"/>
          <w:szCs w:val="22"/>
        </w:rPr>
        <w:t xml:space="preserve">National Savings Certificate (NSC) – Post office savings instrument</w:t>
      </w:r>
    </w:p>
    <w:p>
      <w:pPr>
        <w:pStyle w:val="ListParagraph"/>
        <w:numPr>
          <w:ilvl w:val="0"/>
          <w:numId w:val="2"/>
        </w:numPr>
        <w:spacing w:after="40" w:before="40"/>
      </w:pPr>
      <w:r>
        <w:rPr>
          <w:rFonts w:ascii="Arial" w:cs="Arial" w:eastAsia="Arial" w:hAnsi="Arial"/>
          <w:color w:val="333333"/>
          <w:sz w:val="22"/>
          <w:szCs w:val="22"/>
        </w:rPr>
        <w:t xml:space="preserve">Sukanya Samriddhi Yojana – Savings scheme for the girl child</w:t>
      </w:r>
    </w:p>
    <w:p>
      <w:pPr>
        <w:pStyle w:val="ListParagraph"/>
        <w:numPr>
          <w:ilvl w:val="0"/>
          <w:numId w:val="2"/>
        </w:numPr>
        <w:spacing w:after="40" w:before="40"/>
      </w:pPr>
      <w:r>
        <w:rPr>
          <w:rFonts w:ascii="Arial" w:cs="Arial" w:eastAsia="Arial" w:hAnsi="Arial"/>
          <w:color w:val="333333"/>
          <w:sz w:val="22"/>
          <w:szCs w:val="22"/>
        </w:rPr>
        <w:t xml:space="preserve">5-Year Tax-Saving Fixed Deposit – With scheduled banks or post offices</w:t>
      </w:r>
    </w:p>
    <w:p>
      <w:pPr>
        <w:pStyle w:val="ListParagraph"/>
        <w:numPr>
          <w:ilvl w:val="0"/>
          <w:numId w:val="2"/>
        </w:numPr>
        <w:spacing w:after="40" w:before="40"/>
      </w:pPr>
      <w:r>
        <w:rPr>
          <w:rFonts w:ascii="Arial" w:cs="Arial" w:eastAsia="Arial" w:hAnsi="Arial"/>
          <w:color w:val="333333"/>
          <w:sz w:val="22"/>
          <w:szCs w:val="22"/>
        </w:rPr>
        <w:t xml:space="preserve">Tuition Fees – For full-time education of up to 2 children in India</w:t>
      </w:r>
    </w:p>
    <w:p>
      <w:pPr>
        <w:pStyle w:val="ListParagraph"/>
        <w:numPr>
          <w:ilvl w:val="0"/>
          <w:numId w:val="2"/>
        </w:numPr>
        <w:spacing w:after="40" w:before="40"/>
      </w:pPr>
      <w:r>
        <w:rPr>
          <w:rFonts w:ascii="Arial" w:cs="Arial" w:eastAsia="Arial" w:hAnsi="Arial"/>
          <w:color w:val="333333"/>
          <w:sz w:val="22"/>
          <w:szCs w:val="22"/>
        </w:rPr>
        <w:t xml:space="preserve">Principal Repayment of Home Loan – EMI principal portion on a home loan</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invest ₹1,00,000 in PPF and pay ₹50,000 as life insurance premium → Total deduction claimed = ₹1,50,000 (full limit utilized).</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Investments under 80C generally have lock-in periods. Withdrawing early may result in reversal of tax benefits.</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80CCC – Pension Fund Contributions</w:t>
      </w:r>
    </w:p>
    <w:p>
      <w:pPr>
        <w:spacing w:after="60" w:before="60"/>
      </w:pPr>
      <w:r>
        <w:rPr>
          <w:rFonts w:ascii="Arial" w:cs="Arial" w:eastAsia="Arial" w:hAnsi="Arial"/>
          <w:color w:val="333333"/>
          <w:sz w:val="22"/>
          <w:szCs w:val="22"/>
        </w:rPr>
        <w:t xml:space="preserve">Section 80CCC provides a tax deduction for contributions made by an individual to certain pension funds offered by life insurance companies.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Up to ₹1,50,000 — subject to the combined 80C + 80CCC + 80CCD(1) limit of ₹1,50,000.</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 only (HUFs cannot claim this deduction)</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Eligible Contributions</w:t>
      </w:r>
    </w:p>
    <w:p>
      <w:pPr>
        <w:pStyle w:val="ListParagraph"/>
        <w:numPr>
          <w:ilvl w:val="0"/>
          <w:numId w:val="2"/>
        </w:numPr>
        <w:spacing w:after="40" w:before="40"/>
      </w:pPr>
      <w:r>
        <w:rPr>
          <w:rFonts w:ascii="Arial" w:cs="Arial" w:eastAsia="Arial" w:hAnsi="Arial"/>
          <w:color w:val="333333"/>
          <w:sz w:val="22"/>
          <w:szCs w:val="22"/>
        </w:rPr>
        <w:t xml:space="preserve">Contributions to approved pension plans offered by life insurance companies registered with IRDAI</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contribute ₹40,000 to an approved pension plan from an insurance company → ₹40,000 can be claimed as deduction (adjusts against your ₹1,50,000 combined limit).</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Amounts received as pension or on surrender of the pension plan are taxable in the year of receipt.</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80CCD – National Pension System (NPS) Contributions</w:t>
      </w:r>
    </w:p>
    <w:p>
      <w:pPr>
        <w:spacing w:after="60" w:before="60"/>
      </w:pPr>
      <w:r>
        <w:rPr>
          <w:rFonts w:ascii="Arial" w:cs="Arial" w:eastAsia="Arial" w:hAnsi="Arial"/>
          <w:color w:val="333333"/>
          <w:sz w:val="22"/>
          <w:szCs w:val="22"/>
        </w:rPr>
        <w:t xml:space="preserve">Section 80CCD provides tax benefits for contributions made to the National Pension System (NPS) — a voluntary, long-term retirement savings scheme regulated by PFRDA.</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Sub-sections and Deduction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Sub-section</w:t>
            </w:r>
          </w:p>
        </w:tc>
        <w:tc>
          <w:tcPr>
            <w:tcW w:type="dxa" w:w="436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w:t>
            </w:r>
          </w:p>
        </w:tc>
      </w:tr>
      <w:tr>
        <w:tc>
          <w:tcPr>
            <w:tcW w:type="dxa" w:w="220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80CCD(1)</w:t>
            </w:r>
          </w:p>
        </w:tc>
        <w:tc>
          <w:tcPr>
            <w:tcW w:type="dxa" w:w="436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Employee's own NPS contribution</w:t>
            </w:r>
          </w:p>
        </w:tc>
        <w:tc>
          <w:tcPr>
            <w:tcW w:type="dxa" w:w="280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Within ₹1,50,000 combined limit</w:t>
            </w:r>
          </w:p>
        </w:tc>
      </w:tr>
      <w:tr>
        <w:tc>
          <w:tcPr>
            <w:tcW w:type="dxa" w:w="2200"/>
            <w:tcBorders>
              <w:top w:val="single" w:color="C0D8EC" w:sz="1"/>
              <w:left w:val="single" w:color="C0D8EC" w:sz="1"/>
              <w:bottom w:val="single" w:color="C0D8EC" w:sz="1"/>
              <w:right w:val="single" w:color="C0D8E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80CCD(1B)</w:t>
            </w:r>
          </w:p>
        </w:tc>
        <w:tc>
          <w:tcPr>
            <w:tcW w:type="dxa" w:w="4360"/>
            <w:tcBorders>
              <w:top w:val="single" w:color="C0D8EC" w:sz="1"/>
              <w:left w:val="single" w:color="C0D8EC" w:sz="1"/>
              <w:bottom w:val="single" w:color="C0D8EC" w:sz="1"/>
              <w:right w:val="single" w:color="C0D8E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Additional voluntary NPS contribution (over and above 80C limit)</w:t>
            </w:r>
          </w:p>
        </w:tc>
        <w:tc>
          <w:tcPr>
            <w:tcW w:type="dxa" w:w="2800"/>
            <w:tcBorders>
              <w:top w:val="single" w:color="C0D8EC" w:sz="1"/>
              <w:left w:val="single" w:color="C0D8EC" w:sz="1"/>
              <w:bottom w:val="single" w:color="C0D8EC" w:sz="1"/>
              <w:right w:val="single" w:color="C0D8E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Extra ₹50,000 (exclusive)</w:t>
            </w:r>
          </w:p>
        </w:tc>
      </w:tr>
      <w:tr>
        <w:tc>
          <w:tcPr>
            <w:tcW w:type="dxa" w:w="220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80CCD(2)</w:t>
            </w:r>
          </w:p>
        </w:tc>
        <w:tc>
          <w:tcPr>
            <w:tcW w:type="dxa" w:w="436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Employer's NPS contribution on your behalf</w:t>
            </w:r>
          </w:p>
        </w:tc>
        <w:tc>
          <w:tcPr>
            <w:tcW w:type="dxa" w:w="280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Up to 10% of Basic + DA</w:t>
            </w:r>
          </w:p>
        </w:tc>
      </w:tr>
    </w:tbl>
    <w:p>
      <w:pPr>
        <w:spacing w:after="8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Salaried employees (government and private sector)</w:t>
      </w:r>
    </w:p>
    <w:p>
      <w:pPr>
        <w:pStyle w:val="ListParagraph"/>
        <w:numPr>
          <w:ilvl w:val="0"/>
          <w:numId w:val="2"/>
        </w:numPr>
        <w:spacing w:after="40" w:before="40"/>
      </w:pPr>
      <w:r>
        <w:rPr>
          <w:rFonts w:ascii="Arial" w:cs="Arial" w:eastAsia="Arial" w:hAnsi="Arial"/>
          <w:color w:val="333333"/>
          <w:sz w:val="22"/>
          <w:szCs w:val="22"/>
        </w:rPr>
        <w:t xml:space="preserve">Self-employed individuals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Eligible Schemes</w:t>
      </w:r>
    </w:p>
    <w:p>
      <w:pPr>
        <w:pStyle w:val="ListParagraph"/>
        <w:numPr>
          <w:ilvl w:val="0"/>
          <w:numId w:val="2"/>
        </w:numPr>
        <w:spacing w:after="40" w:before="40"/>
      </w:pPr>
      <w:r>
        <w:rPr>
          <w:rFonts w:ascii="Arial" w:cs="Arial" w:eastAsia="Arial" w:hAnsi="Arial"/>
          <w:color w:val="333333"/>
          <w:sz w:val="22"/>
          <w:szCs w:val="22"/>
        </w:rPr>
        <w:t xml:space="preserve">National Pension System (NPS) – Tier I account contributions</w:t>
      </w:r>
    </w:p>
    <w:p>
      <w:pPr>
        <w:pStyle w:val="ListParagraph"/>
        <w:numPr>
          <w:ilvl w:val="0"/>
          <w:numId w:val="2"/>
        </w:numPr>
        <w:spacing w:after="40" w:before="40"/>
      </w:pPr>
      <w:r>
        <w:rPr>
          <w:rFonts w:ascii="Arial" w:cs="Arial" w:eastAsia="Arial" w:hAnsi="Arial"/>
          <w:color w:val="333333"/>
          <w:sz w:val="22"/>
          <w:szCs w:val="22"/>
        </w:rPr>
        <w:t xml:space="preserve">Atal Pension Yojana (APY)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invest ₹1,50,000 under 80C and additionally invest ₹50,000 in NPS under 80CCD(1B) → Total deduction = ₹2,00,000 (₹1,50,000 + ₹50,000 exclusively).</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80CCD(1B) is one of the most valuable deductions as it provides an exclusive ₹50,000 over and above the ₹1,50,000 limit.</w:t>
      </w:r>
    </w:p>
    <w:p>
      <w:pPr>
        <w:spacing w:after="16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Section 80D – Medical Insurance Premium</w:t>
      </w:r>
    </w:p>
    <w:p>
      <w:pPr>
        <w:spacing w:after="60" w:before="60"/>
      </w:pPr>
      <w:r>
        <w:rPr>
          <w:rFonts w:ascii="Arial" w:cs="Arial" w:eastAsia="Arial" w:hAnsi="Arial"/>
          <w:color w:val="333333"/>
          <w:sz w:val="22"/>
          <w:szCs w:val="22"/>
        </w:rPr>
        <w:t xml:space="preserve">Section 80D allows you to claim deductions on premiums paid for health insurance policies. It also covers preventive health check-ups and medical expenses for senior citizens not covered by insurance.</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88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Regular (&lt; 60 yrs)</w:t>
            </w:r>
          </w:p>
        </w:tc>
        <w:tc>
          <w:tcPr>
            <w:tcW w:type="dxa" w:w="288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Senior Citizen (≥ 60 yrs)</w:t>
            </w:r>
          </w:p>
        </w:tc>
      </w:tr>
      <w:tr>
        <w:tc>
          <w:tcPr>
            <w:tcW w:type="dxa" w:w="360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Self, Spouse &amp; Children</w:t>
            </w:r>
          </w:p>
        </w:tc>
        <w:tc>
          <w:tcPr>
            <w:tcW w:type="dxa" w:w="288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₹25,000</w:t>
            </w:r>
          </w:p>
        </w:tc>
        <w:tc>
          <w:tcPr>
            <w:tcW w:type="dxa" w:w="288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color w:val="333333"/>
                <w:sz w:val="20"/>
                <w:szCs w:val="20"/>
              </w:rPr>
              <w:t xml:space="preserve">₹50,000</w:t>
            </w:r>
          </w:p>
        </w:tc>
      </w:tr>
      <w:tr>
        <w:tc>
          <w:tcPr>
            <w:tcW w:type="dxa" w:w="3600"/>
            <w:tcBorders>
              <w:top w:val="single" w:color="C0D8EC" w:sz="1"/>
              <w:left w:val="single" w:color="C0D8EC" w:sz="1"/>
              <w:bottom w:val="single" w:color="C0D8EC" w:sz="1"/>
              <w:right w:val="single" w:color="C0D8E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Parents</w:t>
            </w:r>
          </w:p>
        </w:tc>
        <w:tc>
          <w:tcPr>
            <w:tcW w:type="dxa" w:w="2880"/>
            <w:tcBorders>
              <w:top w:val="single" w:color="C0D8EC" w:sz="1"/>
              <w:left w:val="single" w:color="C0D8EC" w:sz="1"/>
              <w:bottom w:val="single" w:color="C0D8EC" w:sz="1"/>
              <w:right w:val="single" w:color="C0D8EC" w:sz="1"/>
            </w:tcBorders>
            <w:shd w:fill="EBF5FB" w:val="clear"/>
            <w:tcMar>
              <w:top w:type="dxa" w:w="80"/>
              <w:left w:type="dxa" w:w="120"/>
              <w:bottom w:type="dxa" w:w="80"/>
              <w:right w:type="dxa" w:w="120"/>
            </w:tcMar>
          </w:tcPr>
          <w:p>
            <w:r>
              <w:rPr>
                <w:rFonts w:ascii="Arial" w:cs="Arial" w:eastAsia="Arial" w:hAnsi="Arial"/>
                <w:color w:val="333333"/>
                <w:sz w:val="20"/>
                <w:szCs w:val="20"/>
              </w:rPr>
              <w:t xml:space="preserve">₹25,000</w:t>
            </w:r>
          </w:p>
        </w:tc>
        <w:tc>
          <w:tcPr>
            <w:tcW w:type="dxa" w:w="2880"/>
            <w:tcBorders>
              <w:top w:val="single" w:color="C0D8EC" w:sz="1"/>
              <w:left w:val="single" w:color="C0D8EC" w:sz="1"/>
              <w:bottom w:val="single" w:color="C0D8EC" w:sz="1"/>
              <w:right w:val="single" w:color="C0D8EC" w:sz="1"/>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₹50,000</w:t>
            </w:r>
          </w:p>
        </w:tc>
      </w:tr>
      <w:tr>
        <w:tc>
          <w:tcPr>
            <w:tcW w:type="dxa" w:w="360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b/>
                <w:bCs/>
                <w:color w:val="333333"/>
                <w:sz w:val="20"/>
                <w:szCs w:val="20"/>
              </w:rPr>
              <w:t xml:space="preserve">Maximum combined deduction</w:t>
            </w:r>
          </w:p>
        </w:tc>
        <w:tc>
          <w:tcPr>
            <w:tcW w:type="dxa" w:w="5760"/>
            <w:tcBorders>
              <w:top w:val="single" w:color="C0D8EC" w:sz="1"/>
              <w:left w:val="single" w:color="C0D8EC" w:sz="1"/>
              <w:bottom w:val="single" w:color="C0D8EC" w:sz="1"/>
              <w:right w:val="single" w:color="C0D8EC" w:sz="1"/>
            </w:tcBorders>
            <w:shd w:fill="F2F9FE" w:val="clear"/>
            <w:tcMar>
              <w:top w:type="dxa" w:w="80"/>
              <w:left w:type="dxa" w:w="120"/>
              <w:bottom w:type="dxa" w:w="80"/>
              <w:right w:type="dxa" w:w="120"/>
            </w:tcMar>
          </w:tcPr>
          <w:p>
            <w:r>
              <w:rPr>
                <w:rFonts w:ascii="Arial" w:cs="Arial" w:eastAsia="Arial" w:hAnsi="Arial"/>
                <w:b/>
                <w:bCs/>
                <w:color w:val="2E75B6"/>
                <w:sz w:val="20"/>
                <w:szCs w:val="20"/>
              </w:rPr>
              <w:t xml:space="preserve">Up to ₹1,00,000 (if both self and parents are senior citizens)</w:t>
            </w:r>
          </w:p>
        </w:tc>
        <w:tc>
          <w:tcPr>
            <w:tcW w:type="dxa" w:w="0"/>
            <w:tcBorders>
              <w:top w:val="single" w:color="C0D8EC" w:sz="1"/>
              <w:left w:val="single" w:color="C0D8EC" w:sz="1"/>
              <w:bottom w:val="single" w:color="C0D8EC" w:sz="1"/>
              <w:right w:val="single" w:color="C0D8EC" w:sz="1"/>
            </w:tcBorders>
            <w:shd w:fill="F2F9FE" w:val="clear"/>
            <w:tcMar>
              <w:top w:type="dxa" w:w="80"/>
              <w:left w:type="dxa" w:w="0"/>
              <w:bottom w:type="dxa" w:w="80"/>
              <w:right w:type="dxa" w:w="0"/>
            </w:tcMar>
          </w:tcPr>
          <w:p>
            <w:r>
              <w:t xml:space="preserve"/>
            </w:r>
          </w:p>
        </w:tc>
      </w:tr>
    </w:tbl>
    <w:p>
      <w:pPr>
        <w:spacing w:after="80" w:before="0"/>
      </w:pPr>
      <w:r>
        <w:t xml:space="preserve"/>
      </w:r>
    </w:p>
    <w:p>
      <w:pPr>
        <w:pStyle w:val="Heading2"/>
        <w:spacing w:after="100" w:before="280"/>
      </w:pPr>
      <w:r>
        <w:rPr>
          <w:rFonts w:ascii="Arial" w:cs="Arial" w:eastAsia="Arial" w:hAnsi="Arial"/>
          <w:b/>
          <w:bCs/>
          <w:color w:val="2E75B6"/>
          <w:sz w:val="26"/>
          <w:szCs w:val="26"/>
        </w:rPr>
        <w:t xml:space="preserve">Eligible Expenses</w:t>
      </w:r>
    </w:p>
    <w:p>
      <w:pPr>
        <w:pStyle w:val="ListParagraph"/>
        <w:numPr>
          <w:ilvl w:val="0"/>
          <w:numId w:val="2"/>
        </w:numPr>
        <w:spacing w:after="40" w:before="40"/>
      </w:pPr>
      <w:r>
        <w:rPr>
          <w:rFonts w:ascii="Arial" w:cs="Arial" w:eastAsia="Arial" w:hAnsi="Arial"/>
          <w:color w:val="333333"/>
          <w:sz w:val="22"/>
          <w:szCs w:val="22"/>
        </w:rPr>
        <w:t xml:space="preserve">Health insurance premium for self, spouse, dependent children, and parents</w:t>
      </w:r>
    </w:p>
    <w:p>
      <w:pPr>
        <w:pStyle w:val="ListParagraph"/>
        <w:numPr>
          <w:ilvl w:val="0"/>
          <w:numId w:val="2"/>
        </w:numPr>
        <w:spacing w:after="40" w:before="40"/>
      </w:pPr>
      <w:r>
        <w:rPr>
          <w:rFonts w:ascii="Arial" w:cs="Arial" w:eastAsia="Arial" w:hAnsi="Arial"/>
          <w:color w:val="333333"/>
          <w:sz w:val="22"/>
          <w:szCs w:val="22"/>
        </w:rPr>
        <w:t xml:space="preserve">Preventive health check-up expenses (up to ₹5,000 within overall limit)</w:t>
      </w:r>
    </w:p>
    <w:p>
      <w:pPr>
        <w:pStyle w:val="ListParagraph"/>
        <w:numPr>
          <w:ilvl w:val="0"/>
          <w:numId w:val="2"/>
        </w:numPr>
        <w:spacing w:after="40" w:before="40"/>
      </w:pPr>
      <w:r>
        <w:rPr>
          <w:rFonts w:ascii="Arial" w:cs="Arial" w:eastAsia="Arial" w:hAnsi="Arial"/>
          <w:color w:val="333333"/>
          <w:sz w:val="22"/>
          <w:szCs w:val="22"/>
        </w:rPr>
        <w:t xml:space="preserve">Medical expenditure for senior citizens not covered under any insurance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pay ₹22,000 for family health insurance and ₹30,000 for parents' insurance (parents are senior citizens) → Deduction = ₹22,000 + ₹30,000 = ₹52,000.</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Premiums must be paid through non-cash modes (cheque, NEFT, UPI). Preventive health check-up is the only exception where cash payment is allowed.</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80E – Education Loan Interest</w:t>
      </w:r>
    </w:p>
    <w:p>
      <w:pPr>
        <w:spacing w:after="60" w:before="60"/>
      </w:pPr>
      <w:r>
        <w:rPr>
          <w:rFonts w:ascii="Arial" w:cs="Arial" w:eastAsia="Arial" w:hAnsi="Arial"/>
          <w:color w:val="333333"/>
          <w:sz w:val="22"/>
          <w:szCs w:val="22"/>
        </w:rPr>
        <w:t xml:space="preserve">Section 80E allows individual taxpayers to claim a deduction on the interest paid on loans taken for higher education — for themselves, their spouse, children, or a student for whom they are a legal guardian.</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There is no upper cap on the deduction amount. The entire interest paid in a financial year can be claimed.</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 only (not HUFs or companies)</w:t>
      </w:r>
    </w:p>
    <w:p>
      <w:pPr>
        <w:pStyle w:val="ListParagraph"/>
        <w:numPr>
          <w:ilvl w:val="0"/>
          <w:numId w:val="2"/>
        </w:numPr>
        <w:spacing w:after="40" w:before="40"/>
      </w:pPr>
      <w:r>
        <w:rPr>
          <w:rFonts w:ascii="Arial" w:cs="Arial" w:eastAsia="Arial" w:hAnsi="Arial"/>
          <w:color w:val="333333"/>
          <w:sz w:val="22"/>
          <w:szCs w:val="22"/>
        </w:rPr>
        <w:t xml:space="preserve">Available to the person who has taken the loan — either the student or their parent</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Eligibility Conditions</w:t>
      </w:r>
    </w:p>
    <w:p>
      <w:pPr>
        <w:pStyle w:val="ListParagraph"/>
        <w:numPr>
          <w:ilvl w:val="0"/>
          <w:numId w:val="2"/>
        </w:numPr>
        <w:spacing w:after="40" w:before="40"/>
      </w:pPr>
      <w:r>
        <w:rPr>
          <w:rFonts w:ascii="Arial" w:cs="Arial" w:eastAsia="Arial" w:hAnsi="Arial"/>
          <w:color w:val="333333"/>
          <w:sz w:val="22"/>
          <w:szCs w:val="22"/>
        </w:rPr>
        <w:t xml:space="preserve">Loan must be taken from a bank, financial institution, or approved charitable institution</w:t>
      </w:r>
    </w:p>
    <w:p>
      <w:pPr>
        <w:pStyle w:val="ListParagraph"/>
        <w:numPr>
          <w:ilvl w:val="0"/>
          <w:numId w:val="2"/>
        </w:numPr>
        <w:spacing w:after="40" w:before="40"/>
      </w:pPr>
      <w:r>
        <w:rPr>
          <w:rFonts w:ascii="Arial" w:cs="Arial" w:eastAsia="Arial" w:hAnsi="Arial"/>
          <w:color w:val="333333"/>
          <w:sz w:val="22"/>
          <w:szCs w:val="22"/>
        </w:rPr>
        <w:t xml:space="preserve">The loan should be for pursuing higher education (after Class 12 / graduation level)</w:t>
      </w:r>
    </w:p>
    <w:p>
      <w:pPr>
        <w:pStyle w:val="ListParagraph"/>
        <w:numPr>
          <w:ilvl w:val="0"/>
          <w:numId w:val="2"/>
        </w:numPr>
        <w:spacing w:after="40" w:before="40"/>
      </w:pPr>
      <w:r>
        <w:rPr>
          <w:rFonts w:ascii="Arial" w:cs="Arial" w:eastAsia="Arial" w:hAnsi="Arial"/>
          <w:color w:val="333333"/>
          <w:sz w:val="22"/>
          <w:szCs w:val="22"/>
        </w:rPr>
        <w:t xml:space="preserve">Education can be in India or abroad</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pay ₹72,000 as interest on your education loan in FY 2024–25 → Full ₹72,000 is deductible under Section 80E.</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This deduction is available starting from the year the loan repayment begins and for a maximum of 8 consecutive years. Only the interest component qualifies — the principal repayment does not.</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80EE – Additional Home Loan Interest (First-Time Buyers)</w:t>
      </w:r>
    </w:p>
    <w:p>
      <w:pPr>
        <w:spacing w:after="60" w:before="60"/>
      </w:pPr>
      <w:r>
        <w:rPr>
          <w:rFonts w:ascii="Arial" w:cs="Arial" w:eastAsia="Arial" w:hAnsi="Arial"/>
          <w:color w:val="333333"/>
          <w:sz w:val="22"/>
          <w:szCs w:val="22"/>
        </w:rPr>
        <w:t xml:space="preserve">Section 80EE provides an additional tax deduction on home loan interest for first-time home buyers, over and above the ₹2,00,000 limit available under Section 24(b) of the Income Tax Act.</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Up to ₹50,000 per financial year.</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 only</w:t>
      </w:r>
    </w:p>
    <w:p>
      <w:pPr>
        <w:pStyle w:val="ListParagraph"/>
        <w:numPr>
          <w:ilvl w:val="0"/>
          <w:numId w:val="2"/>
        </w:numPr>
        <w:spacing w:after="40" w:before="40"/>
      </w:pPr>
      <w:r>
        <w:rPr>
          <w:rFonts w:ascii="Arial" w:cs="Arial" w:eastAsia="Arial" w:hAnsi="Arial"/>
          <w:color w:val="333333"/>
          <w:sz w:val="22"/>
          <w:szCs w:val="22"/>
        </w:rPr>
        <w:t xml:space="preserve">Must be a first-time home buyer (you should not own any other residential property at the time of loan sanction)</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Eligibility Conditions</w:t>
      </w:r>
    </w:p>
    <w:p>
      <w:pPr>
        <w:pStyle w:val="ListParagraph"/>
        <w:numPr>
          <w:ilvl w:val="0"/>
          <w:numId w:val="2"/>
        </w:numPr>
        <w:spacing w:after="40" w:before="40"/>
      </w:pPr>
      <w:r>
        <w:rPr>
          <w:rFonts w:ascii="Arial" w:cs="Arial" w:eastAsia="Arial" w:hAnsi="Arial"/>
          <w:color w:val="333333"/>
          <w:sz w:val="22"/>
          <w:szCs w:val="22"/>
        </w:rPr>
        <w:t xml:space="preserve">Loan must be sanctioned between 1 April 2016 and 31 March 2017 (original scheme)</w:t>
      </w:r>
    </w:p>
    <w:p>
      <w:pPr>
        <w:pStyle w:val="ListParagraph"/>
        <w:numPr>
          <w:ilvl w:val="0"/>
          <w:numId w:val="2"/>
        </w:numPr>
        <w:spacing w:after="40" w:before="40"/>
      </w:pPr>
      <w:r>
        <w:rPr>
          <w:rFonts w:ascii="Arial" w:cs="Arial" w:eastAsia="Arial" w:hAnsi="Arial"/>
          <w:color w:val="333333"/>
          <w:sz w:val="22"/>
          <w:szCs w:val="22"/>
        </w:rPr>
        <w:t xml:space="preserve">Loan amount should not exceed ₹35 lakh</w:t>
      </w:r>
    </w:p>
    <w:p>
      <w:pPr>
        <w:pStyle w:val="ListParagraph"/>
        <w:numPr>
          <w:ilvl w:val="0"/>
          <w:numId w:val="2"/>
        </w:numPr>
        <w:spacing w:after="40" w:before="40"/>
      </w:pPr>
      <w:r>
        <w:rPr>
          <w:rFonts w:ascii="Arial" w:cs="Arial" w:eastAsia="Arial" w:hAnsi="Arial"/>
          <w:color w:val="333333"/>
          <w:sz w:val="22"/>
          <w:szCs w:val="22"/>
        </w:rPr>
        <w:t xml:space="preserve">Property value should not exceed ₹50 lakh</w:t>
      </w:r>
    </w:p>
    <w:p>
      <w:pPr>
        <w:pStyle w:val="ListParagraph"/>
        <w:numPr>
          <w:ilvl w:val="0"/>
          <w:numId w:val="2"/>
        </w:numPr>
        <w:spacing w:after="40" w:before="40"/>
      </w:pPr>
      <w:r>
        <w:rPr>
          <w:rFonts w:ascii="Arial" w:cs="Arial" w:eastAsia="Arial" w:hAnsi="Arial"/>
          <w:color w:val="333333"/>
          <w:sz w:val="22"/>
          <w:szCs w:val="22"/>
        </w:rPr>
        <w:t xml:space="preserve">Loan should be from a bank or housing finance institution</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Your home loan interest in a year is ₹2,40,000. You already claim ₹2,00,000 under Section 24(b). Under 80EE, you can additionally claim ₹40,000, reducing overall tax liability further.</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Please check with your tax advisor if 80EE applies to your loan, as it is subject to specific sanction year and value conditions.</w:t>
      </w:r>
    </w:p>
    <w:p>
      <w:pPr>
        <w:spacing w:after="16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Section 80TTA – Interest on Savings Account</w:t>
      </w:r>
    </w:p>
    <w:p>
      <w:pPr>
        <w:spacing w:after="60" w:before="60"/>
      </w:pPr>
      <w:r>
        <w:rPr>
          <w:rFonts w:ascii="Arial" w:cs="Arial" w:eastAsia="Arial" w:hAnsi="Arial"/>
          <w:color w:val="333333"/>
          <w:sz w:val="22"/>
          <w:szCs w:val="22"/>
        </w:rPr>
        <w:t xml:space="preserve">Section 80TTA provides a deduction on interest earned from savings bank accounts. This is a commonly overlooked but easy-to-claim benefit for salaried individuals.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Up to ₹10,000 per financial year.</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w:t>
      </w:r>
    </w:p>
    <w:p>
      <w:pPr>
        <w:pStyle w:val="ListParagraph"/>
        <w:numPr>
          <w:ilvl w:val="0"/>
          <w:numId w:val="2"/>
        </w:numPr>
        <w:spacing w:after="40" w:before="40"/>
      </w:pPr>
      <w:r>
        <w:rPr>
          <w:rFonts w:ascii="Arial" w:cs="Arial" w:eastAsia="Arial" w:hAnsi="Arial"/>
          <w:color w:val="333333"/>
          <w:sz w:val="22"/>
          <w:szCs w:val="22"/>
        </w:rPr>
        <w:t xml:space="preserve">Hindu Undivided Families (HUFs)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Eligible Accounts</w:t>
      </w:r>
    </w:p>
    <w:p>
      <w:pPr>
        <w:pStyle w:val="ListParagraph"/>
        <w:numPr>
          <w:ilvl w:val="0"/>
          <w:numId w:val="2"/>
        </w:numPr>
        <w:spacing w:after="40" w:before="40"/>
      </w:pPr>
      <w:r>
        <w:rPr>
          <w:rFonts w:ascii="Arial" w:cs="Arial" w:eastAsia="Arial" w:hAnsi="Arial"/>
          <w:color w:val="333333"/>
          <w:sz w:val="22"/>
          <w:szCs w:val="22"/>
        </w:rPr>
        <w:t xml:space="preserve">Savings bank account with any scheduled bank</w:t>
      </w:r>
    </w:p>
    <w:p>
      <w:pPr>
        <w:pStyle w:val="ListParagraph"/>
        <w:numPr>
          <w:ilvl w:val="0"/>
          <w:numId w:val="2"/>
        </w:numPr>
        <w:spacing w:after="40" w:before="40"/>
      </w:pPr>
      <w:r>
        <w:rPr>
          <w:rFonts w:ascii="Arial" w:cs="Arial" w:eastAsia="Arial" w:hAnsi="Arial"/>
          <w:color w:val="333333"/>
          <w:sz w:val="22"/>
          <w:szCs w:val="22"/>
        </w:rPr>
        <w:t xml:space="preserve">Savings account with a post office</w:t>
      </w:r>
    </w:p>
    <w:p>
      <w:pPr>
        <w:pStyle w:val="ListParagraph"/>
        <w:numPr>
          <w:ilvl w:val="0"/>
          <w:numId w:val="2"/>
        </w:numPr>
        <w:spacing w:after="40" w:before="40"/>
      </w:pPr>
      <w:r>
        <w:rPr>
          <w:rFonts w:ascii="Arial" w:cs="Arial" w:eastAsia="Arial" w:hAnsi="Arial"/>
          <w:color w:val="333333"/>
          <w:sz w:val="22"/>
          <w:szCs w:val="22"/>
        </w:rPr>
        <w:t xml:space="preserve">Savings account with a cooperative bank</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Your savings account earned ₹7,500 in interest during the year → Full ₹7,500 is deductible. If interest was ₹14,000, only ₹10,000 can be claimed.</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Fixed Deposits (FD), Recurring Deposits (RD), and other term deposits are NOT covered under Section 80TTA. Senior citizens should refer to Section 80TTB instead, which provides a higher limit of ₹50,000.</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80GG – Rent Paid Without HRA</w:t>
      </w:r>
    </w:p>
    <w:p>
      <w:pPr>
        <w:spacing w:after="60" w:before="60"/>
      </w:pPr>
      <w:r>
        <w:rPr>
          <w:rFonts w:ascii="Arial" w:cs="Arial" w:eastAsia="Arial" w:hAnsi="Arial"/>
          <w:color w:val="333333"/>
          <w:sz w:val="22"/>
          <w:szCs w:val="22"/>
        </w:rPr>
        <w:t xml:space="preserve">Section 80GG provides tax relief to salaried individuals who pay rent for their accommodation but do not receive House Rent Allowance (HRA) as part of their salary — or whose HRA is not included in their CTC.</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The deduction is the lowest of the following three amounts:</w:t>
      </w:r>
    </w:p>
    <w:p>
      <w:pPr>
        <w:pStyle w:val="ListParagraph"/>
        <w:numPr>
          <w:ilvl w:val="0"/>
          <w:numId w:val="2"/>
        </w:numPr>
        <w:spacing w:after="40" w:before="40"/>
      </w:pPr>
      <w:r>
        <w:rPr>
          <w:rFonts w:ascii="Arial" w:cs="Arial" w:eastAsia="Arial" w:hAnsi="Arial"/>
          <w:color w:val="333333"/>
          <w:sz w:val="22"/>
          <w:szCs w:val="22"/>
        </w:rPr>
        <w:t xml:space="preserve">₹5,000 per month (₹60,000 per year)</w:t>
      </w:r>
    </w:p>
    <w:p>
      <w:pPr>
        <w:pStyle w:val="ListParagraph"/>
        <w:numPr>
          <w:ilvl w:val="0"/>
          <w:numId w:val="2"/>
        </w:numPr>
        <w:spacing w:after="40" w:before="40"/>
      </w:pPr>
      <w:r>
        <w:rPr>
          <w:rFonts w:ascii="Arial" w:cs="Arial" w:eastAsia="Arial" w:hAnsi="Arial"/>
          <w:color w:val="333333"/>
          <w:sz w:val="22"/>
          <w:szCs w:val="22"/>
        </w:rPr>
        <w:t xml:space="preserve">25% of total adjusted income</w:t>
      </w:r>
    </w:p>
    <w:p>
      <w:pPr>
        <w:pStyle w:val="ListParagraph"/>
        <w:numPr>
          <w:ilvl w:val="0"/>
          <w:numId w:val="2"/>
        </w:numPr>
        <w:spacing w:after="40" w:before="40"/>
      </w:pPr>
      <w:r>
        <w:rPr>
          <w:rFonts w:ascii="Arial" w:cs="Arial" w:eastAsia="Arial" w:hAnsi="Arial"/>
          <w:color w:val="333333"/>
          <w:sz w:val="22"/>
          <w:szCs w:val="22"/>
        </w:rPr>
        <w:t xml:space="preserve">Actual rent paid minus 10% of total adjusted income</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 who are paying rent but not receiving HRA from employer</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Eligibility Conditions</w:t>
      </w:r>
    </w:p>
    <w:p>
      <w:pPr>
        <w:pStyle w:val="ListParagraph"/>
        <w:numPr>
          <w:ilvl w:val="0"/>
          <w:numId w:val="2"/>
        </w:numPr>
        <w:spacing w:after="40" w:before="40"/>
      </w:pPr>
      <w:r>
        <w:rPr>
          <w:rFonts w:ascii="Arial" w:cs="Arial" w:eastAsia="Arial" w:hAnsi="Arial"/>
          <w:color w:val="333333"/>
          <w:sz w:val="22"/>
          <w:szCs w:val="22"/>
        </w:rPr>
        <w:t xml:space="preserve">You (or your spouse/minor child) should not own any residential property at the place where you work</w:t>
      </w:r>
    </w:p>
    <w:p>
      <w:pPr>
        <w:pStyle w:val="ListParagraph"/>
        <w:numPr>
          <w:ilvl w:val="0"/>
          <w:numId w:val="2"/>
        </w:numPr>
        <w:spacing w:after="40" w:before="40"/>
      </w:pPr>
      <w:r>
        <w:rPr>
          <w:rFonts w:ascii="Arial" w:cs="Arial" w:eastAsia="Arial" w:hAnsi="Arial"/>
          <w:color w:val="333333"/>
          <w:sz w:val="22"/>
          <w:szCs w:val="22"/>
        </w:rPr>
        <w:t xml:space="preserve">You must file Form 10BA declaring the rent payment details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Your annual income is ₹5,00,000, monthly rent is ₹7,000. Calculation: (a) ₹5,000/month = ₹60,000; (b) 25% of ₹5,00,000 = ₹1,25,000; (c) ₹84,000 − 10% of ₹5,00,000 = ₹34,000 → Deduction = ₹34,000 (lowest of the three).</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Maintain rent receipts and a signed rent agreement. If annual rent exceeds ₹1,00,000, landlord's PAN is required.</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80GGA – Donations for Scientific Research &amp; Rural Development</w:t>
      </w:r>
    </w:p>
    <w:p>
      <w:pPr>
        <w:spacing w:after="60" w:before="60"/>
      </w:pPr>
      <w:r>
        <w:rPr>
          <w:rFonts w:ascii="Arial" w:cs="Arial" w:eastAsia="Arial" w:hAnsi="Arial"/>
          <w:color w:val="333333"/>
          <w:sz w:val="22"/>
          <w:szCs w:val="22"/>
        </w:rPr>
        <w:t xml:space="preserve">Section 80GGA allows a 100% deduction for donations made to institutions engaged in scientific research or rural development. This is available to taxpayers who do not have income from business or profession.</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Individuals with only salary/other income (not business income)</w:t>
      </w:r>
    </w:p>
    <w:p>
      <w:pPr>
        <w:pStyle w:val="ListParagraph"/>
        <w:numPr>
          <w:ilvl w:val="0"/>
          <w:numId w:val="2"/>
        </w:numPr>
        <w:spacing w:after="40" w:before="40"/>
      </w:pPr>
      <w:r>
        <w:rPr>
          <w:rFonts w:ascii="Arial" w:cs="Arial" w:eastAsia="Arial" w:hAnsi="Arial"/>
          <w:color w:val="333333"/>
          <w:sz w:val="22"/>
          <w:szCs w:val="22"/>
        </w:rPr>
        <w:t xml:space="preserve">HUFs without business income</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Eligible Donations</w:t>
      </w:r>
    </w:p>
    <w:p>
      <w:pPr>
        <w:pStyle w:val="ListParagraph"/>
        <w:numPr>
          <w:ilvl w:val="0"/>
          <w:numId w:val="2"/>
        </w:numPr>
        <w:spacing w:after="40" w:before="40"/>
      </w:pPr>
      <w:r>
        <w:rPr>
          <w:rFonts w:ascii="Arial" w:cs="Arial" w:eastAsia="Arial" w:hAnsi="Arial"/>
          <w:color w:val="333333"/>
          <w:sz w:val="22"/>
          <w:szCs w:val="22"/>
        </w:rPr>
        <w:t xml:space="preserve">Approved scientific research institutions or universities</w:t>
      </w:r>
    </w:p>
    <w:p>
      <w:pPr>
        <w:pStyle w:val="ListParagraph"/>
        <w:numPr>
          <w:ilvl w:val="0"/>
          <w:numId w:val="2"/>
        </w:numPr>
        <w:spacing w:after="40" w:before="40"/>
      </w:pPr>
      <w:r>
        <w:rPr>
          <w:rFonts w:ascii="Arial" w:cs="Arial" w:eastAsia="Arial" w:hAnsi="Arial"/>
          <w:color w:val="333333"/>
          <w:sz w:val="22"/>
          <w:szCs w:val="22"/>
        </w:rPr>
        <w:t xml:space="preserve">Organizations undertaking rural development programs</w:t>
      </w:r>
    </w:p>
    <w:p>
      <w:pPr>
        <w:pStyle w:val="ListParagraph"/>
        <w:numPr>
          <w:ilvl w:val="0"/>
          <w:numId w:val="2"/>
        </w:numPr>
        <w:spacing w:after="40" w:before="40"/>
      </w:pPr>
      <w:r>
        <w:rPr>
          <w:rFonts w:ascii="Arial" w:cs="Arial" w:eastAsia="Arial" w:hAnsi="Arial"/>
          <w:color w:val="333333"/>
          <w:sz w:val="22"/>
          <w:szCs w:val="22"/>
        </w:rPr>
        <w:t xml:space="preserve">Notified associations engaged in approved research</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donate ₹15,000 to an approved rural development trust → Full ₹15,000 is deductible. No cap on amount for eligible donations.</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Donations above ₹2,000 must be made through non-cash modes (cheque, online transfer). Always obtain a receipt with the institution's 80GGA registration number.</w:t>
      </w:r>
    </w:p>
    <w:p>
      <w:pPr>
        <w:spacing w:after="16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Section 80CCF – Infrastructure Bond Investments</w:t>
      </w:r>
    </w:p>
    <w:p>
      <w:pPr>
        <w:spacing w:after="60" w:before="60"/>
      </w:pPr>
      <w:r>
        <w:rPr>
          <w:rFonts w:ascii="Arial" w:cs="Arial" w:eastAsia="Arial" w:hAnsi="Arial"/>
          <w:color w:val="333333"/>
          <w:sz w:val="22"/>
          <w:szCs w:val="22"/>
        </w:rPr>
        <w:t xml:space="preserve">Section 80CCF provides a deduction for investments made in long-term infrastructure bonds notified by the Central Government. These bonds are issued for funding infrastructure development in India.</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Maximum Deduction Allowed</w:t>
      </w:r>
    </w:p>
    <w:p>
      <w:pPr>
        <w:spacing w:after="60" w:before="60"/>
      </w:pPr>
      <w:r>
        <w:rPr>
          <w:rFonts w:ascii="Arial" w:cs="Arial" w:eastAsia="Arial" w:hAnsi="Arial"/>
          <w:color w:val="333333"/>
          <w:sz w:val="22"/>
          <w:szCs w:val="22"/>
        </w:rPr>
        <w:t xml:space="preserve">Up to ₹20,000 per financial year. This deduction is available over and above the ₹1,50,000 limit under Section 80C.</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Who Can Claim?</w:t>
      </w:r>
    </w:p>
    <w:p>
      <w:pPr>
        <w:pStyle w:val="ListParagraph"/>
        <w:numPr>
          <w:ilvl w:val="0"/>
          <w:numId w:val="2"/>
        </w:numPr>
        <w:spacing w:after="40" w:before="40"/>
      </w:pPr>
      <w:r>
        <w:rPr>
          <w:rFonts w:ascii="Arial" w:cs="Arial" w:eastAsia="Arial" w:hAnsi="Arial"/>
          <w:color w:val="333333"/>
          <w:sz w:val="22"/>
          <w:szCs w:val="22"/>
        </w:rPr>
        <w:t xml:space="preserve">Individual taxpayers</w:t>
      </w:r>
    </w:p>
    <w:p>
      <w:pPr>
        <w:pStyle w:val="ListParagraph"/>
        <w:numPr>
          <w:ilvl w:val="0"/>
          <w:numId w:val="2"/>
        </w:numPr>
        <w:spacing w:after="40" w:before="40"/>
      </w:pPr>
      <w:r>
        <w:rPr>
          <w:rFonts w:ascii="Arial" w:cs="Arial" w:eastAsia="Arial" w:hAnsi="Arial"/>
          <w:color w:val="333333"/>
          <w:sz w:val="22"/>
          <w:szCs w:val="22"/>
        </w:rPr>
        <w:t xml:space="preserve">Hindu Undivided Families (HUFs)</w:t>
      </w:r>
    </w:p>
    <w:p>
      <w:pPr>
        <w:spacing w:after="60" w:before="0"/>
      </w:pPr>
      <w:r>
        <w:t xml:space="preserve"/>
      </w:r>
    </w:p>
    <w:p>
      <w:pPr>
        <w:pStyle w:val="Heading2"/>
        <w:spacing w:after="100" w:before="280"/>
      </w:pPr>
      <w:r>
        <w:rPr>
          <w:rFonts w:ascii="Arial" w:cs="Arial" w:eastAsia="Arial" w:hAnsi="Arial"/>
          <w:b/>
          <w:bCs/>
          <w:color w:val="2E75B6"/>
          <w:sz w:val="26"/>
          <w:szCs w:val="26"/>
        </w:rPr>
        <w:t xml:space="preserve">Eligible Investments</w:t>
      </w:r>
    </w:p>
    <w:p>
      <w:pPr>
        <w:pStyle w:val="ListParagraph"/>
        <w:numPr>
          <w:ilvl w:val="0"/>
          <w:numId w:val="2"/>
        </w:numPr>
        <w:spacing w:after="40" w:before="40"/>
      </w:pPr>
      <w:r>
        <w:rPr>
          <w:rFonts w:ascii="Arial" w:cs="Arial" w:eastAsia="Arial" w:hAnsi="Arial"/>
          <w:color w:val="333333"/>
          <w:sz w:val="22"/>
          <w:szCs w:val="22"/>
        </w:rPr>
        <w:t xml:space="preserve">Long-term infrastructure bonds notified by the Central Government (minimum 10-year maturity)</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D8EC" w:sz="1"/>
              <w:left w:val="single" w:color="C0D8EC" w:sz="1"/>
              <w:bottom w:val="single" w:color="C0D8EC" w:sz="1"/>
              <w:right w:val="single" w:color="C0D8EC" w:sz="1"/>
            </w:tcBorders>
            <w:shd w:fill="EBF5FB"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 Example: </w:t>
            </w:r>
            <w:r>
              <w:rPr>
                <w:rFonts w:ascii="Arial" w:cs="Arial" w:eastAsia="Arial" w:hAnsi="Arial"/>
                <w:color w:val="333333"/>
                <w:sz w:val="20"/>
                <w:szCs w:val="20"/>
              </w:rPr>
              <w:t xml:space="preserve">You invest ₹20,000 in government-notified infrastructure bonds → ₹20,000 can be claimed as deduction separately from your ₹1,50,000 Section 80C limit.</w:t>
            </w:r>
          </w:p>
        </w:tc>
      </w:tr>
    </w:tbl>
    <w:p>
      <w:pPr>
        <w:spacing w:after="80" w:before="0"/>
      </w:pPr>
      <w:r>
        <w:t xml:space="preserve"/>
      </w:r>
    </w:p>
    <w:p>
      <w:pPr>
        <w:spacing w:after="80" w:before="80"/>
        <w:ind w:left="360"/>
      </w:pPr>
      <w:r>
        <w:rPr>
          <w:rFonts w:ascii="Arial" w:cs="Arial" w:eastAsia="Arial" w:hAnsi="Arial"/>
          <w:b/>
          <w:bCs/>
          <w:color w:val="2E75B6"/>
          <w:sz w:val="20"/>
          <w:szCs w:val="20"/>
        </w:rPr>
        <w:t xml:space="preserve">ℹ️  Note: </w:t>
      </w:r>
      <w:r>
        <w:rPr>
          <w:rFonts w:ascii="Arial" w:cs="Arial" w:eastAsia="Arial" w:hAnsi="Arial"/>
          <w:i/>
          <w:iCs/>
          <w:color w:val="555555"/>
          <w:sz w:val="20"/>
          <w:szCs w:val="20"/>
        </w:rPr>
        <w:t xml:space="preserve">These bonds come with a minimum lock-in period and are subject to availability and government notification. Check with your finance team or a certified advisor for currently available bond issues.</w:t>
      </w:r>
    </w:p>
    <w:p>
      <w:pPr>
        <w:spacing w:after="200" w:before="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Documentation Checklist for Tax Submission</w:t>
      </w:r>
    </w:p>
    <w:p>
      <w:pPr>
        <w:spacing w:after="60" w:before="60"/>
      </w:pPr>
      <w:r>
        <w:rPr>
          <w:rFonts w:ascii="Arial" w:cs="Arial" w:eastAsia="Arial" w:hAnsi="Arial"/>
          <w:color w:val="333333"/>
          <w:sz w:val="22"/>
          <w:szCs w:val="22"/>
        </w:rPr>
        <w:t xml:space="preserve">To claim these deductions, you must submit relevant proofs to your employer's payroll/finance team. Below is a consolidated checklist: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96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Documents / Proofs Required</w:t>
            </w:r>
          </w:p>
        </w:tc>
        <w:tc>
          <w:tcPr>
            <w:tcW w:type="dxa" w:w="3600"/>
            <w:tcBorders>
              <w:top w:val="single" w:color="C0D8EC" w:sz="1"/>
              <w:left w:val="single" w:color="C0D8EC" w:sz="1"/>
              <w:bottom w:val="single" w:color="C0D8EC" w:sz="1"/>
              <w:right w:val="single" w:color="C0D8E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b/>
                <w:bCs/>
                <w:color w:val="2E75B6"/>
                <w:sz w:val="19"/>
                <w:szCs w:val="19"/>
              </w:rPr>
              <w:t xml:space="preserve">80C</w:t>
            </w:r>
          </w:p>
        </w:tc>
        <w:tc>
          <w:tcPr>
            <w:tcW w:type="dxa" w:w="39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8"/>
                <w:szCs w:val="18"/>
              </w:rPr>
              <w:t xml:space="preserve">PPF passbook, EPF statement, LIC receipts, ELSS statement, NSC certificate, FD receipt, school fee receipts, home loan statement</w:t>
            </w:r>
          </w:p>
        </w:tc>
        <w:tc>
          <w:tcPr>
            <w:tcW w:type="dxa" w:w="36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i/>
                <w:iCs/>
                <w:color w:val="555555"/>
                <w:sz w:val="18"/>
                <w:szCs w:val="18"/>
              </w:rPr>
              <w:t xml:space="preserve">All investments must be in your name or family members' names as specified</w:t>
            </w:r>
          </w:p>
        </w:tc>
      </w:tr>
      <w:tr>
        <w:tc>
          <w:tcPr>
            <w:tcW w:type="dxa" w:w="18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b/>
                <w:bCs/>
                <w:color w:val="2E75B6"/>
                <w:sz w:val="19"/>
                <w:szCs w:val="19"/>
              </w:rPr>
              <w:t xml:space="preserve">80CCC</w:t>
            </w:r>
          </w:p>
        </w:tc>
        <w:tc>
          <w:tcPr>
            <w:tcW w:type="dxa" w:w="396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color w:val="333333"/>
                <w:sz w:val="18"/>
                <w:szCs w:val="18"/>
              </w:rPr>
              <w:t xml:space="preserve">Insurance company certificate / receipt for pension plan</w:t>
            </w:r>
          </w:p>
        </w:tc>
        <w:tc>
          <w:tcPr>
            <w:tcW w:type="dxa" w:w="36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i/>
                <w:iCs/>
                <w:color w:val="555555"/>
                <w:sz w:val="18"/>
                <w:szCs w:val="18"/>
              </w:rPr>
              <w:t xml:space="preserve">Must be from IRDAI-registered insurer</w:t>
            </w:r>
          </w:p>
        </w:tc>
      </w:tr>
      <w:tr>
        <w:tc>
          <w:tcPr>
            <w:tcW w:type="dxa" w:w="18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b/>
                <w:bCs/>
                <w:color w:val="2E75B6"/>
                <w:sz w:val="19"/>
                <w:szCs w:val="19"/>
              </w:rPr>
              <w:t xml:space="preserve">80CCD(1B)</w:t>
            </w:r>
          </w:p>
        </w:tc>
        <w:tc>
          <w:tcPr>
            <w:tcW w:type="dxa" w:w="39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8"/>
                <w:szCs w:val="18"/>
              </w:rPr>
              <w:t xml:space="preserve">NPS transaction statement / contribution certificate</w:t>
            </w:r>
          </w:p>
        </w:tc>
        <w:tc>
          <w:tcPr>
            <w:tcW w:type="dxa" w:w="36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i/>
                <w:iCs/>
                <w:color w:val="555555"/>
                <w:sz w:val="18"/>
                <w:szCs w:val="18"/>
              </w:rPr>
              <w:t xml:space="preserve">Tier I account only; get from CRA portal (eNPS)</w:t>
            </w:r>
          </w:p>
        </w:tc>
      </w:tr>
      <w:tr>
        <w:tc>
          <w:tcPr>
            <w:tcW w:type="dxa" w:w="18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b/>
                <w:bCs/>
                <w:color w:val="2E75B6"/>
                <w:sz w:val="19"/>
                <w:szCs w:val="19"/>
              </w:rPr>
              <w:t xml:space="preserve">80D</w:t>
            </w:r>
          </w:p>
        </w:tc>
        <w:tc>
          <w:tcPr>
            <w:tcW w:type="dxa" w:w="396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color w:val="333333"/>
                <w:sz w:val="18"/>
                <w:szCs w:val="18"/>
              </w:rPr>
              <w:t xml:space="preserve">Insurance premium receipt, preventive health check-up receipt</w:t>
            </w:r>
          </w:p>
        </w:tc>
        <w:tc>
          <w:tcPr>
            <w:tcW w:type="dxa" w:w="36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i/>
                <w:iCs/>
                <w:color w:val="555555"/>
                <w:sz w:val="18"/>
                <w:szCs w:val="18"/>
              </w:rPr>
              <w:t xml:space="preserve">Payment must be non-cash; policy must be active</w:t>
            </w:r>
          </w:p>
        </w:tc>
      </w:tr>
      <w:tr>
        <w:tc>
          <w:tcPr>
            <w:tcW w:type="dxa" w:w="18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b/>
                <w:bCs/>
                <w:color w:val="2E75B6"/>
                <w:sz w:val="19"/>
                <w:szCs w:val="19"/>
              </w:rPr>
              <w:t xml:space="preserve">80E</w:t>
            </w:r>
          </w:p>
        </w:tc>
        <w:tc>
          <w:tcPr>
            <w:tcW w:type="dxa" w:w="39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8"/>
                <w:szCs w:val="18"/>
              </w:rPr>
              <w:t xml:space="preserve">Loan certificate from bank showing interest paid</w:t>
            </w:r>
          </w:p>
        </w:tc>
        <w:tc>
          <w:tcPr>
            <w:tcW w:type="dxa" w:w="36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i/>
                <w:iCs/>
                <w:color w:val="555555"/>
                <w:sz w:val="18"/>
                <w:szCs w:val="18"/>
              </w:rPr>
              <w:t xml:space="preserve">Available from bank/NBFC annually</w:t>
            </w:r>
          </w:p>
        </w:tc>
      </w:tr>
      <w:tr>
        <w:tc>
          <w:tcPr>
            <w:tcW w:type="dxa" w:w="18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b/>
                <w:bCs/>
                <w:color w:val="2E75B6"/>
                <w:sz w:val="19"/>
                <w:szCs w:val="19"/>
              </w:rPr>
              <w:t xml:space="preserve">80EE</w:t>
            </w:r>
          </w:p>
        </w:tc>
        <w:tc>
          <w:tcPr>
            <w:tcW w:type="dxa" w:w="396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color w:val="333333"/>
                <w:sz w:val="18"/>
                <w:szCs w:val="18"/>
              </w:rPr>
              <w:t xml:space="preserve">Home loan sanction letter, interest certificate from lender</w:t>
            </w:r>
          </w:p>
        </w:tc>
        <w:tc>
          <w:tcPr>
            <w:tcW w:type="dxa" w:w="36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i/>
                <w:iCs/>
                <w:color w:val="555555"/>
                <w:sz w:val="18"/>
                <w:szCs w:val="18"/>
              </w:rPr>
              <w:t xml:space="preserve">Verify eligibility with sanction date and loan amount</w:t>
            </w:r>
          </w:p>
        </w:tc>
      </w:tr>
      <w:tr>
        <w:tc>
          <w:tcPr>
            <w:tcW w:type="dxa" w:w="18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b/>
                <w:bCs/>
                <w:color w:val="2E75B6"/>
                <w:sz w:val="19"/>
                <w:szCs w:val="19"/>
              </w:rPr>
              <w:t xml:space="preserve">80TTA</w:t>
            </w:r>
          </w:p>
        </w:tc>
        <w:tc>
          <w:tcPr>
            <w:tcW w:type="dxa" w:w="39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8"/>
                <w:szCs w:val="18"/>
              </w:rPr>
              <w:t xml:space="preserve">Bank passbook / account statement showing interest</w:t>
            </w:r>
          </w:p>
        </w:tc>
        <w:tc>
          <w:tcPr>
            <w:tcW w:type="dxa" w:w="36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i/>
                <w:iCs/>
                <w:color w:val="555555"/>
                <w:sz w:val="18"/>
                <w:szCs w:val="18"/>
              </w:rPr>
              <w:t xml:space="preserve">Interest is auto-reported in Form 26AS / AIS</w:t>
            </w:r>
          </w:p>
        </w:tc>
      </w:tr>
      <w:tr>
        <w:tc>
          <w:tcPr>
            <w:tcW w:type="dxa" w:w="18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b/>
                <w:bCs/>
                <w:color w:val="2E75B6"/>
                <w:sz w:val="19"/>
                <w:szCs w:val="19"/>
              </w:rPr>
              <w:t xml:space="preserve">80GG</w:t>
            </w:r>
          </w:p>
        </w:tc>
        <w:tc>
          <w:tcPr>
            <w:tcW w:type="dxa" w:w="396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color w:val="333333"/>
                <w:sz w:val="18"/>
                <w:szCs w:val="18"/>
              </w:rPr>
              <w:t xml:space="preserve">Rent receipts, rent agreement, Form 10BA</w:t>
            </w:r>
          </w:p>
        </w:tc>
        <w:tc>
          <w:tcPr>
            <w:tcW w:type="dxa" w:w="36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i/>
                <w:iCs/>
                <w:color w:val="555555"/>
                <w:sz w:val="18"/>
                <w:szCs w:val="18"/>
              </w:rPr>
              <w:t xml:space="preserve">PAN of landlord required if annual rent &gt; ₹1,00,000</w:t>
            </w:r>
          </w:p>
        </w:tc>
      </w:tr>
      <w:tr>
        <w:tc>
          <w:tcPr>
            <w:tcW w:type="dxa" w:w="18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b/>
                <w:bCs/>
                <w:color w:val="2E75B6"/>
                <w:sz w:val="19"/>
                <w:szCs w:val="19"/>
              </w:rPr>
              <w:t xml:space="preserve">80GGA</w:t>
            </w:r>
          </w:p>
        </w:tc>
        <w:tc>
          <w:tcPr>
            <w:tcW w:type="dxa" w:w="396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color w:val="333333"/>
                <w:sz w:val="18"/>
                <w:szCs w:val="18"/>
              </w:rPr>
              <w:t xml:space="preserve">Donation receipt with registration number</w:t>
            </w:r>
          </w:p>
        </w:tc>
        <w:tc>
          <w:tcPr>
            <w:tcW w:type="dxa" w:w="3600"/>
            <w:tcBorders>
              <w:top w:val="single" w:color="C0D8EC" w:sz="1"/>
              <w:left w:val="single" w:color="C0D8EC" w:sz="1"/>
              <w:bottom w:val="single" w:color="C0D8EC" w:sz="1"/>
              <w:right w:val="single" w:color="C0D8EC" w:sz="1"/>
            </w:tcBorders>
            <w:shd w:fill="F2F9FE" w:val="clear"/>
            <w:tcMar>
              <w:top w:type="dxa" w:w="60"/>
              <w:left w:type="dxa" w:w="120"/>
              <w:bottom w:type="dxa" w:w="60"/>
              <w:right w:type="dxa" w:w="120"/>
            </w:tcMar>
          </w:tcPr>
          <w:p>
            <w:r>
              <w:rPr>
                <w:rFonts w:ascii="Arial" w:cs="Arial" w:eastAsia="Arial" w:hAnsi="Arial"/>
                <w:i/>
                <w:iCs/>
                <w:color w:val="555555"/>
                <w:sz w:val="18"/>
                <w:szCs w:val="18"/>
              </w:rPr>
              <w:t xml:space="preserve">Ensure the institution has valid 80GGA approval</w:t>
            </w:r>
          </w:p>
        </w:tc>
      </w:tr>
      <w:tr>
        <w:tc>
          <w:tcPr>
            <w:tcW w:type="dxa" w:w="18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b/>
                <w:bCs/>
                <w:color w:val="2E75B6"/>
                <w:sz w:val="19"/>
                <w:szCs w:val="19"/>
              </w:rPr>
              <w:t xml:space="preserve">80CCF</w:t>
            </w:r>
          </w:p>
        </w:tc>
        <w:tc>
          <w:tcPr>
            <w:tcW w:type="dxa" w:w="396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color w:val="333333"/>
                <w:sz w:val="18"/>
                <w:szCs w:val="18"/>
              </w:rPr>
              <w:t xml:space="preserve">Bond certificate or statement from issuer</w:t>
            </w:r>
          </w:p>
        </w:tc>
        <w:tc>
          <w:tcPr>
            <w:tcW w:type="dxa" w:w="3600"/>
            <w:tcBorders>
              <w:top w:val="single" w:color="C0D8EC" w:sz="1"/>
              <w:left w:val="single" w:color="C0D8EC" w:sz="1"/>
              <w:bottom w:val="single" w:color="C0D8EC" w:sz="1"/>
              <w:right w:val="single" w:color="C0D8EC" w:sz="1"/>
            </w:tcBorders>
            <w:shd w:fill="EBF5FB" w:val="clear"/>
            <w:tcMar>
              <w:top w:type="dxa" w:w="60"/>
              <w:left w:type="dxa" w:w="120"/>
              <w:bottom w:type="dxa" w:w="60"/>
              <w:right w:type="dxa" w:w="120"/>
            </w:tcMar>
          </w:tcPr>
          <w:p>
            <w:r>
              <w:rPr>
                <w:rFonts w:ascii="Arial" w:cs="Arial" w:eastAsia="Arial" w:hAnsi="Arial"/>
                <w:i/>
                <w:iCs/>
                <w:color w:val="555555"/>
                <w:sz w:val="18"/>
                <w:szCs w:val="18"/>
              </w:rPr>
              <w:t xml:space="preserve">Check lock-in compliance before claiming</w:t>
            </w:r>
          </w:p>
        </w:tc>
      </w:tr>
    </w:tbl>
    <w:p>
      <w:pPr>
        <w:spacing w:after="20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Frequently Asked Questions (FAQs)</w:t>
      </w:r>
    </w:p>
    <w:p>
      <w:pPr>
        <w:spacing w:after="40" w:before="0"/>
      </w:pPr>
      <w:r>
        <w:t xml:space="preserve"/>
      </w:r>
    </w:p>
    <w:p>
      <w:pPr>
        <w:spacing w:after="80" w:before="200"/>
      </w:pPr>
      <w:r>
        <w:rPr>
          <w:rFonts w:ascii="Arial" w:cs="Arial" w:eastAsia="Arial" w:hAnsi="Arial"/>
          <w:b/>
          <w:bCs/>
          <w:color w:val="1F4E79"/>
          <w:sz w:val="22"/>
          <w:szCs w:val="22"/>
        </w:rPr>
        <w:t xml:space="preserve">Q1. Can I claim deductions under both Old and New Tax Regimes?</w:t>
      </w:r>
    </w:p>
    <w:p>
      <w:pPr>
        <w:spacing w:after="60" w:before="60"/>
      </w:pPr>
      <w:r>
        <w:rPr>
          <w:rFonts w:ascii="Arial" w:cs="Arial" w:eastAsia="Arial" w:hAnsi="Arial"/>
          <w:color w:val="333333"/>
          <w:sz w:val="22"/>
          <w:szCs w:val="22"/>
        </w:rPr>
        <w:t xml:space="preserve">No. Most deductions listed in this guide (80C, 80D, 80E, etc.) are only available under the Old Tax Regime. If you opt for the New Tax Regime, you will not be able to claim these deductions. However, 80CCD(2) — the employer's NPS contribution — is available under both regimes.</w:t>
      </w:r>
    </w:p>
    <w:p>
      <w:pPr>
        <w:spacing w:after="80" w:before="0"/>
      </w:pPr>
      <w:r>
        <w:t xml:space="preserve"/>
      </w:r>
    </w:p>
    <w:p>
      <w:pPr>
        <w:spacing w:after="80" w:before="200"/>
      </w:pPr>
      <w:r>
        <w:rPr>
          <w:rFonts w:ascii="Arial" w:cs="Arial" w:eastAsia="Arial" w:hAnsi="Arial"/>
          <w:b/>
          <w:bCs/>
          <w:color w:val="1F4E79"/>
          <w:sz w:val="22"/>
          <w:szCs w:val="22"/>
        </w:rPr>
        <w:t xml:space="preserve">Q2. What happens if I don't submit investment proofs on time?</w:t>
      </w:r>
    </w:p>
    <w:p>
      <w:pPr>
        <w:spacing w:after="60" w:before="60"/>
      </w:pPr>
      <w:r>
        <w:rPr>
          <w:rFonts w:ascii="Arial" w:cs="Arial" w:eastAsia="Arial" w:hAnsi="Arial"/>
          <w:color w:val="333333"/>
          <w:sz w:val="22"/>
          <w:szCs w:val="22"/>
        </w:rPr>
        <w:t xml:space="preserve">If you don't submit proofs to your employer within the deadline, TDS (Tax Deducted at Source) will be higher as deductions won't be applied. However, you can still claim these deductions when filing your ITR (Income Tax Return) directly — the excess TDS can be claimed as a refund.</w:t>
      </w:r>
    </w:p>
    <w:p>
      <w:pPr>
        <w:spacing w:after="80" w:before="0"/>
      </w:pPr>
      <w:r>
        <w:t xml:space="preserve"/>
      </w:r>
    </w:p>
    <w:p>
      <w:pPr>
        <w:spacing w:after="80" w:before="200"/>
      </w:pPr>
      <w:r>
        <w:rPr>
          <w:rFonts w:ascii="Arial" w:cs="Arial" w:eastAsia="Arial" w:hAnsi="Arial"/>
          <w:b/>
          <w:bCs/>
          <w:color w:val="1F4E79"/>
          <w:sz w:val="22"/>
          <w:szCs w:val="22"/>
        </w:rPr>
        <w:t xml:space="preserve">Q3. Is the ₹1,50,000 limit under 80C per person or per family?</w:t>
      </w:r>
    </w:p>
    <w:p>
      <w:pPr>
        <w:spacing w:after="60" w:before="60"/>
      </w:pPr>
      <w:r>
        <w:rPr>
          <w:rFonts w:ascii="Arial" w:cs="Arial" w:eastAsia="Arial" w:hAnsi="Arial"/>
          <w:color w:val="333333"/>
          <w:sz w:val="22"/>
          <w:szCs w:val="22"/>
        </w:rPr>
        <w:t xml:space="preserve">The ₹1,50,000 limit is per individual taxpayer. Each earning member of a family can separately claim up to ₹1,50,000 under their own 80C.</w:t>
      </w:r>
    </w:p>
    <w:p>
      <w:pPr>
        <w:spacing w:after="80" w:before="0"/>
      </w:pPr>
      <w:r>
        <w:t xml:space="preserve"/>
      </w:r>
    </w:p>
    <w:p>
      <w:pPr>
        <w:spacing w:after="80" w:before="200"/>
      </w:pPr>
      <w:r>
        <w:rPr>
          <w:rFonts w:ascii="Arial" w:cs="Arial" w:eastAsia="Arial" w:hAnsi="Arial"/>
          <w:b/>
          <w:bCs/>
          <w:color w:val="1F4E79"/>
          <w:sz w:val="22"/>
          <w:szCs w:val="22"/>
        </w:rPr>
        <w:t xml:space="preserve">Q4. Can I claim Section 80D for my sibling's health insurance?</w:t>
      </w:r>
    </w:p>
    <w:p>
      <w:pPr>
        <w:spacing w:after="60" w:before="60"/>
      </w:pPr>
      <w:r>
        <w:rPr>
          <w:rFonts w:ascii="Arial" w:cs="Arial" w:eastAsia="Arial" w:hAnsi="Arial"/>
          <w:color w:val="333333"/>
          <w:sz w:val="22"/>
          <w:szCs w:val="22"/>
        </w:rPr>
        <w:t xml:space="preserve">No. Section 80D deduction is only available for premiums paid for self, spouse, dependent children, and parents. Siblings or other relatives are not covered.</w:t>
      </w:r>
    </w:p>
    <w:p>
      <w:pPr>
        <w:spacing w:after="80" w:before="0"/>
      </w:pPr>
      <w:r>
        <w:t xml:space="preserve"/>
      </w:r>
    </w:p>
    <w:p>
      <w:pPr>
        <w:spacing w:after="80" w:before="200"/>
      </w:pPr>
      <w:r>
        <w:rPr>
          <w:rFonts w:ascii="Arial" w:cs="Arial" w:eastAsia="Arial" w:hAnsi="Arial"/>
          <w:b/>
          <w:bCs/>
          <w:color w:val="1F4E79"/>
          <w:sz w:val="22"/>
          <w:szCs w:val="22"/>
        </w:rPr>
        <w:t xml:space="preserve">Q5. Can I claim both 80TTA and interest from Fixed Deposits?</w:t>
      </w:r>
    </w:p>
    <w:p>
      <w:pPr>
        <w:spacing w:after="60" w:before="60"/>
      </w:pPr>
      <w:r>
        <w:rPr>
          <w:rFonts w:ascii="Arial" w:cs="Arial" w:eastAsia="Arial" w:hAnsi="Arial"/>
          <w:color w:val="333333"/>
          <w:sz w:val="22"/>
          <w:szCs w:val="22"/>
        </w:rPr>
        <w:t xml:space="preserve">Section 80TTA covers only savings account interest. Interest from Fixed Deposits, Recurring Deposits, and other term deposits is fully taxable and cannot be claimed under 80TTA. Senior citizens (60+ years) can instead claim up to ₹50,000 under Section 80TTB, which covers all types of interest income from banks and post offices.</w:t>
      </w:r>
    </w:p>
    <w:p>
      <w:pPr>
        <w:spacing w:after="80" w:before="0"/>
      </w:pPr>
      <w:r>
        <w:t xml:space="preserve"/>
      </w:r>
    </w:p>
    <w:p>
      <w:pPr>
        <w:spacing w:after="80" w:before="200"/>
      </w:pPr>
      <w:r>
        <w:rPr>
          <w:rFonts w:ascii="Arial" w:cs="Arial" w:eastAsia="Arial" w:hAnsi="Arial"/>
          <w:b/>
          <w:bCs/>
          <w:color w:val="1F4E79"/>
          <w:sz w:val="22"/>
          <w:szCs w:val="22"/>
        </w:rPr>
        <w:t xml:space="preserve">Q6. What is Form 12BB and do I need to submit it?</w:t>
      </w:r>
    </w:p>
    <w:p>
      <w:pPr>
        <w:spacing w:after="60" w:before="60"/>
      </w:pPr>
      <w:r>
        <w:rPr>
          <w:rFonts w:ascii="Arial" w:cs="Arial" w:eastAsia="Arial" w:hAnsi="Arial"/>
          <w:color w:val="333333"/>
          <w:sz w:val="22"/>
          <w:szCs w:val="22"/>
        </w:rPr>
        <w:t xml:space="preserve">Form 12BB is a statement of claims by an employee for deductions and tax deductions. If you are claiming HRA, LTA, home loan interest (Section 24), or any Chapter VI-A deductions (80C, 80D, etc.) through your employer, you must submit Form 12BB along with supporting proofs to your HR/payroll team at the beginning or during the financial year.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single" w:color="2E75B6" w:sz="8"/>
              <w:bottom w:val="single" w:color="2E75B6" w:sz="8"/>
              <w:right w:val="single" w:color="2E75B6" w:sz="8"/>
            </w:tcBorders>
            <w:shd w:fill="D6E4F0"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  Disclaimer</w:t>
            </w:r>
          </w:p>
          <w:p>
            <w:pPr>
              <w:spacing w:after="0" w:before="0"/>
            </w:pPr>
            <w:r>
              <w:rPr>
                <w:rFonts w:ascii="Arial" w:cs="Arial" w:eastAsia="Arial" w:hAnsi="Arial"/>
                <w:color w:val="555555"/>
                <w:sz w:val="20"/>
                <w:szCs w:val="20"/>
              </w:rPr>
              <w:t xml:space="preserve">This document is prepared for informational purposes to help new employees understand basic tax-saving provisions. Tax laws are subject to change. For personalized tax planning or ITR filing, please consult a qualified Chartered Accountant (CA) or tax professional. The company is not responsible for individual tax decisions made based on this guide.</w:t>
            </w:r>
          </w:p>
        </w:tc>
      </w:tr>
    </w:tbl>
    <w:p>
      <w:pPr>
        <w:spacing w:after="100" w:before="0"/>
      </w:pPr>
      <w:r>
        <w:t xml:space="preserve"/>
      </w:r>
    </w:p>
    <w:p>
      <w:pPr>
        <w:jc w:val="center"/>
      </w:pPr>
      <w:r>
        <w:rPr>
          <w:rFonts w:ascii="Arial" w:cs="Arial" w:eastAsia="Arial" w:hAnsi="Arial"/>
          <w:i/>
          <w:iCs/>
          <w:color w:val="555555"/>
          <w:sz w:val="20"/>
          <w:szCs w:val="20"/>
        </w:rPr>
        <w:t xml:space="preserve">For internal queries, contact your HR or Finance team.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8EC" w:sz="4" w:space="4"/>
      </w:pBd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For queries, contact your HR/Finance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8EC" w:sz="4" w:space="4"/>
      </w:pBdr>
      <w:tabs>
        <w:tab w:val="right" w:pos="9360"/>
      </w:tabs>
    </w:pPr>
    <w:r>
      <w:rPr>
        <w:rFonts w:ascii="Arial" w:cs="Arial" w:eastAsia="Arial" w:hAnsi="Arial"/>
        <w:i/>
        <w:iCs/>
        <w:color w:val="555555"/>
        <w:sz w:val="20"/>
        <w:szCs w:val="20"/>
      </w:rPr>
      <w:t xml:space="preserve">Tax Deductions Guide for Employees</w:t>
    </w:r>
    <w:r>
      <w:rPr>
        <w:rFonts w:ascii="Arial" w:cs="Arial" w:eastAsia="Arial" w:hAnsi="Arial"/>
      </w:rPr>
      <w:t xml:space="preserve">	</w:t>
    </w:r>
    <w:r>
      <w:rPr>
        <w:rFonts w:ascii="Arial" w:cs="Arial" w:eastAsia="Arial" w:hAnsi="Arial"/>
        <w:color w:val="555555"/>
        <w:sz w:val="20"/>
        <w:szCs w:val="20"/>
      </w:rPr>
      <w:t xml:space="preserve">Internal Use | FY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2026-05-18T09:38:50.892Z</dcterms:created>
  <dcterms:modified xsi:type="dcterms:W3CDTF">2026-05-18T09:38:50.906Z</dcterms:modified>
</cp:coreProperties>
</file>

<file path=docProps/custom.xml><?xml version="1.0" encoding="utf-8"?>
<Properties xmlns="http://schemas.openxmlformats.org/officeDocument/2006/custom-properties" xmlns:vt="http://schemas.openxmlformats.org/officeDocument/2006/docPropsVTypes"/>
</file>