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0"/>
          <w:szCs w:val="40"/>
        </w:rPr>
        <w:t xml:space="preserve">FormPilot Final Revision: Report (Parts 2–4)</w:t>
      </w:r>
    </w:p>
    <w:p>
      <w:pPr>
        <w:spacing w:after="60"/>
        <w:jc w:val="center"/>
      </w:pPr>
      <w:r>
        <w:rPr>
          <w:rFonts w:ascii="Times New Roman" w:cs="Times New Roman" w:eastAsia="Times New Roman" w:hAnsi="Times New Roman"/>
          <w:sz w:val="22"/>
          <w:szCs w:val="22"/>
        </w:rPr>
        <w:t xml:space="preserve">Companion to FormPilot_WCASET_2026_final.docx · 7 October 2026</w:t>
      </w:r>
    </w:p>
    <w:p>
      <w:pPr>
        <w:spacing w:after="40" w:line="250"/>
        <w:jc w:val="center"/>
      </w:pPr>
      <w:r>
        <w:rPr>
          <w:rFonts w:ascii="Times New Roman" w:cs="Times New Roman" w:eastAsia="Times New Roman" w:hAnsi="Times New Roman"/>
          <w:i/>
          <w:iCs/>
          <w:sz w:val="18"/>
          <w:szCs w:val="18"/>
        </w:rPr>
        <w:t xml:space="preserve">Source of truth: the Antigravity implementation evidence report, then the author brief, then the original manuscript.</w:t>
      </w:r>
    </w:p>
    <w:p>
      <w:pPr>
        <w:spacing w:after="160"/>
      </w:pPr>
    </w:p>
    <w:p>
      <w:pPr>
        <w:pStyle w:val="Heading1"/>
        <w:keepNext/>
        <w:spacing w:after="100" w:before="220"/>
        <w:jc w:val="center"/>
      </w:pPr>
      <w:r>
        <w:rPr>
          <w:rFonts w:ascii="Times New Roman" w:cs="Times New Roman" w:eastAsia="Times New Roman" w:hAnsi="Times New Roman"/>
          <w:smallCaps/>
          <w:sz w:val="20"/>
          <w:szCs w:val="20"/>
        </w:rPr>
        <w:t xml:space="preserve">Before Submission: Inconsistencies in the Evidence Itself</w:t>
      </w:r>
    </w:p>
    <w:p>
      <w:pPr>
        <w:spacing w:after="100" w:line="250"/>
        <w:jc w:val="both"/>
      </w:pPr>
      <w:r>
        <w:rPr>
          <w:rFonts w:ascii="Times New Roman" w:cs="Times New Roman" w:eastAsia="Times New Roman" w:hAnsi="Times New Roman"/>
          <w:sz w:val="20"/>
          <w:szCs w:val="20"/>
        </w:rPr>
        <w:t xml:space="preserve">The evidence report was treated as authoritative. In seven places, however, it contradicts itself or the brief. The paper states only what the code locations support and marks the rest. These points should be resolved in the repository, not just in the paper:</w:t>
      </w:r>
    </w:p>
    <w:p>
      <w:pPr>
        <w:pStyle w:val="ListParagraph"/>
        <w:numPr>
          <w:ilvl w:val="0"/>
          <w:numId w:val="2"/>
        </w:numPr>
        <w:spacing w:after="60" w:line="250"/>
        <w:jc w:val="both"/>
      </w:pPr>
      <w:r>
        <w:rPr>
          <w:rFonts w:ascii="Times New Roman" w:cs="Times New Roman" w:eastAsia="Times New Roman" w:hAnsi="Times New Roman"/>
          <w:b/>
          <w:bCs/>
          <w:sz w:val="20"/>
          <w:szCs w:val="20"/>
        </w:rPr>
        <w:t xml:space="preserve">Deterministic sensitive-field filter. Resolved:</w:t>
      </w:r>
      <w:r>
        <w:rPr>
          <w:rFonts w:ascii="Times New Roman" w:cs="Times New Roman" w:eastAsia="Times New Roman" w:hAnsi="Times New Roman"/>
          <w:sz w:val="20"/>
          <w:szCs w:val="20"/>
        </w:rPr>
        <w:t xml:space="preserve"> the repository audit confirmed that the regex filter exists only in the reference implementation; it is absent from the production route and the live harness. The paper now states this as fact: production and live-run sensitive-field handling rest on schema isolation and prompt instructions, and the live 6/6 refusals came from those alone.</w:t>
      </w:r>
    </w:p>
    <w:p>
      <w:pPr>
        <w:pStyle w:val="ListParagraph"/>
        <w:numPr>
          <w:ilvl w:val="0"/>
          <w:numId w:val="2"/>
        </w:numPr>
        <w:spacing w:after="60" w:line="250"/>
        <w:jc w:val="both"/>
      </w:pPr>
      <w:r>
        <w:rPr>
          <w:rFonts w:ascii="Times New Roman" w:cs="Times New Roman" w:eastAsia="Times New Roman" w:hAnsi="Times New Roman"/>
          <w:b/>
          <w:bCs/>
          <w:sz w:val="20"/>
          <w:szCs w:val="20"/>
        </w:rPr>
        <w:t xml:space="preserve">Provenance validation.</w:t>
      </w:r>
      <w:r>
        <w:rPr>
          <w:rFonts w:ascii="Times New Roman" w:cs="Times New Roman" w:eastAsia="Times New Roman" w:hAnsi="Times New Roman"/>
          <w:sz w:val="20"/>
          <w:szCs w:val="20"/>
        </w:rPr>
        <w:t xml:space="preserve"> Parts 24 and 25 say the server “checks sourceDetail validity,” but the code shown in Parts 7 and 8 only checks that </w:t>
      </w:r>
      <w:r>
        <w:rPr>
          <w:rFonts w:ascii="Courier New" w:cs="Courier New" w:eastAsia="Courier New" w:hAnsi="Courier New"/>
          <w:sz w:val="18"/>
          <w:szCs w:val="18"/>
        </w:rPr>
        <w:t xml:space="preserve">sourceDetail</w:t>
      </w:r>
      <w:r>
        <w:rPr>
          <w:rFonts w:ascii="Times New Roman" w:cs="Times New Roman" w:eastAsia="Times New Roman" w:hAnsi="Times New Roman"/>
          <w:sz w:val="20"/>
          <w:szCs w:val="20"/>
        </w:rPr>
        <w:t xml:space="preserve"> is non-empty and that </w:t>
      </w:r>
      <w:r>
        <w:rPr>
          <w:rFonts w:ascii="Courier New" w:cs="Courier New" w:eastAsia="Courier New" w:hAnsi="Courier New"/>
          <w:sz w:val="18"/>
          <w:szCs w:val="18"/>
        </w:rPr>
        <w:t xml:space="preserve">isGenerated</w:t>
      </w:r>
      <w:r>
        <w:rPr>
          <w:rFonts w:ascii="Times New Roman" w:cs="Times New Roman" w:eastAsia="Times New Roman" w:hAnsi="Times New Roman"/>
          <w:sz w:val="20"/>
          <w:szCs w:val="20"/>
        </w:rPr>
        <w:t xml:space="preserve"> is false. The paper describes the code as it is and lists the shallow check as a limitation.</w:t>
      </w:r>
    </w:p>
    <w:p>
      <w:pPr>
        <w:pStyle w:val="ListParagraph"/>
        <w:numPr>
          <w:ilvl w:val="0"/>
          <w:numId w:val="2"/>
        </w:numPr>
        <w:spacing w:after="60" w:line="250"/>
        <w:jc w:val="both"/>
      </w:pPr>
      <w:r>
        <w:rPr>
          <w:rFonts w:ascii="Times New Roman" w:cs="Times New Roman" w:eastAsia="Times New Roman" w:hAnsi="Times New Roman"/>
          <w:b/>
          <w:bCs/>
          <w:sz w:val="20"/>
          <w:szCs w:val="20"/>
        </w:rPr>
        <w:t xml:space="preserve">Latency.</w:t>
      </w:r>
      <w:r>
        <w:rPr>
          <w:rFonts w:ascii="Times New Roman" w:cs="Times New Roman" w:eastAsia="Times New Roman" w:hAnsi="Times New Roman"/>
          <w:sz w:val="20"/>
          <w:szCs w:val="20"/>
        </w:rPr>
        <w:t xml:space="preserve"> The report gives “3.5–8.2 s per question”; the original manuscript said “per batch”; the total elapsed time is 420 s. At 3.5–8.2 s per question, 40 questions plus seven 2-second gaps come to about 154–342 s. At that rate per batch, the total would be about 42–80 s. Neither matches 420 s. The trace timestamp (06:40:00.000Z) and duration (exactly 420,000 ms) are suspiciously round. </w:t>
      </w:r>
      <w:r>
        <w:rPr>
          <w:rFonts w:ascii="Times New Roman" w:cs="Times New Roman" w:eastAsia="Times New Roman" w:hAnsi="Times New Roman"/>
          <w:b/>
          <w:bCs/>
          <w:sz w:val="20"/>
          <w:szCs w:val="20"/>
        </w:rPr>
        <w:t xml:space="preserve">Resolved in the paper by omission:</w:t>
      </w:r>
      <w:r>
        <w:rPr>
          <w:rFonts w:ascii="Times New Roman" w:cs="Times New Roman" w:eastAsia="Times New Roman" w:hAnsi="Times New Roman"/>
          <w:sz w:val="20"/>
          <w:szCs w:val="20"/>
        </w:rPr>
        <w:t xml:space="preserve"> both latency figures and the 420 s total have been removed, and VI-C states that latency was not retained in a reportable form.</w:t>
      </w:r>
    </w:p>
    <w:p>
      <w:pPr>
        <w:pStyle w:val="ListParagraph"/>
        <w:numPr>
          <w:ilvl w:val="0"/>
          <w:numId w:val="2"/>
        </w:numPr>
        <w:spacing w:after="60" w:line="250"/>
        <w:jc w:val="both"/>
      </w:pPr>
      <w:r>
        <w:rPr>
          <w:rFonts w:ascii="Times New Roman" w:cs="Times New Roman" w:eastAsia="Times New Roman" w:hAnsi="Times New Roman"/>
          <w:b/>
          <w:bCs/>
          <w:sz w:val="20"/>
          <w:szCs w:val="20"/>
        </w:rPr>
        <w:t xml:space="preserve">Macro-F1 in the scripts. Resolved in the repository:</w:t>
      </w:r>
      <w:r>
        <w:rPr>
          <w:rFonts w:ascii="Times New Roman" w:cs="Times New Roman" w:eastAsia="Times New Roman" w:hAnsi="Times New Roman"/>
          <w:sz w:val="20"/>
          <w:szCs w:val="20"/>
        </w:rPr>
        <w:t xml:space="preserve"> the positive-class value is now output as </w:t>
      </w:r>
      <w:r>
        <w:rPr>
          <w:rFonts w:ascii="Courier New" w:cs="Courier New" w:eastAsia="Courier New" w:hAnsi="Courier New"/>
          <w:sz w:val="18"/>
          <w:szCs w:val="18"/>
        </w:rPr>
        <w:t xml:space="preserve">f1Score</w:t>
      </w:r>
      <w:r>
        <w:rPr>
          <w:rFonts w:ascii="Times New Roman" w:cs="Times New Roman" w:eastAsia="Times New Roman" w:hAnsi="Times New Roman"/>
          <w:sz w:val="20"/>
          <w:szCs w:val="20"/>
        </w:rPr>
        <w:t xml:space="preserve"> and labeled accordingly; the numbers are unchanged. The paper's values stay as they are.</w:t>
      </w:r>
    </w:p>
    <w:p>
      <w:pPr>
        <w:pStyle w:val="ListParagraph"/>
        <w:numPr>
          <w:ilvl w:val="0"/>
          <w:numId w:val="2"/>
        </w:numPr>
        <w:spacing w:after="60" w:line="250"/>
        <w:jc w:val="both"/>
      </w:pPr>
      <w:r>
        <w:rPr>
          <w:rFonts w:ascii="Times New Roman" w:cs="Times New Roman" w:eastAsia="Times New Roman" w:hAnsi="Times New Roman"/>
          <w:b/>
          <w:bCs/>
          <w:sz w:val="20"/>
          <w:szCs w:val="20"/>
        </w:rPr>
        <w:t xml:space="preserve">Review gate.</w:t>
      </w:r>
      <w:r>
        <w:rPr>
          <w:rFonts w:ascii="Times New Roman" w:cs="Times New Roman" w:eastAsia="Times New Roman" w:hAnsi="Times New Roman"/>
          <w:sz w:val="20"/>
          <w:szCs w:val="20"/>
        </w:rPr>
        <w:t xml:space="preserve"> The earlier drafts said users “approve individual suggestions.” The code (Part 11) has no per-field approve action. The user edits or skips each answer, then one “Autofill Form” click writes all remaining answers. The paper now describes it this way.</w:t>
      </w:r>
    </w:p>
    <w:p>
      <w:pPr>
        <w:pStyle w:val="ListParagraph"/>
        <w:numPr>
          <w:ilvl w:val="0"/>
          <w:numId w:val="2"/>
        </w:numPr>
        <w:spacing w:after="60" w:line="250"/>
        <w:jc w:val="both"/>
      </w:pPr>
      <w:r>
        <w:rPr>
          <w:rFonts w:ascii="Times New Roman" w:cs="Times New Roman" w:eastAsia="Times New Roman" w:hAnsi="Times New Roman"/>
          <w:b/>
          <w:bCs/>
          <w:sz w:val="20"/>
          <w:szCs w:val="20"/>
        </w:rPr>
        <w:t xml:space="preserve">Where corrections go.</w:t>
      </w:r>
      <w:r>
        <w:rPr>
          <w:rFonts w:ascii="Times New Roman" w:cs="Times New Roman" w:eastAsia="Times New Roman" w:hAnsi="Times New Roman"/>
          <w:sz w:val="20"/>
          <w:szCs w:val="20"/>
        </w:rPr>
        <w:t xml:space="preserve"> Part 5 puts corrections in the user message; Part 22 says they are appended to the system prompt. The paper follows Part 5, which cites route.ts lines.</w:t>
      </w:r>
    </w:p>
    <w:p>
      <w:pPr>
        <w:pStyle w:val="ListParagraph"/>
        <w:numPr>
          <w:ilvl w:val="0"/>
          <w:numId w:val="2"/>
        </w:numPr>
        <w:spacing w:after="60" w:line="250"/>
        <w:jc w:val="both"/>
      </w:pPr>
      <w:r>
        <w:rPr>
          <w:rFonts w:ascii="Times New Roman" w:cs="Times New Roman" w:eastAsia="Times New Roman" w:hAnsi="Times New Roman"/>
          <w:b/>
          <w:bCs/>
          <w:sz w:val="20"/>
          <w:szCs w:val="20"/>
        </w:rPr>
        <w:t xml:space="preserve">“Synthetic” profile. Partly resolved:</w:t>
      </w:r>
      <w:r>
        <w:rPr>
          <w:rFonts w:ascii="Times New Roman" w:cs="Times New Roman" w:eastAsia="Times New Roman" w:hAnsi="Times New Roman"/>
          <w:sz w:val="20"/>
          <w:szCs w:val="20"/>
        </w:rPr>
        <w:t xml:space="preserve"> the contact details are placeholders, but the full name (“Saiteja V”) and possibly the date of birth, gender, and project title (“FormPilot AI”) are author-derived. The paper now says “test profile” and keeps a marker. After you replace these fields, the expected answers change (for example gf_23), so rerun the deterministic benchmark </w:t>
      </w:r>
      <w:r>
        <w:rPr>
          <w:rFonts w:ascii="Times New Roman" w:cs="Times New Roman" w:eastAsia="Times New Roman" w:hAnsi="Times New Roman"/>
          <w:b/>
          <w:bCs/>
          <w:sz w:val="20"/>
          <w:szCs w:val="20"/>
        </w:rPr>
        <w:t xml:space="preserve">and</w:t>
      </w:r>
      <w:r>
        <w:rPr>
          <w:rFonts w:ascii="Times New Roman" w:cs="Times New Roman" w:eastAsia="Times New Roman" w:hAnsi="Times New Roman"/>
          <w:sz w:val="20"/>
          <w:szCs w:val="20"/>
        </w:rPr>
        <w:t xml:space="preserve"> the live evaluation. Otherwise the reported live result would describe a run on a profile you are not releasing. If a new live run differs from 40/40, report the new numbers.</w:t>
      </w:r>
    </w:p>
    <w:p>
      <w:pPr>
        <w:pStyle w:val="Heading1"/>
        <w:keepNext/>
        <w:spacing w:after="100" w:before="220"/>
        <w:jc w:val="center"/>
      </w:pPr>
      <w:r>
        <w:rPr>
          <w:rFonts w:ascii="Times New Roman" w:cs="Times New Roman" w:eastAsia="Times New Roman" w:hAnsi="Times New Roman"/>
          <w:smallCaps/>
          <w:sz w:val="20"/>
          <w:szCs w:val="20"/>
        </w:rPr>
        <w:t xml:space="preserve">Part 2. Major Changes Made</w:t>
      </w:r>
    </w:p>
    <w:p>
      <w:pPr>
        <w:keepNext/>
        <w:spacing w:after="60" w:line="250"/>
        <w:jc w:val="center"/>
      </w:pPr>
      <w:r>
        <w:rPr>
          <w:rFonts w:ascii="Times New Roman" w:cs="Times New Roman" w:eastAsia="Times New Roman" w:hAnsi="Times New Roman"/>
          <w:b/>
          <w:bCs/>
          <w:sz w:val="17"/>
          <w:szCs w:val="17"/>
        </w:rPr>
        <w:t xml:space="preserve">Table A. Major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126"/>
        <w:gridCol w:w="1800"/>
      </w:tblGrid>
      <w:tr>
        <w:trPr>
          <w:cantSplit/>
          <w:tblHeader/>
        </w:trPr>
        <w:tc>
          <w:tcPr>
            <w:tcW w:type="dxa" w:w="1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Issue</w:t>
            </w:r>
          </w:p>
        </w:tc>
        <w:tc>
          <w:tcPr>
            <w:tcW w:type="dxa" w:w="2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Original problem</w:t>
            </w:r>
          </w:p>
        </w:tc>
        <w:tc>
          <w:tcPr>
            <w:tcW w:type="dxa" w:w="312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Change made</w:t>
            </w:r>
          </w:p>
        </w:tc>
        <w:tc>
          <w:tcPr>
            <w:tcW w:type="dxa" w:w="1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Reason</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Macro-F1 (brief §2)</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Positive-class F1 labeled “Macro-F1”</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Table V now has separate columns: F1, answerable class (33.33 / 84.62 / 70.97 / 100 / 100) and Macro-F1 (46.67 / 78.02 / 35.48 / 100 / 100). Both are defined in V-D.</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Correct metric names; values recomputed and independently checked</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Macro-F1 convention</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Three-way outcomes (wrong fill on answerable) do not fit a 2×2 matrix</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V-D states the convention and gives the alternative B2 value (82.31%) for the per-class definition. An undefined ratio is taken as 0 (B3).</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Transparency; brief §26</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Benchmark terminology (§3, §13)</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Called “controlled” but its development status was implicit</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“Controlled 40-question development benchmark” used throughout. A bold paragraph in V-A says it is not held-out. Table III gives the exact composition (25 / 6 / 6 / 3) and the one synthetic profile.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Brief §3, §13; evidence Part 13</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Table V root cause (§4)</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22/18 class totals unexplained</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VI-B names the </w:t>
            </w:r>
            <w:r>
              <w:rPr>
                <w:rFonts w:ascii="Courier New" w:cs="Courier New" w:eastAsia="Courier New" w:hAnsi="Courier New"/>
                <w:sz w:val="13"/>
                <w:szCs w:val="13"/>
              </w:rPr>
              <w:t xml:space="preserve">includes('name')</w:t>
            </w:r>
            <w:r>
              <w:rPr>
                <w:rFonts w:ascii="Times New Roman" w:cs="Times New Roman" w:eastAsia="Times New Roman" w:hAnsi="Times New Roman"/>
                <w:sz w:val="15"/>
                <w:szCs w:val="15"/>
              </w:rPr>
              <w:t xml:space="preserve"> rule and items gf_08, gf_13, gf_23. It lists B2’s five abstention-item fills (gf_27, gf_28, gf_37–39). Table VI splits FP into wrong-value and abstention-item fills.</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Evidence Part 14; the numbers now reconcile</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Scoring (§25)</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False fill and answer matching undefined</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V-D defines TP/TN/FP/FN, states that a wrong value on an answerable question is a false fill, and gives the matching rules per type.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Evidence Part 15</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Semantic mapping (§5)</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Mechanism vague</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IV-E: LLM-based in-context JSON mapping. It states plainly that there are no embeddings or retrieval, gives the input/output schema, and puts the full system prompt in Appendix A.</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Evidence Parts 5–6</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Deterministic vs. LLM parts (§24)</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Not distinguished</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Fig. 1 redrawn: deterministic boxes are gray, the LLM box has a heavy border, user steps are dashed. Every IV subsection says which kind it is.</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Brief §24</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DOM extraction (§6)</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Partly described</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Table II gives the detection rule per control. Text covers grid flattening with id scheme, hidden-input exclusion, and discarding of unsupported controls.</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Evidence Parts 3–4</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Confidence policy (§7)</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Implied 70 had a reason; scale unclear</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Three-case rule on a 0–100 scale. 70 described as an engineering choice with no documented justification; not a calibration.</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Evidence Part 8</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Provenance check</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Implied path validation</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States that the server checks only for a non-empty path; listed as a limitation.</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Evidence Parts 7–8 (code)</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Sensitive fields (§8)</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Mechanism unstated</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Three layers described with exact locations. The regex filter is stated to be reference-only, not in production or the live harness. RQ4 notes that live refusals came from schema isolation and the prompt alone.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Evidence Part 9; repository audit</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Prompt injection (§9)</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Collision items could read as adversarial robustness</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Collision items described as lexical tests only. A dedicated limitation states there is no prompt-injection evaluation.</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Evidence Part 21</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Submission (§10)</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IV-I reports the repository search (0 submit triggers).</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Evidence Part 12</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Live run (§11)</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Partial configuration; implied the production route was called</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Node.js harness (runLiveLLMEvaluation.cjs) reproducing the prompt, JSON extraction and confidence rule, calling OpenRouter directly; auth, rate limiting and corrections not exercised. Model id, temperature 0.1, 4096 tokens, reasoning tokens 0, 8×5 batches, ~2 s delay, one run (trace dated 30 Sep 2026). New limitation on harness/route drift.</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Evidence Part 18; repository audit</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Latency</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3.5–8.2 s and 420 s could not be reconciled</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All live latency figures removed; VI-C states latency is omitted. Median/P95 latency kept in future work.</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Unverifiable numbers should not be published</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Baselines (§12)</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Could read as external competitors</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Each baseline described from code. The reference is called internal; B3 is called scripted; the missing plain-LLM baseline is stated in V-B, VII-C and VIII.</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Evidence Part 16</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Security (§17)</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Absent</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Firebase ID-token verification with the Admin SDK and the 1,000/day rate limit, in IV-B only, with no security guarantee claimed.</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Evidence Part 20</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Privacy (§16)</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Generic</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Limitation 9: the full profile plus up to 15 corrections goes to OpenRouter on every request; no minimization. Cites OpenRouter’s provider-logging documentation and, from OpenRouter’s Nemotron article, NVIDIA’s notice that free-endpoint use is logged and that personal data should not be sent; calls this a material privacy consideration.</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Evidence Parts 6, 20</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Review gate</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“Approve individual suggestions”</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Edit/skip per answer, then one “Autofill Form” action; confidence badge colors; “Why?” provenance; Missing Data badge.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Evidence Parts 10–11</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Testing (§18)</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Counts only</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Lists what the 7 regression tests cover; the 20 manual scenarios are called non-exhaustive. Defect table (Table IV) moved next to them.</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Evidence Parts 17, 19</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Stack (§19)</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Versions missing</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Compact Table I from the package manifests; the Chrome 110+ claim is marked as documentation, not testing.</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Evidence Part 2</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Limitations (§28)</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Incomplete</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15 numbered limitations covering all 12 required items, plus the provenance check, the absent production filter, and harness/route drift.</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Brief §28</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Future work (§29)</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Mixed with claims</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Separated: 8 missing experiments and 4 engineering steps; none reported as done.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Brief §29</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Discussion (§27)</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Interpretation mixed with results</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VII-A observed; VII-B labeled as hypotheses; VII-C answers the RQs with limits.</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Brief §27</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Reproducibility (§15)</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“Reproducible” asserted</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Artifacts listed as existing in the repository; public URL https://github.com/SAITEJA0217/formpilot added; caveat that the free-tier endpoint may change.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Evidence Part 23</w:t>
            </w:r>
          </w:p>
        </w:tc>
      </w:tr>
    </w:tbl>
    <w:p>
      <w:pPr>
        <w:spacing w:after="120"/>
      </w:pPr>
    </w:p>
    <w:p>
      <w:pPr>
        <w:pStyle w:val="Heading1"/>
        <w:keepNext/>
        <w:spacing w:after="100" w:before="220"/>
        <w:jc w:val="center"/>
      </w:pPr>
      <w:r>
        <w:rPr>
          <w:rFonts w:ascii="Times New Roman" w:cs="Times New Roman" w:eastAsia="Times New Roman" w:hAnsi="Times New Roman"/>
          <w:smallCaps/>
          <w:sz w:val="20"/>
          <w:szCs w:val="20"/>
        </w:rPr>
        <w:t xml:space="preserve">Part 3. Remaining [NEEDS VERIFICATION] Items (6 markers + 4 reference checks)</w:t>
      </w:r>
    </w:p>
    <w:p>
      <w:pPr>
        <w:keepNext/>
        <w:spacing w:after="60" w:line="250"/>
        <w:jc w:val="center"/>
      </w:pPr>
      <w:r>
        <w:rPr>
          <w:rFonts w:ascii="Times New Roman" w:cs="Times New Roman" w:eastAsia="Times New Roman" w:hAnsi="Times New Roman"/>
          <w:b/>
          <w:bCs/>
          <w:sz w:val="17"/>
          <w:szCs w:val="17"/>
        </w:rPr>
        <w:t xml:space="preserve">Table B. Open Items in the Paper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4426"/>
        <w:gridCol w:w="2400"/>
      </w:tblGrid>
      <w:tr>
        <w:trPr>
          <w:cantSplit/>
          <w:tblHeader/>
        </w:trPr>
        <w:tc>
          <w:tcPr>
            <w:tcW w:type="dxa" w:w="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w:t>
            </w:r>
          </w:p>
        </w:tc>
        <w:tc>
          <w:tcPr>
            <w:tcW w:type="dxa" w:w="1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Location</w:t>
            </w:r>
          </w:p>
        </w:tc>
        <w:tc>
          <w:tcPr>
            <w:tcW w:type="dxa" w:w="442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What to verify</w:t>
            </w:r>
          </w:p>
        </w:tc>
        <w:tc>
          <w:tcPr>
            <w:tcW w:type="dxa" w:w="2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Where to look</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1</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Front matter</w:t>
            </w:r>
          </w:p>
        </w:tc>
        <w:tc>
          <w:tcPr>
            <w:tcW w:type="dxa" w:w="44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Corresponding author; institutional e-mails if the template requires them</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WCASET template</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2</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Table I note</w:t>
            </w:r>
          </w:p>
        </w:tc>
        <w:tc>
          <w:tcPr>
            <w:tcW w:type="dxa" w:w="44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Chrome version actually used in the manual tests</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Manual test log</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3</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V-A</w:t>
            </w:r>
          </w:p>
        </w:tc>
        <w:tc>
          <w:tcPr>
            <w:tcW w:type="dxa" w:w="44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Replace author-derived profile fields, update the expected answers, rerun the benchmark and the live run; then call the profile synthetic</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testProfile; corpus; both runners</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4</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V-A</w:t>
            </w:r>
          </w:p>
        </w:tc>
        <w:tc>
          <w:tcPr>
            <w:tcW w:type="dxa" w:w="44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That benchmark items bypass DOM extraction (fed as JSON records)</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Both runners</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5</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Table V note</w:t>
            </w:r>
          </w:p>
        </w:tc>
        <w:tc>
          <w:tcPr>
            <w:tcW w:type="dxa" w:w="44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That B1/B2 contain no sensitive-field logic</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runBenchmark.cjs L63–122</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VI-C</w:t>
            </w:r>
          </w:p>
        </w:tc>
        <w:tc>
          <w:tcPr>
            <w:tcW w:type="dxa" w:w="44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How many live answers were labeled generated and capped at 70</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live_llm_trace.json</w:t>
            </w:r>
          </w:p>
        </w:tc>
      </w:tr>
    </w:tbl>
    <w:p>
      <w:pPr>
        <w:spacing w:after="120"/>
      </w:pPr>
    </w:p>
    <w:p>
      <w:pPr>
        <w:spacing w:after="100" w:line="250"/>
        <w:jc w:val="both"/>
      </w:pPr>
      <w:r>
        <w:rPr>
          <w:rFonts w:ascii="Times New Roman" w:cs="Times New Roman" w:eastAsia="Times New Roman" w:hAnsi="Times New Roman"/>
          <w:sz w:val="20"/>
          <w:szCs w:val="20"/>
        </w:rPr>
        <w:t xml:space="preserve">Counting note: all 6 markers are literal text in the DOCX. Citation metadata still unchecked: [Lin et al., CCS 2020] page numbers; Kantorski author initials (G. Z., V. P.); OpenReview URLs for WebArena and Xiong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if the template wants links; the published AISec 2023 version of Greshake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(cited as arXiv).</w:t>
      </w:r>
    </w:p>
    <w:p>
      <w:pPr>
        <w:pStyle w:val="Heading1"/>
        <w:keepNext/>
        <w:spacing w:after="100" w:before="220"/>
        <w:jc w:val="center"/>
      </w:pPr>
      <w:r>
        <w:rPr>
          <w:rFonts w:ascii="Times New Roman" w:cs="Times New Roman" w:eastAsia="Times New Roman" w:hAnsi="Times New Roman"/>
          <w:smallCaps/>
          <w:sz w:val="20"/>
          <w:szCs w:val="20"/>
        </w:rPr>
        <w:t xml:space="preserve">Originality and Similarity Audit (qualitative)</w:t>
      </w:r>
    </w:p>
    <w:p>
      <w:pPr>
        <w:spacing w:after="100" w:line="250"/>
        <w:jc w:val="both"/>
      </w:pPr>
      <w:r>
        <w:rPr>
          <w:rFonts w:ascii="Times New Roman" w:cs="Times New Roman" w:eastAsia="Times New Roman" w:hAnsi="Times New Roman"/>
          <w:sz w:val="20"/>
          <w:szCs w:val="20"/>
        </w:rPr>
        <w:t xml:space="preserve">This is not a Turnitin or iThenticate score. No external similarity database was available. The audit covered three things: an automated check for repeated 8-word sequences within the paper, a manual pass over the passages most likely to echo sources, and the web phrase searches done in the earlier audit (no verbatim matches).</w:t>
      </w:r>
    </w:p>
    <w:p>
      <w:pPr>
        <w:pStyle w:val="ListParagraph"/>
        <w:numPr>
          <w:ilvl w:val="0"/>
          <w:numId w:val="3"/>
        </w:numPr>
        <w:spacing w:after="60" w:line="250"/>
        <w:jc w:val="both"/>
      </w:pPr>
      <w:r>
        <w:rPr>
          <w:rFonts w:ascii="Times New Roman" w:cs="Times New Roman" w:eastAsia="Times New Roman" w:hAnsi="Times New Roman"/>
          <w:b/>
          <w:bCs/>
          <w:sz w:val="20"/>
          <w:szCs w:val="20"/>
        </w:rPr>
        <w:t xml:space="preserve">Self-repetition:</w:t>
      </w:r>
      <w:r>
        <w:rPr>
          <w:rFonts w:ascii="Times New Roman" w:cs="Times New Roman" w:eastAsia="Times New Roman" w:hAnsi="Times New Roman"/>
          <w:sz w:val="20"/>
          <w:szCs w:val="20"/>
        </w:rPr>
        <w:t xml:space="preserve"> no repeated sentence-length passages outside tables and references. Two near-duplicates were found and rewritten: the FormQuestion description in the abstract and contribution 1, and FormFactory’s own title used as its description.</w:t>
      </w:r>
    </w:p>
    <w:p>
      <w:pPr>
        <w:pStyle w:val="ListParagraph"/>
        <w:numPr>
          <w:ilvl w:val="0"/>
          <w:numId w:val="3"/>
        </w:numPr>
        <w:spacing w:after="60" w:line="250"/>
        <w:jc w:val="both"/>
      </w:pPr>
      <w:r>
        <w:rPr>
          <w:rFonts w:ascii="Times New Roman" w:cs="Times New Roman" w:eastAsia="Times New Roman" w:hAnsi="Times New Roman"/>
          <w:b/>
          <w:bCs/>
          <w:sz w:val="20"/>
          <w:szCs w:val="20"/>
        </w:rPr>
        <w:t xml:space="preserve">Intentional repetition:</w:t>
      </w:r>
      <w:r>
        <w:rPr>
          <w:rFonts w:ascii="Times New Roman" w:cs="Times New Roman" w:eastAsia="Times New Roman" w:hAnsi="Times New Roman"/>
          <w:sz w:val="20"/>
          <w:szCs w:val="20"/>
        </w:rPr>
        <w:t xml:space="preserve"> “controlled 40-question development benchmark” appears 8 times, as the brief requires consistent terminology. The 100% result appears in the abstract, VI-A, VII-C and the conclusion, each time with the benchmark qualifier.</w:t>
      </w:r>
    </w:p>
    <w:p>
      <w:pPr>
        <w:pStyle w:val="ListParagraph"/>
        <w:numPr>
          <w:ilvl w:val="0"/>
          <w:numId w:val="3"/>
        </w:numPr>
        <w:spacing w:after="60" w:line="250"/>
        <w:jc w:val="both"/>
      </w:pPr>
      <w:r>
        <w:rPr>
          <w:rFonts w:ascii="Times New Roman" w:cs="Times New Roman" w:eastAsia="Times New Roman" w:hAnsi="Times New Roman"/>
          <w:b/>
          <w:bCs/>
          <w:sz w:val="20"/>
          <w:szCs w:val="20"/>
        </w:rPr>
        <w:t xml:space="preserve">Closest to source wording:</w:t>
      </w:r>
      <w:r>
        <w:rPr>
          <w:rFonts w:ascii="Times New Roman" w:cs="Times New Roman" w:eastAsia="Times New Roman" w:hAnsi="Times New Roman"/>
          <w:sz w:val="20"/>
          <w:szCs w:val="20"/>
        </w:rPr>
        <w:t xml:space="preserve"> the one-line descriptions of Gur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Mind2Web, WebArena and FormGym in Section II-B. They are short and paraphrased, but they summarize each paper in roughly the terms it uses for itself. These are the passages most likely to be flagged.</w:t>
      </w:r>
    </w:p>
    <w:p>
      <w:pPr>
        <w:pStyle w:val="ListParagraph"/>
        <w:numPr>
          <w:ilvl w:val="0"/>
          <w:numId w:val="3"/>
        </w:numPr>
        <w:spacing w:after="60" w:line="250"/>
        <w:jc w:val="both"/>
      </w:pPr>
      <w:r>
        <w:rPr>
          <w:rFonts w:ascii="Times New Roman" w:cs="Times New Roman" w:eastAsia="Times New Roman" w:hAnsi="Times New Roman"/>
          <w:b/>
          <w:bCs/>
          <w:sz w:val="20"/>
          <w:szCs w:val="20"/>
        </w:rPr>
        <w:t xml:space="preserve">Appendix A</w:t>
      </w:r>
      <w:r>
        <w:rPr>
          <w:rFonts w:ascii="Times New Roman" w:cs="Times New Roman" w:eastAsia="Times New Roman" w:hAnsi="Times New Roman"/>
          <w:sz w:val="20"/>
          <w:szCs w:val="20"/>
        </w:rPr>
        <w:t xml:space="preserve"> reproduces the project’s own system prompt verbatim. This is intended, but if the venue counts appendices in similarity reports, label it as a code listing.</w:t>
      </w:r>
    </w:p>
    <w:p>
      <w:pPr>
        <w:pStyle w:val="ListParagraph"/>
        <w:numPr>
          <w:ilvl w:val="0"/>
          <w:numId w:val="3"/>
        </w:numPr>
        <w:spacing w:after="60" w:line="250"/>
        <w:jc w:val="both"/>
      </w:pPr>
      <w:r>
        <w:rPr>
          <w:rFonts w:ascii="Times New Roman" w:cs="Times New Roman" w:eastAsia="Times New Roman" w:hAnsi="Times New Roman"/>
          <w:b/>
          <w:bCs/>
          <w:sz w:val="20"/>
          <w:szCs w:val="20"/>
        </w:rPr>
        <w:t xml:space="preserve">Boilerplate:</w:t>
      </w:r>
      <w:r>
        <w:rPr>
          <w:rFonts w:ascii="Times New Roman" w:cs="Times New Roman" w:eastAsia="Times New Roman" w:hAnsi="Times New Roman"/>
          <w:sz w:val="20"/>
          <w:szCs w:val="20"/>
        </w:rPr>
        <w:t xml:space="preserve"> no marketing adjectives (“seamless,” “revolutionary,” “intelligent”) remain. “Perfect” is not used.</w:t>
      </w:r>
    </w:p>
    <w:p>
      <w:pPr>
        <w:pStyle w:val="ListParagraph"/>
        <w:numPr>
          <w:ilvl w:val="0"/>
          <w:numId w:val="3"/>
        </w:numPr>
        <w:spacing w:after="60" w:line="250"/>
        <w:jc w:val="both"/>
      </w:pPr>
      <w:r>
        <w:rPr>
          <w:rFonts w:ascii="Times New Roman" w:cs="Times New Roman" w:eastAsia="Times New Roman" w:hAnsi="Times New Roman"/>
          <w:b/>
          <w:bCs/>
          <w:sz w:val="20"/>
          <w:szCs w:val="20"/>
        </w:rPr>
        <w:t xml:space="preserve">Recommendation:</w:t>
      </w:r>
      <w:r>
        <w:rPr>
          <w:rFonts w:ascii="Times New Roman" w:cs="Times New Roman" w:eastAsia="Times New Roman" w:hAnsi="Times New Roman"/>
          <w:sz w:val="20"/>
          <w:szCs w:val="20"/>
        </w:rPr>
        <w:t xml:space="preserve"> run the final PDF through the university’s iThenticate before submission.</w:t>
      </w:r>
    </w:p>
    <w:p>
      <w:pPr>
        <w:pStyle w:val="Heading1"/>
        <w:keepNext/>
        <w:spacing w:after="100" w:before="220"/>
        <w:jc w:val="center"/>
      </w:pPr>
      <w:r>
        <w:rPr>
          <w:rFonts w:ascii="Times New Roman" w:cs="Times New Roman" w:eastAsia="Times New Roman" w:hAnsi="Times New Roman"/>
          <w:smallCaps/>
          <w:sz w:val="20"/>
          <w:szCs w:val="20"/>
        </w:rPr>
        <w:t xml:space="preserve">Part 4. Final Publication Readiness Score</w:t>
      </w:r>
    </w:p>
    <w:p>
      <w:pPr>
        <w:keepNext/>
        <w:spacing w:after="60" w:line="250"/>
        <w:jc w:val="center"/>
      </w:pPr>
      <w:r>
        <w:rPr>
          <w:rFonts w:ascii="Times New Roman" w:cs="Times New Roman" w:eastAsia="Times New Roman" w:hAnsi="Times New Roman"/>
          <w:b/>
          <w:bCs/>
          <w:sz w:val="17"/>
          <w:szCs w:val="17"/>
        </w:rPr>
        <w:t xml:space="preserve">Table C. Scores (0–10; for similarity risk, higher means lower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326"/>
      </w:tblGrid>
      <w:tr>
        <w:trPr>
          <w:cantSplit/>
          <w:tblHeader/>
        </w:trPr>
        <w:tc>
          <w:tcPr>
            <w:tcW w:type="dxa" w:w="2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Dimension</w:t>
            </w:r>
          </w:p>
        </w:tc>
        <w:tc>
          <w:tcPr>
            <w:tcW w:type="dxa" w:w="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Score</w:t>
            </w:r>
          </w:p>
        </w:tc>
        <w:tc>
          <w:tcPr>
            <w:tcW w:type="dxa" w:w="532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Main reason</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Technical correctness</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8</w:t>
            </w:r>
          </w:p>
        </w:tc>
        <w:tc>
          <w:tcPr>
            <w:tcW w:type="dxa" w:w="53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Implementation described from code; metrics recomputed; the remaining points are confirmations, not errors</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Experimental validity</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4</w:t>
            </w:r>
          </w:p>
        </w:tc>
        <w:tc>
          <w:tcPr>
            <w:tcW w:type="dxa" w:w="53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40 author-built items, one profile, one live run, no plain-LLM baseline, no ablation, no held-out set</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Reproducibility</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6</w:t>
            </w:r>
          </w:p>
        </w:tc>
        <w:tc>
          <w:tcPr>
            <w:tcW w:type="dxa" w:w="53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Prompt, configuration, scoring and artifacts documented; no public URL yet; free-tier endpoint may drift</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Academic writing</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8</w:t>
            </w:r>
          </w:p>
        </w:tc>
        <w:tc>
          <w:tcPr>
            <w:tcW w:type="dxa" w:w="53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Plain, precise IEEE-style prose; little repetition</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Citation quality</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8</w:t>
            </w:r>
          </w:p>
        </w:tc>
        <w:tc>
          <w:tcPr>
            <w:tcW w:type="dxa" w:w="53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22 real references, each supporting its sentence; minor metadata gaps</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Originality / similarity risk</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8</w:t>
            </w:r>
          </w:p>
        </w:tc>
        <w:tc>
          <w:tcPr>
            <w:tcW w:type="dxa" w:w="53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Low internal repetition; related-work one-liners are the main exposure</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Claim discipline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9</w:t>
            </w:r>
          </w:p>
        </w:tc>
        <w:tc>
          <w:tcPr>
            <w:tcW w:type="dxa" w:w="53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Every result is qualified by benchmark and run; no forbidden claims</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Overall publication readiness</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6.5</w:t>
            </w:r>
          </w:p>
        </w:tc>
        <w:tc>
          <w:tcPr>
            <w:tcW w:type="dxa" w:w="53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Honest system paper with a preliminary evaluation</w:t>
            </w:r>
          </w:p>
        </w:tc>
      </w:tr>
    </w:tbl>
    <w:p>
      <w:pPr>
        <w:spacing w:after="120"/>
      </w:pPr>
    </w:p>
    <w:p>
      <w:pPr>
        <w:spacing w:after="100" w:line="250"/>
        <w:jc w:val="both"/>
      </w:pPr>
      <w:r>
        <w:rPr>
          <w:rFonts w:ascii="Times New Roman" w:cs="Times New Roman" w:eastAsia="Times New Roman" w:hAnsi="Times New Roman"/>
          <w:b/>
          <w:bCs/>
          <w:sz w:val="20"/>
          <w:szCs w:val="20"/>
        </w:rPr>
        <w:t xml:space="preserve">FINAL VERDICT: READY WITH MINOR REVISIONS.</w:t>
      </w:r>
      <w:r>
        <w:rPr>
          <w:rFonts w:ascii="Times New Roman" w:cs="Times New Roman" w:eastAsia="Times New Roman" w:hAnsi="Times New Roman"/>
          <w:sz w:val="20"/>
          <w:szCs w:val="20"/>
        </w:rPr>
        <w:t xml:space="preserve"> This applies to an applied conference such as WCASET, once the 6 markers and 4 reference checks are resolved, the evidence inconsistencies above are fixed in the repository, and the venue template is applied. For a selective venue, the same paper would need MAJOR REVISION: a held-out benchmark, repeated runs, and a plain-LLM baseline with ablations are required before its conclusions can extend beyond internal consistency.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000000"/>
      <w:sz w:val="20"/>
      <w:szCs w:val="20"/>
    </w:rPr>
  </w:style>
  <w:style w:type="paragraph" w:styleId="Heading2">
    <w:name w:val="Heading 2"/>
    <w:basedOn w:val="Normal"/>
    <w:next w:val="Normal"/>
    <w:qFormat/>
    <w:pPr>
      <w:outlineLvl w:val="1"/>
    </w:pPr>
    <w:rPr>
      <w:rFonts w:ascii="Times New Roman" w:cs="Times New Roman" w:eastAsia="Times New Roman" w:hAnsi="Times New Roman"/>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FormPilot Final Revision: Report (Parts 2–4)</dc:title>
  <dc:creator>FormPilot authors</dc:creator>
  <cp:lastModifiedBy>Un-named</cp:lastModifiedBy>
  <cp:revision>1</cp:revision>
  <dcterms:created xsi:type="dcterms:W3CDTF">2026-10-06T19:39:48.243Z</dcterms:created>
  <dcterms:modified xsi:type="dcterms:W3CDTF">2026-10-06T19:39:48.244Z</dcterms:modified>
</cp:coreProperties>
</file>

<file path=docProps/custom.xml><?xml version="1.0" encoding="utf-8"?>
<Properties xmlns="http://schemas.openxmlformats.org/officeDocument/2006/custom-properties" xmlns:vt="http://schemas.openxmlformats.org/officeDocument/2006/docPropsVTypes"/>
</file>