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绿色技术创新对工业SO₂排放影响分析</w:t>
      </w:r>
    </w:p>
    <w:p>
      <w:pPr>
        <w:jc w:val="center"/>
      </w:pPr>
      <w:r>
        <w:rPr>
          <w:rFonts w:ascii="Times New Roman" w:hAnsi="Times New Roman" w:eastAsia="宋体"/>
          <w:b w:val="0"/>
          <w:sz w:val="24"/>
        </w:rPr>
        <w:t>——基于2005-2015年中国省级面板数据</w:t>
      </w:r>
    </w:p>
    <w:p/>
    <w:p>
      <w:pPr>
        <w:jc w:val="center"/>
      </w:pPr>
      <w:r>
        <w:rPr>
          <w:rFonts w:ascii="Times New Roman" w:hAnsi="Times New Roman" w:eastAsia="宋体"/>
          <w:b w:val="0"/>
          <w:sz w:val="24"/>
        </w:rPr>
        <w:t>学生姓名：_______________</w:t>
      </w:r>
    </w:p>
    <w:p>
      <w:pPr>
        <w:jc w:val="center"/>
      </w:pPr>
      <w:r>
        <w:rPr>
          <w:rFonts w:ascii="Times New Roman" w:hAnsi="Times New Roman" w:eastAsia="宋体"/>
          <w:b w:val="0"/>
          <w:sz w:val="24"/>
        </w:rPr>
        <w:t>学    号：_______________</w:t>
      </w:r>
    </w:p>
    <w:p>
      <w:pPr>
        <w:jc w:val="center"/>
      </w:pPr>
      <w:r>
        <w:rPr>
          <w:rFonts w:ascii="Times New Roman" w:hAnsi="Times New Roman" w:eastAsia="宋体"/>
          <w:b w:val="0"/>
          <w:sz w:val="24"/>
        </w:rPr>
        <w:t>专    业：统计学/应用统计学</w:t>
      </w:r>
    </w:p>
    <w:p>
      <w:pPr>
        <w:jc w:val="center"/>
      </w:pPr>
      <w:r>
        <w:rPr>
          <w:rFonts w:ascii="Times New Roman" w:hAnsi="Times New Roman" w:eastAsia="宋体"/>
          <w:b w:val="0"/>
          <w:sz w:val="24"/>
        </w:rPr>
        <w:t>指导教师：_______________</w:t>
      </w:r>
    </w:p>
    <w:p>
      <w:pPr>
        <w:jc w:val="center"/>
      </w:pPr>
      <w:r>
        <w:rPr>
          <w:rFonts w:ascii="Times New Roman" w:hAnsi="Times New Roman" w:eastAsia="宋体"/>
          <w:b w:val="0"/>
          <w:sz w:val="24"/>
        </w:rPr>
        <w:t>完成时间：2024年5月</w:t>
      </w:r>
    </w:p>
    <w:p/>
    <w:p/>
    <w:p>
      <w:pPr>
        <w:jc w:val="center"/>
      </w:pPr>
      <w:r>
        <w:rPr>
          <w:rFonts w:ascii="Times New Roman" w:hAnsi="Times New Roman" w:eastAsia="宋体"/>
          <w:b/>
          <w:sz w:val="28"/>
        </w:rPr>
        <w:t>曲阜师范大学</w:t>
      </w:r>
    </w:p>
    <w:p>
      <w:pPr>
        <w:jc w:val="center"/>
      </w:pPr>
      <w:r>
        <w:rPr>
          <w:rFonts w:ascii="Times New Roman" w:hAnsi="Times New Roman" w:eastAsia="宋体"/>
          <w:b/>
          <w:sz w:val="28"/>
        </w:rPr>
        <w:t>统计与数据科学学院</w:t>
      </w:r>
    </w:p>
    <w:p>
      <w:r>
        <w:br w:type="page"/>
      </w:r>
    </w:p>
    <w:p>
      <w:pPr>
        <w:jc w:val="center"/>
      </w:pPr>
      <w:r>
        <w:rPr>
          <w:rFonts w:ascii="Times New Roman" w:hAnsi="Times New Roman" w:eastAsia="宋体"/>
          <w:b/>
          <w:sz w:val="28"/>
        </w:rPr>
        <w:t>摘  要</w:t>
      </w:r>
    </w:p>
    <w:p>
      <w:pPr>
        <w:spacing w:line="400" w:lineRule="exact"/>
        <w:ind w:firstLine="420"/>
      </w:pPr>
      <w:r>
        <w:rPr>
          <w:rFonts w:ascii="Times New Roman" w:hAnsi="Times New Roman" w:eastAsia="宋体"/>
          <w:b w:val="0"/>
          <w:sz w:val="21"/>
        </w:rPr>
        <w:t>本文以2005-2015年中国31个省级行政区为研究样本，构建平衡面板数据集，实证检验绿色技术创新对工业二氧化硫（SO₂）排放强度的影响。研究采用固定效应（FE）面板模型为基准，同时引入工具变量两阶段最小二乘法（IV-2SLS）处理内生性问题，并在环境库兹涅茨曲线（EKC）框架下对非线性关系进行检验。主要结论如下：第一，绿色专利总数每增加1%，工业SO₂排放强度平均下降约0.0745个百分点，该效应在1%显著性水平下成立，且经内生性处理和替换变量后结论保持稳健。第二，人均GDP的平方项系数显著为负，验证了中国工业SO₂排放与经济发展之间的倒U型EKC关系，表明中国已进入污染改善阶段。第三，绿色技术创新对SO₂排放的减排效应存在显著区域异质性，东部地区减排效应最强（系数-0.1123），中部次之（-0.0612），西部最弱且不显著（-0.0289）。本文据此提出差异化的区域绿色技术政策建议，为推进绿色转型、实现碳达峰碳中和目标提供参考。</w:t>
      </w:r>
    </w:p>
    <w:p>
      <w:pPr>
        <w:ind w:firstLine="0"/>
      </w:pPr>
      <w:r>
        <w:rPr>
          <w:rFonts w:ascii="Times New Roman" w:hAnsi="Times New Roman" w:eastAsia="宋体"/>
          <w:b/>
          <w:sz w:val="21"/>
        </w:rPr>
        <w:t>关键词：</w:t>
      </w:r>
      <w:r>
        <w:rPr>
          <w:rFonts w:ascii="Times New Roman" w:hAnsi="Times New Roman" w:eastAsia="宋体"/>
          <w:b w:val="0"/>
          <w:sz w:val="21"/>
        </w:rPr>
        <w:t>绿色技术创新  绿色专利  工业SO₂排放  固定效应模型  环境库兹涅茨曲线  区域异质性</w:t>
      </w:r>
    </w:p>
    <w:p>
      <w:r>
        <w:br w:type="page"/>
      </w:r>
    </w:p>
    <w:p>
      <w:pPr>
        <w:jc w:val="center"/>
      </w:pPr>
      <w:r>
        <w:rPr>
          <w:rFonts w:ascii="Times New Roman" w:hAnsi="Times New Roman"/>
          <w:b/>
          <w:sz w:val="26"/>
        </w:rPr>
        <w:t>Analysis of the Impact of Green Technology Innovation on Industrial SO₂ Emissions</w:t>
      </w:r>
    </w:p>
    <w:p>
      <w:pPr>
        <w:jc w:val="center"/>
      </w:pPr>
      <w:r>
        <w:rPr>
          <w:rFonts w:ascii="Times New Roman" w:hAnsi="Times New Roman" w:eastAsia="宋体"/>
          <w:b/>
          <w:sz w:val="28"/>
        </w:rPr>
        <w:t>Abstract</w:t>
      </w:r>
    </w:p>
    <w:p>
      <w:pPr>
        <w:spacing w:line="400" w:lineRule="exact"/>
        <w:ind w:firstLine="420"/>
      </w:pPr>
      <w:r>
        <w:rPr>
          <w:rFonts w:ascii="Times New Roman" w:hAnsi="Times New Roman" w:eastAsia="宋体"/>
          <w:b w:val="0"/>
          <w:sz w:val="21"/>
        </w:rPr>
        <w:t>Using a balanced panel dataset covering 31 Chinese provincial-level regions from 2005 to 2015, this paper empirically examines the effect of green technology innovation on industrial sulfur dioxide (SO₂) emission intensity. A fixed-effects (FE) panel model serves as the benchmark specification, complemented by instrumental variable two-stage least squares (IV-2SLS) to address endogeneity concerns and an Environmental Kuznets Curve (EKC) framework to test nonlinear relationships. The main findings are as follows. First, a one-percent increase in total green patents is associated with an average reduction of approximately 0.0745 percentage points in industrial SO₂ emission intensity, a result significant at the one-percent level and robust to endogeneity correction and variable substitution. Second, the significantly negative coefficient on the squared per-capita GDP term confirms an inverted-U EKC relationship between industrial SO₂ emissions and economic development, indicating that China has entered the emission-improvement phase. Third, the emission-reduction effect of green technology innovation exhibits pronounced regional heterogeneity: the effect is strongest in eastern provinces (coefficient: -0.1123), moderate in central provinces (-0.0612), and statistically insignificant in western provinces (-0.0289). Based on these findings, the paper proposes differentiated regional green technology policies to support China's green transition and carbon neutrality goals.</w:t>
      </w:r>
    </w:p>
    <w:p>
      <w:r>
        <w:rPr>
          <w:rFonts w:ascii="Times New Roman" w:hAnsi="Times New Roman" w:eastAsia="宋体"/>
          <w:b/>
          <w:sz w:val="21"/>
        </w:rPr>
        <w:t xml:space="preserve">Keywords: </w:t>
      </w:r>
      <w:r>
        <w:rPr>
          <w:rFonts w:ascii="Times New Roman" w:hAnsi="Times New Roman" w:eastAsia="宋体"/>
          <w:b w:val="0"/>
          <w:sz w:val="21"/>
        </w:rPr>
        <w:t>Green technology innovation; Green patents; Industrial SO₂ emissions; Fixed-effects model; Environmental Kuznets Curve; Regional heterogeneity</w:t>
      </w:r>
    </w:p>
    <w:p>
      <w:r>
        <w:br w:type="page"/>
      </w:r>
    </w:p>
    <w:p>
      <w:pPr>
        <w:jc w:val="center"/>
      </w:pPr>
      <w:r>
        <w:rPr>
          <w:rFonts w:ascii="Times New Roman" w:hAnsi="Times New Roman" w:eastAsia="宋体"/>
          <w:b/>
          <w:sz w:val="28"/>
        </w:rPr>
        <w:t>目  录</w:t>
      </w:r>
    </w:p>
    <w:p>
      <w:pPr>
        <w:spacing w:line="360" w:lineRule="exact"/>
      </w:pPr>
      <w:r>
        <w:rPr>
          <w:rFonts w:ascii="Times New Roman" w:hAnsi="Times New Roman" w:eastAsia="宋体"/>
          <w:b/>
          <w:sz w:val="21"/>
        </w:rPr>
        <w:t>第一章  绪论</w:t>
      </w:r>
      <w:r>
        <w:rPr>
          <w:rFonts w:ascii="Times New Roman" w:hAnsi="Times New Roman" w:eastAsia="宋体"/>
          <w:b w:val="0"/>
          <w:sz w:val="21"/>
        </w:rPr>
        <w:t xml:space="preserve"> ··········································· 1</w:t>
      </w:r>
    </w:p>
    <w:p>
      <w:pPr>
        <w:spacing w:line="360" w:lineRule="exact"/>
      </w:pPr>
      <w:r>
        <w:rPr>
          <w:rFonts w:ascii="Times New Roman" w:hAnsi="Times New Roman" w:eastAsia="宋体"/>
          <w:b w:val="0"/>
          <w:sz w:val="21"/>
        </w:rPr>
        <w:t xml:space="preserve">  1.1  研究背景</w:t>
      </w:r>
      <w:r>
        <w:rPr>
          <w:rFonts w:ascii="Times New Roman" w:hAnsi="Times New Roman" w:eastAsia="宋体"/>
          <w:b w:val="0"/>
          <w:sz w:val="21"/>
        </w:rPr>
        <w:t xml:space="preserve"> ······································· 1</w:t>
      </w:r>
    </w:p>
    <w:p>
      <w:pPr>
        <w:spacing w:line="360" w:lineRule="exact"/>
      </w:pPr>
      <w:r>
        <w:rPr>
          <w:rFonts w:ascii="Times New Roman" w:hAnsi="Times New Roman" w:eastAsia="宋体"/>
          <w:b w:val="0"/>
          <w:sz w:val="21"/>
        </w:rPr>
        <w:t xml:space="preserve">  1.2  研究意义与创新点</w:t>
      </w:r>
      <w:r>
        <w:rPr>
          <w:rFonts w:ascii="Times New Roman" w:hAnsi="Times New Roman" w:eastAsia="宋体"/>
          <w:b w:val="0"/>
          <w:sz w:val="21"/>
        </w:rPr>
        <w:t xml:space="preserve"> ··································· 1</w:t>
      </w:r>
    </w:p>
    <w:p>
      <w:pPr>
        <w:spacing w:line="360" w:lineRule="exact"/>
      </w:pPr>
      <w:r>
        <w:rPr>
          <w:rFonts w:ascii="Times New Roman" w:hAnsi="Times New Roman" w:eastAsia="宋体"/>
          <w:b w:val="0"/>
          <w:sz w:val="21"/>
        </w:rPr>
        <w:t xml:space="preserve">  1.3  研究思路与论文框架</w:t>
      </w:r>
      <w:r>
        <w:rPr>
          <w:rFonts w:ascii="Times New Roman" w:hAnsi="Times New Roman" w:eastAsia="宋体"/>
          <w:b w:val="0"/>
          <w:sz w:val="21"/>
        </w:rPr>
        <w:t xml:space="preserve"> ·································· 2</w:t>
      </w:r>
    </w:p>
    <w:p>
      <w:pPr>
        <w:spacing w:line="360" w:lineRule="exact"/>
      </w:pPr>
      <w:r>
        <w:rPr>
          <w:rFonts w:ascii="Times New Roman" w:hAnsi="Times New Roman" w:eastAsia="宋体"/>
          <w:b w:val="0"/>
          <w:sz w:val="21"/>
        </w:rPr>
        <w:t xml:space="preserve">  1.4  主要研究假设</w:t>
      </w:r>
      <w:r>
        <w:rPr>
          <w:rFonts w:ascii="Times New Roman" w:hAnsi="Times New Roman" w:eastAsia="宋体"/>
          <w:b w:val="0"/>
          <w:sz w:val="21"/>
        </w:rPr>
        <w:t xml:space="preserve"> ····································· 2</w:t>
      </w:r>
    </w:p>
    <w:p>
      <w:pPr>
        <w:spacing w:line="360" w:lineRule="exact"/>
      </w:pPr>
      <w:r>
        <w:rPr>
          <w:rFonts w:ascii="Times New Roman" w:hAnsi="Times New Roman" w:eastAsia="宋体"/>
          <w:b/>
          <w:sz w:val="21"/>
        </w:rPr>
        <w:t>第二章  文献综述</w:t>
      </w:r>
      <w:r>
        <w:rPr>
          <w:rFonts w:ascii="Times New Roman" w:hAnsi="Times New Roman" w:eastAsia="宋体"/>
          <w:b w:val="0"/>
          <w:sz w:val="21"/>
        </w:rPr>
        <w:t xml:space="preserve"> ········································· 3</w:t>
      </w:r>
    </w:p>
    <w:p>
      <w:pPr>
        <w:spacing w:line="360" w:lineRule="exact"/>
      </w:pPr>
      <w:r>
        <w:rPr>
          <w:rFonts w:ascii="Times New Roman" w:hAnsi="Times New Roman" w:eastAsia="宋体"/>
          <w:b w:val="0"/>
          <w:sz w:val="21"/>
        </w:rPr>
        <w:t xml:space="preserve">  2.1  工业污染排放影响因素研究</w:t>
      </w:r>
      <w:r>
        <w:rPr>
          <w:rFonts w:ascii="Times New Roman" w:hAnsi="Times New Roman" w:eastAsia="宋体"/>
          <w:b w:val="0"/>
          <w:sz w:val="21"/>
        </w:rPr>
        <w:t xml:space="preserve"> ······························· 3</w:t>
      </w:r>
    </w:p>
    <w:p>
      <w:pPr>
        <w:spacing w:line="360" w:lineRule="exact"/>
      </w:pPr>
      <w:r>
        <w:rPr>
          <w:rFonts w:ascii="Times New Roman" w:hAnsi="Times New Roman" w:eastAsia="宋体"/>
          <w:b w:val="0"/>
          <w:sz w:val="21"/>
        </w:rPr>
        <w:t xml:space="preserve">  2.2  绿色技术创新与污染减排研究</w:t>
      </w:r>
      <w:r>
        <w:rPr>
          <w:rFonts w:ascii="Times New Roman" w:hAnsi="Times New Roman" w:eastAsia="宋体"/>
          <w:b w:val="0"/>
          <w:sz w:val="21"/>
        </w:rPr>
        <w:t xml:space="preserve"> ······························ 3</w:t>
      </w:r>
    </w:p>
    <w:p>
      <w:pPr>
        <w:spacing w:line="360" w:lineRule="exact"/>
      </w:pPr>
      <w:r>
        <w:rPr>
          <w:rFonts w:ascii="Times New Roman" w:hAnsi="Times New Roman" w:eastAsia="宋体"/>
          <w:b w:val="0"/>
          <w:sz w:val="21"/>
        </w:rPr>
        <w:t xml:space="preserve">  2.3  环境库兹涅茨曲线（EKC）理论</w:t>
      </w:r>
      <w:r>
        <w:rPr>
          <w:rFonts w:ascii="Times New Roman" w:hAnsi="Times New Roman" w:eastAsia="宋体"/>
          <w:b w:val="0"/>
          <w:sz w:val="21"/>
        </w:rPr>
        <w:t xml:space="preserve"> ···························· 4</w:t>
      </w:r>
    </w:p>
    <w:p>
      <w:pPr>
        <w:spacing w:line="360" w:lineRule="exact"/>
      </w:pPr>
      <w:r>
        <w:rPr>
          <w:rFonts w:ascii="Times New Roman" w:hAnsi="Times New Roman" w:eastAsia="宋体"/>
          <w:b w:val="0"/>
          <w:sz w:val="21"/>
        </w:rPr>
        <w:t xml:space="preserve">  2.4  研究框架与假设总结</w:t>
      </w:r>
      <w:r>
        <w:rPr>
          <w:rFonts w:ascii="Times New Roman" w:hAnsi="Times New Roman" w:eastAsia="宋体"/>
          <w:b w:val="0"/>
          <w:sz w:val="21"/>
        </w:rPr>
        <w:t xml:space="preserve"> ·································· 4</w:t>
      </w:r>
    </w:p>
    <w:p>
      <w:pPr>
        <w:spacing w:line="360" w:lineRule="exact"/>
      </w:pPr>
      <w:r>
        <w:rPr>
          <w:rFonts w:ascii="Times New Roman" w:hAnsi="Times New Roman" w:eastAsia="宋体"/>
          <w:b/>
          <w:sz w:val="21"/>
        </w:rPr>
        <w:t>第三章  数据与变量定义</w:t>
      </w:r>
      <w:r>
        <w:rPr>
          <w:rFonts w:ascii="Times New Roman" w:hAnsi="Times New Roman" w:eastAsia="宋体"/>
          <w:b w:val="0"/>
          <w:sz w:val="21"/>
        </w:rPr>
        <w:t xml:space="preserve"> ······································ 5</w:t>
      </w:r>
    </w:p>
    <w:p>
      <w:pPr>
        <w:spacing w:line="360" w:lineRule="exact"/>
      </w:pPr>
      <w:r>
        <w:rPr>
          <w:rFonts w:ascii="Times New Roman" w:hAnsi="Times New Roman" w:eastAsia="宋体"/>
          <w:b w:val="0"/>
          <w:sz w:val="21"/>
        </w:rPr>
        <w:t xml:space="preserve">  3.1  数据来源与样本选择</w:t>
      </w:r>
      <w:r>
        <w:rPr>
          <w:rFonts w:ascii="Times New Roman" w:hAnsi="Times New Roman" w:eastAsia="宋体"/>
          <w:b w:val="0"/>
          <w:sz w:val="21"/>
        </w:rPr>
        <w:t xml:space="preserve"> ·································· 5</w:t>
      </w:r>
    </w:p>
    <w:p>
      <w:pPr>
        <w:spacing w:line="360" w:lineRule="exact"/>
      </w:pPr>
      <w:r>
        <w:rPr>
          <w:rFonts w:ascii="Times New Roman" w:hAnsi="Times New Roman" w:eastAsia="宋体"/>
          <w:b w:val="0"/>
          <w:sz w:val="21"/>
        </w:rPr>
        <w:t xml:space="preserve">  3.2  变量定义与测量</w:t>
      </w:r>
      <w:r>
        <w:rPr>
          <w:rFonts w:ascii="Times New Roman" w:hAnsi="Times New Roman" w:eastAsia="宋体"/>
          <w:b w:val="0"/>
          <w:sz w:val="21"/>
        </w:rPr>
        <w:t xml:space="preserve"> ···································· 5</w:t>
      </w:r>
    </w:p>
    <w:p>
      <w:pPr>
        <w:spacing w:line="360" w:lineRule="exact"/>
      </w:pPr>
      <w:r>
        <w:rPr>
          <w:rFonts w:ascii="Times New Roman" w:hAnsi="Times New Roman" w:eastAsia="宋体"/>
          <w:b w:val="0"/>
          <w:sz w:val="21"/>
        </w:rPr>
        <w:t xml:space="preserve">  3.3  描述性统计</w:t>
      </w:r>
      <w:r>
        <w:rPr>
          <w:rFonts w:ascii="Times New Roman" w:hAnsi="Times New Roman" w:eastAsia="宋体"/>
          <w:b w:val="0"/>
          <w:sz w:val="21"/>
        </w:rPr>
        <w:t xml:space="preserve"> ······································ 6</w:t>
      </w:r>
    </w:p>
    <w:p>
      <w:pPr>
        <w:spacing w:line="360" w:lineRule="exact"/>
      </w:pPr>
      <w:r>
        <w:rPr>
          <w:rFonts w:ascii="Times New Roman" w:hAnsi="Times New Roman" w:eastAsia="宋体"/>
          <w:b w:val="0"/>
          <w:sz w:val="21"/>
        </w:rPr>
        <w:t xml:space="preserve">  3.4  变量相关性分析</w:t>
      </w:r>
      <w:r>
        <w:rPr>
          <w:rFonts w:ascii="Times New Roman" w:hAnsi="Times New Roman" w:eastAsia="宋体"/>
          <w:b w:val="0"/>
          <w:sz w:val="21"/>
        </w:rPr>
        <w:t xml:space="preserve"> ···································· 6</w:t>
      </w:r>
    </w:p>
    <w:p>
      <w:pPr>
        <w:spacing w:line="360" w:lineRule="exact"/>
      </w:pPr>
      <w:r>
        <w:rPr>
          <w:rFonts w:ascii="Times New Roman" w:hAnsi="Times New Roman" w:eastAsia="宋体"/>
          <w:b/>
          <w:sz w:val="21"/>
        </w:rPr>
        <w:t>第四章  实证分析</w:t>
      </w:r>
      <w:r>
        <w:rPr>
          <w:rFonts w:ascii="Times New Roman" w:hAnsi="Times New Roman" w:eastAsia="宋体"/>
          <w:b w:val="0"/>
          <w:sz w:val="21"/>
        </w:rPr>
        <w:t xml:space="preserve"> ········································· 7</w:t>
      </w:r>
    </w:p>
    <w:p>
      <w:pPr>
        <w:spacing w:line="360" w:lineRule="exact"/>
      </w:pPr>
      <w:r>
        <w:rPr>
          <w:rFonts w:ascii="Times New Roman" w:hAnsi="Times New Roman" w:eastAsia="宋体"/>
          <w:b w:val="0"/>
          <w:sz w:val="21"/>
        </w:rPr>
        <w:t xml:space="preserve">  4.1  多重共线性检验</w:t>
      </w:r>
      <w:r>
        <w:rPr>
          <w:rFonts w:ascii="Times New Roman" w:hAnsi="Times New Roman" w:eastAsia="宋体"/>
          <w:b w:val="0"/>
          <w:sz w:val="21"/>
        </w:rPr>
        <w:t xml:space="preserve"> ···································· 7</w:t>
      </w:r>
    </w:p>
    <w:p>
      <w:pPr>
        <w:spacing w:line="360" w:lineRule="exact"/>
      </w:pPr>
      <w:r>
        <w:rPr>
          <w:rFonts w:ascii="Times New Roman" w:hAnsi="Times New Roman" w:eastAsia="宋体"/>
          <w:b w:val="0"/>
          <w:sz w:val="21"/>
        </w:rPr>
        <w:t xml:space="preserve">  4.2  模型选择与Hausman检验</w:t>
      </w:r>
      <w:r>
        <w:rPr>
          <w:rFonts w:ascii="Times New Roman" w:hAnsi="Times New Roman" w:eastAsia="宋体"/>
          <w:b w:val="0"/>
          <w:sz w:val="21"/>
        </w:rPr>
        <w:t xml:space="preserve"> ····························· 7</w:t>
      </w:r>
    </w:p>
    <w:p>
      <w:pPr>
        <w:spacing w:line="360" w:lineRule="exact"/>
      </w:pPr>
      <w:r>
        <w:rPr>
          <w:rFonts w:ascii="Times New Roman" w:hAnsi="Times New Roman" w:eastAsia="宋体"/>
          <w:b w:val="0"/>
          <w:sz w:val="21"/>
        </w:rPr>
        <w:t xml:space="preserve">  4.3  基准模型回归结果</w:t>
      </w:r>
      <w:r>
        <w:rPr>
          <w:rFonts w:ascii="Times New Roman" w:hAnsi="Times New Roman" w:eastAsia="宋体"/>
          <w:b w:val="0"/>
          <w:sz w:val="21"/>
        </w:rPr>
        <w:t xml:space="preserve"> ··································· 8</w:t>
      </w:r>
    </w:p>
    <w:p>
      <w:pPr>
        <w:spacing w:line="360" w:lineRule="exact"/>
      </w:pPr>
      <w:r>
        <w:rPr>
          <w:rFonts w:ascii="Times New Roman" w:hAnsi="Times New Roman" w:eastAsia="宋体"/>
          <w:b w:val="0"/>
          <w:sz w:val="21"/>
        </w:rPr>
        <w:t xml:space="preserve">  4.4  稳健性检验</w:t>
      </w:r>
      <w:r>
        <w:rPr>
          <w:rFonts w:ascii="Times New Roman" w:hAnsi="Times New Roman" w:eastAsia="宋体"/>
          <w:b w:val="0"/>
          <w:sz w:val="21"/>
        </w:rPr>
        <w:t xml:space="preserve"> ······································ 9</w:t>
      </w:r>
    </w:p>
    <w:p>
      <w:pPr>
        <w:spacing w:line="360" w:lineRule="exact"/>
      </w:pPr>
      <w:r>
        <w:rPr>
          <w:rFonts w:ascii="Times New Roman" w:hAnsi="Times New Roman" w:eastAsia="宋体"/>
          <w:b w:val="0"/>
          <w:sz w:val="21"/>
        </w:rPr>
        <w:t xml:space="preserve">  4.5  区域异质性分析</w:t>
      </w:r>
      <w:r>
        <w:rPr>
          <w:rFonts w:ascii="Times New Roman" w:hAnsi="Times New Roman" w:eastAsia="宋体"/>
          <w:b w:val="0"/>
          <w:sz w:val="21"/>
        </w:rPr>
        <w:t xml:space="preserve"> ···································· 9</w:t>
      </w:r>
    </w:p>
    <w:p>
      <w:pPr>
        <w:spacing w:line="360" w:lineRule="exact"/>
      </w:pPr>
      <w:r>
        <w:rPr>
          <w:rFonts w:ascii="Times New Roman" w:hAnsi="Times New Roman" w:eastAsia="宋体"/>
          <w:b w:val="0"/>
          <w:sz w:val="21"/>
        </w:rPr>
        <w:t xml:space="preserve">  4.6  政策模拟与敏感性分析</w:t>
      </w:r>
      <w:r>
        <w:rPr>
          <w:rFonts w:ascii="Times New Roman" w:hAnsi="Times New Roman" w:eastAsia="宋体"/>
          <w:b w:val="0"/>
          <w:sz w:val="21"/>
        </w:rPr>
        <w:t xml:space="preserve"> ································· 10</w:t>
      </w:r>
    </w:p>
    <w:p>
      <w:pPr>
        <w:spacing w:line="360" w:lineRule="exact"/>
      </w:pPr>
      <w:r>
        <w:rPr>
          <w:rFonts w:ascii="Times New Roman" w:hAnsi="Times New Roman" w:eastAsia="宋体"/>
          <w:b/>
          <w:sz w:val="21"/>
        </w:rPr>
        <w:t>第五章  结论与建议</w:t>
      </w:r>
      <w:r>
        <w:rPr>
          <w:rFonts w:ascii="Times New Roman" w:hAnsi="Times New Roman" w:eastAsia="宋体"/>
          <w:b w:val="0"/>
          <w:sz w:val="21"/>
        </w:rPr>
        <w:t xml:space="preserve"> ········································ 11</w:t>
      </w:r>
    </w:p>
    <w:p>
      <w:pPr>
        <w:spacing w:line="360" w:lineRule="exact"/>
      </w:pPr>
      <w:r>
        <w:rPr>
          <w:rFonts w:ascii="Times New Roman" w:hAnsi="Times New Roman" w:eastAsia="宋体"/>
          <w:b w:val="0"/>
          <w:sz w:val="21"/>
        </w:rPr>
        <w:t xml:space="preserve">  5.1  主要研究结论</w:t>
      </w:r>
      <w:r>
        <w:rPr>
          <w:rFonts w:ascii="Times New Roman" w:hAnsi="Times New Roman" w:eastAsia="宋体"/>
          <w:b w:val="0"/>
          <w:sz w:val="21"/>
        </w:rPr>
        <w:t xml:space="preserve"> ····································· 11</w:t>
      </w:r>
    </w:p>
    <w:p>
      <w:pPr>
        <w:spacing w:line="360" w:lineRule="exact"/>
      </w:pPr>
      <w:r>
        <w:rPr>
          <w:rFonts w:ascii="Times New Roman" w:hAnsi="Times New Roman" w:eastAsia="宋体"/>
          <w:b w:val="0"/>
          <w:sz w:val="21"/>
        </w:rPr>
        <w:t xml:space="preserve">  5.2  政策建议</w:t>
      </w:r>
      <w:r>
        <w:rPr>
          <w:rFonts w:ascii="Times New Roman" w:hAnsi="Times New Roman" w:eastAsia="宋体"/>
          <w:b w:val="0"/>
          <w:sz w:val="21"/>
        </w:rPr>
        <w:t xml:space="preserve"> ······································· 11</w:t>
      </w:r>
    </w:p>
    <w:p>
      <w:pPr>
        <w:spacing w:line="360" w:lineRule="exact"/>
      </w:pPr>
      <w:r>
        <w:rPr>
          <w:rFonts w:ascii="Times New Roman" w:hAnsi="Times New Roman" w:eastAsia="宋体"/>
          <w:b w:val="0"/>
          <w:sz w:val="21"/>
        </w:rPr>
        <w:t xml:space="preserve">  5.3  研究局限性与未来研究方向</w:t>
      </w:r>
      <w:r>
        <w:rPr>
          <w:rFonts w:ascii="Times New Roman" w:hAnsi="Times New Roman" w:eastAsia="宋体"/>
          <w:b w:val="0"/>
          <w:sz w:val="21"/>
        </w:rPr>
        <w:t xml:space="preserve"> ······························· 12</w:t>
      </w:r>
    </w:p>
    <w:p>
      <w:pPr>
        <w:spacing w:line="360" w:lineRule="exact"/>
      </w:pPr>
      <w:r>
        <w:rPr>
          <w:rFonts w:ascii="Times New Roman" w:hAnsi="Times New Roman" w:eastAsia="宋体"/>
          <w:b/>
          <w:sz w:val="21"/>
        </w:rPr>
        <w:t>参考文献</w:t>
      </w:r>
      <w:r>
        <w:rPr>
          <w:rFonts w:ascii="Times New Roman" w:hAnsi="Times New Roman" w:eastAsia="宋体"/>
          <w:b w:val="0"/>
          <w:sz w:val="21"/>
        </w:rPr>
        <w:t xml:space="preserve"> ·············································· 13</w:t>
      </w:r>
    </w:p>
    <w:p>
      <w:r>
        <w:br w:type="page"/>
      </w:r>
    </w:p>
    <w:p>
      <w:pPr>
        <w:spacing w:before="240" w:after="120"/>
      </w:pPr>
      <w:r>
        <w:rPr>
          <w:rFonts w:ascii="Times New Roman" w:hAnsi="Times New Roman" w:eastAsia="宋体"/>
          <w:b/>
          <w:sz w:val="24"/>
        </w:rPr>
        <w:t>第一章  绪论</w:t>
      </w:r>
    </w:p>
    <w:p>
      <w:pPr>
        <w:spacing w:before="240" w:after="120"/>
      </w:pPr>
      <w:r>
        <w:rPr>
          <w:rFonts w:ascii="Times New Roman" w:hAnsi="Times New Roman" w:eastAsia="宋体"/>
          <w:b/>
          <w:sz w:val="21"/>
        </w:rPr>
        <w:t>1.1  研究背景</w:t>
      </w:r>
    </w:p>
    <w:p>
      <w:pPr>
        <w:spacing w:line="400" w:lineRule="exact"/>
        <w:ind w:firstLine="420"/>
      </w:pPr>
      <w:r>
        <w:rPr>
          <w:rFonts w:ascii="Times New Roman" w:hAnsi="Times New Roman" w:eastAsia="宋体"/>
          <w:b w:val="0"/>
          <w:sz w:val="21"/>
        </w:rPr>
        <w:t>工业化进程是推动中国经济腾飞的重要引擎，但随之而来的环境污染问题日益突出。二氧化硫（SO₂）作为工业生产过程中排放的主要大气污染物之一，对生态环境和人体健康造成严重威胁——其在大气中经过一系列化学反应可形成酸雨，腐蚀建筑物与基础设施，破坏土壤和水体生态平衡。</w:t>
      </w:r>
    </w:p>
    <w:p>
      <w:pPr>
        <w:spacing w:line="400" w:lineRule="exact"/>
        <w:ind w:firstLine="420"/>
      </w:pPr>
      <w:r>
        <w:rPr>
          <w:rFonts w:ascii="Times New Roman" w:hAnsi="Times New Roman" w:eastAsia="宋体"/>
          <w:b w:val="0"/>
          <w:sz w:val="21"/>
        </w:rPr>
        <w:t>根据中国工业统计年鉴，2005年中国工业SO₂排放量约为2549万吨，占全国SO₂排放总量的85%以上。尽管近年来排放量有所下降，但工业SO₂污染问题仍是制约中国绿色可持续发展的重要瓶颈之一。在此背景下，如何协调经济增长与环境保护的矛盾，成为政策制定者和学术界共同关注的核心议题。</w:t>
      </w:r>
    </w:p>
    <w:p>
      <w:pPr>
        <w:spacing w:line="400" w:lineRule="exact"/>
        <w:ind w:firstLine="420"/>
      </w:pPr>
      <w:r>
        <w:rPr>
          <w:rFonts w:ascii="Times New Roman" w:hAnsi="Times New Roman" w:eastAsia="宋体"/>
          <w:b w:val="0"/>
          <w:sz w:val="21"/>
        </w:rPr>
        <w:t>绿色技术创新（Green Technology Innovation）被视为实现「绿色增长」的关键路径之一。通过推动清洁生产技术、节能减排技术以及污染治理技术的研发与应用，绿色技术创新可以在经济持续增长的同时降低单位产出的环境污染强度。以绿色专利（Green Patent）作为绿色技术创新的代理变量，探究其对工业SO₂排放的影响，具有重要的理论和实践价值。</w:t>
      </w:r>
    </w:p>
    <w:p>
      <w:pPr>
        <w:spacing w:before="240" w:after="120"/>
      </w:pPr>
      <w:r>
        <w:rPr>
          <w:rFonts w:ascii="Times New Roman" w:hAnsi="Times New Roman" w:eastAsia="宋体"/>
          <w:b/>
          <w:sz w:val="21"/>
        </w:rPr>
        <w:t>1.2  研究意义与创新点</w:t>
      </w:r>
    </w:p>
    <w:p>
      <w:pPr>
        <w:spacing w:line="400" w:lineRule="exact"/>
        <w:ind w:firstLine="420"/>
      </w:pPr>
      <w:r>
        <w:rPr>
          <w:rFonts w:ascii="Times New Roman" w:hAnsi="Times New Roman" w:eastAsia="宋体"/>
          <w:b w:val="0"/>
          <w:sz w:val="21"/>
        </w:rPr>
        <w:t>【理论意义】本文在环境库兹涅茨曲线（EKC）理论框架下，将绿色专利变量纳入面板数据实证分析，拓展了传统EKC模型的解释变量维度，为理解中国工业污染动态提供了新的理论视角。</w:t>
      </w:r>
    </w:p>
    <w:p>
      <w:pPr>
        <w:spacing w:line="400" w:lineRule="exact"/>
        <w:ind w:firstLine="420"/>
      </w:pPr>
      <w:r>
        <w:rPr>
          <w:rFonts w:ascii="Times New Roman" w:hAnsi="Times New Roman" w:eastAsia="宋体"/>
          <w:b w:val="0"/>
          <w:sz w:val="21"/>
        </w:rPr>
        <w:t>【实践意义】研究结论为差异化减排政策的制定提供数据支撑。区域异质性分析揭示东、中、西部地区在绿色技术减排效应上的显著差异，有助于政策制定者因地制宜地制定区域绿色技术推广策略。</w:t>
      </w:r>
    </w:p>
    <w:p>
      <w:pPr>
        <w:spacing w:line="400" w:lineRule="exact"/>
        <w:ind w:firstLine="420"/>
      </w:pPr>
      <w:r>
        <w:rPr>
          <w:rFonts w:ascii="Times New Roman" w:hAnsi="Times New Roman" w:eastAsia="宋体"/>
          <w:b w:val="0"/>
          <w:sz w:val="21"/>
        </w:rPr>
        <w:t>【创新点】本文的主要创新体现在以下三个方面：一是变量创新，将绿色专利细分为绿色发明专利与绿色实用新型专利，进行差异化测度；二是方法创新，采用IV-2SLS处理绿色专利对SO₂排放的内生性问题；三是地域创新，系统对比东中西部的区域异质性，丰富了减排效应研究的空间维度。</w:t>
      </w:r>
    </w:p>
    <w:p>
      <w:pPr>
        <w:spacing w:before="240" w:after="120"/>
      </w:pPr>
      <w:r>
        <w:rPr>
          <w:rFonts w:ascii="Times New Roman" w:hAnsi="Times New Roman" w:eastAsia="宋体"/>
          <w:b/>
          <w:sz w:val="21"/>
        </w:rPr>
        <w:t>1.3  研究思路与论文框架</w:t>
      </w:r>
    </w:p>
    <w:p>
      <w:pPr>
        <w:spacing w:line="400" w:lineRule="exact"/>
        <w:ind w:firstLine="420"/>
      </w:pPr>
      <w:r>
        <w:rPr>
          <w:rFonts w:ascii="Times New Roman" w:hAnsi="Times New Roman" w:eastAsia="宋体"/>
          <w:b w:val="0"/>
          <w:sz w:val="21"/>
        </w:rPr>
        <w:t>本文遵循「提出问题—文献综述—数据与方法—实证分析—结论建议」的研究路径，共分五章。第一章为绪论，阐述研究背景与意义；第二章梳理国内外相关文献；第三章介绍数据来源、变量定义和描述性统计；第四章汇报多种计量模型的实证结果；第五章总结主要结论并提出政策建议。</w:t>
      </w:r>
    </w:p>
    <w:p>
      <w:pPr>
        <w:spacing w:before="240" w:after="120"/>
      </w:pPr>
      <w:r>
        <w:rPr>
          <w:rFonts w:ascii="Times New Roman" w:hAnsi="Times New Roman" w:eastAsia="宋体"/>
          <w:b/>
          <w:sz w:val="21"/>
        </w:rPr>
        <w:t>1.4  主要研究假设</w:t>
      </w:r>
    </w:p>
    <w:p>
      <w:pPr>
        <w:spacing w:line="400" w:lineRule="exact"/>
        <w:ind w:firstLine="420"/>
      </w:pPr>
      <w:r>
        <w:rPr>
          <w:rFonts w:ascii="Times New Roman" w:hAnsi="Times New Roman" w:eastAsia="宋体"/>
          <w:b w:val="0"/>
          <w:sz w:val="21"/>
        </w:rPr>
        <w:t>假设1（H1）：绿色技术创新（绿色专利数量）能显著降低工业SO₂排放强度。</w:t>
      </w:r>
    </w:p>
    <w:p>
      <w:pPr>
        <w:spacing w:line="400" w:lineRule="exact"/>
        <w:ind w:firstLine="420"/>
      </w:pPr>
      <w:r>
        <w:rPr>
          <w:rFonts w:ascii="Times New Roman" w:hAnsi="Times New Roman" w:eastAsia="宋体"/>
          <w:b w:val="0"/>
          <w:sz w:val="21"/>
        </w:rPr>
        <w:t>假设2（H2）：中国工业SO₂排放与经济发展（人均GDP）之间存在倒U型EKC关系。</w:t>
      </w:r>
    </w:p>
    <w:p>
      <w:pPr>
        <w:spacing w:line="400" w:lineRule="exact"/>
        <w:ind w:firstLine="420"/>
      </w:pPr>
      <w:r>
        <w:rPr>
          <w:rFonts w:ascii="Times New Roman" w:hAnsi="Times New Roman" w:eastAsia="宋体"/>
          <w:b w:val="0"/>
          <w:sz w:val="21"/>
        </w:rPr>
        <w:t>假设3（H3）：绿色技术创新对SO₂排放的影响存在显著的区域异质性，东部＞中部＞西部。</w:t>
      </w:r>
    </w:p>
    <w:p>
      <w:r>
        <w:br w:type="page"/>
      </w:r>
    </w:p>
    <w:p>
      <w:pPr>
        <w:spacing w:before="240" w:after="120"/>
      </w:pPr>
      <w:r>
        <w:rPr>
          <w:rFonts w:ascii="Times New Roman" w:hAnsi="Times New Roman" w:eastAsia="宋体"/>
          <w:b/>
          <w:sz w:val="24"/>
        </w:rPr>
        <w:t>第二章  文献综述</w:t>
      </w:r>
    </w:p>
    <w:p>
      <w:pPr>
        <w:spacing w:before="240" w:after="120"/>
      </w:pPr>
      <w:r>
        <w:rPr>
          <w:rFonts w:ascii="Times New Roman" w:hAnsi="Times New Roman" w:eastAsia="宋体"/>
          <w:b/>
          <w:sz w:val="21"/>
        </w:rPr>
        <w:t>2.1  工业污染排放影响因素研究</w:t>
      </w:r>
    </w:p>
    <w:p>
      <w:pPr>
        <w:spacing w:line="400" w:lineRule="exact"/>
        <w:ind w:firstLine="420"/>
      </w:pPr>
      <w:r>
        <w:rPr>
          <w:rFonts w:ascii="Times New Roman" w:hAnsi="Times New Roman" w:eastAsia="宋体"/>
          <w:b w:val="0"/>
          <w:sz w:val="21"/>
        </w:rPr>
        <w:t>经济增长与污染排放的关系是环境经济学的核心议题。Grossman 和 Krueger（1991）最早提出环境库兹涅茨曲线假说，认为随着经济发展，污染先上升后下降，形成倒U型曲线。此后大量研究对此进行了验证和延伸。Shafik（1994）、Selden 和 Song（1994）等利用跨国面板数据对多种污染物的EKC进行检验，得到了混合证据。</w:t>
      </w:r>
    </w:p>
    <w:p>
      <w:pPr>
        <w:spacing w:line="400" w:lineRule="exact"/>
        <w:ind w:firstLine="420"/>
      </w:pPr>
      <w:r>
        <w:rPr>
          <w:rFonts w:ascii="Times New Roman" w:hAnsi="Times New Roman" w:eastAsia="宋体"/>
          <w:b w:val="0"/>
          <w:sz w:val="21"/>
        </w:rPr>
        <w:t>在影响因素方面，产业结构被认为是重要驱动力。彭水军和包群（2006）利用中国省际数据发现，第二产业占比与污染排放正相关，产业结构升级对减排具有显著推动作用。技术进步效应方面，Acemoglu等（2012）从理论上分析了清洁技术创新对污染排放的替代效应，认为适当的环境政策可以引导技术进步朝清洁方向演进。</w:t>
      </w:r>
    </w:p>
    <w:p>
      <w:pPr>
        <w:spacing w:before="240" w:after="120"/>
      </w:pPr>
      <w:r>
        <w:rPr>
          <w:rFonts w:ascii="Times New Roman" w:hAnsi="Times New Roman" w:eastAsia="宋体"/>
          <w:b/>
          <w:sz w:val="21"/>
        </w:rPr>
        <w:t>2.2  绿色技术创新与污染减排研究</w:t>
      </w:r>
    </w:p>
    <w:p>
      <w:pPr>
        <w:spacing w:line="400" w:lineRule="exact"/>
        <w:ind w:firstLine="420"/>
      </w:pPr>
      <w:r>
        <w:rPr>
          <w:rFonts w:ascii="Times New Roman" w:hAnsi="Times New Roman" w:eastAsia="宋体"/>
          <w:b w:val="0"/>
          <w:sz w:val="21"/>
        </w:rPr>
        <w:t>绿色专利（Green Patent）是衡量绿色技术创新的重要代理变量。Popp（2002）使用美国能源专利数据证明，能源价格上涨能够显著促进清洁技术创新，进而降低能源消耗强度。Barbieri等（2016）梳理了绿色专利的四大影响机制：直接减排效应、替代效应（清洁技术替代污染技术）、扩散效应和激励效应。</w:t>
      </w:r>
    </w:p>
    <w:p>
      <w:pPr>
        <w:spacing w:line="400" w:lineRule="exact"/>
        <w:ind w:firstLine="420"/>
      </w:pPr>
      <w:r>
        <w:rPr>
          <w:rFonts w:ascii="Times New Roman" w:hAnsi="Times New Roman" w:eastAsia="宋体"/>
          <w:b w:val="0"/>
          <w:sz w:val="21"/>
        </w:rPr>
        <w:t>国内研究方面，蒋伏心等（2013）利用中国省际面板数据发现，技术创新对工业污染排放具有显著的抑制作用，且东部地区效应更为明显。李斌等（2020）进一步区分了绿色发明专利与绿色实用新型专利的减排效应，发现发明专利的减排效应更强，实用新型专利效应较弱，这与本文的稳健性检验结果相吻合。</w:t>
      </w:r>
    </w:p>
    <w:p>
      <w:pPr>
        <w:spacing w:before="240" w:after="120"/>
      </w:pPr>
      <w:r>
        <w:rPr>
          <w:rFonts w:ascii="Times New Roman" w:hAnsi="Times New Roman" w:eastAsia="宋体"/>
          <w:b/>
          <w:sz w:val="21"/>
        </w:rPr>
        <w:t>2.3  环境库兹涅茨曲线（EKC）理论</w:t>
      </w:r>
    </w:p>
    <w:p>
      <w:pPr>
        <w:spacing w:line="400" w:lineRule="exact"/>
        <w:ind w:firstLine="420"/>
      </w:pPr>
      <w:r>
        <w:rPr>
          <w:rFonts w:ascii="Times New Roman" w:hAnsi="Times New Roman" w:eastAsia="宋体"/>
          <w:b w:val="0"/>
          <w:sz w:val="21"/>
        </w:rPr>
        <w:t>EKC假说认为，在经济发展初期，污染随收入增加而加剧（规模效应）；当收入超过某一临界点后，技术进步、产业结构升级和环保意识增强使得污染开始下降（技术与结构效应），从而形成倒U型曲线。</w:t>
      </w:r>
    </w:p>
    <w:p>
      <w:pPr>
        <w:spacing w:line="400" w:lineRule="exact"/>
        <w:ind w:firstLine="420"/>
      </w:pPr>
      <w:r>
        <w:rPr>
          <w:rFonts w:ascii="Times New Roman" w:hAnsi="Times New Roman" w:eastAsia="宋体"/>
          <w:b w:val="0"/>
          <w:sz w:val="21"/>
        </w:rPr>
        <w:t>在中国情境下，EKC曲线的验证结果存在一定争议。部分研究（如盛斌、吕越，2012）发现中国SO₂排放已进入EKC曲线下降段；另一些研究则认为这一关系依赖于具体污染物类型和地区。本文在EKC框架中引入绿色专利变量，检验技术创新是否加速EKC曲线的下降趋势。</w:t>
      </w:r>
    </w:p>
    <w:p>
      <w:pPr>
        <w:spacing w:before="240" w:after="120"/>
      </w:pPr>
      <w:r>
        <w:rPr>
          <w:rFonts w:ascii="Times New Roman" w:hAnsi="Times New Roman" w:eastAsia="宋体"/>
          <w:b/>
          <w:sz w:val="21"/>
        </w:rPr>
        <w:t>2.4  研究框架与假设总结</w:t>
      </w:r>
    </w:p>
    <w:p>
      <w:pPr>
        <w:spacing w:line="400" w:lineRule="exact"/>
        <w:ind w:firstLine="420"/>
      </w:pPr>
      <w:r>
        <w:rPr>
          <w:rFonts w:ascii="Times New Roman" w:hAnsi="Times New Roman" w:eastAsia="宋体"/>
          <w:b w:val="0"/>
          <w:sz w:val="21"/>
        </w:rPr>
        <w:t>综合上述文献，本文构建如下理论逻辑框架：绿色技术创新（绿色专利）→ 清洁技术替代 + 污染治理效率提升 → 工业SO₂排放强度下降。在控制人均GDP（EKC效应）和产业结构（污染压力）的前提下，以固定效应面板模型和IV-2SLS对上述传导路径进行实证检验。</w:t>
      </w:r>
    </w:p>
    <w:p>
      <w:r>
        <w:br w:type="page"/>
      </w:r>
    </w:p>
    <w:p>
      <w:pPr>
        <w:spacing w:before="240" w:after="120"/>
      </w:pPr>
      <w:r>
        <w:rPr>
          <w:rFonts w:ascii="Times New Roman" w:hAnsi="Times New Roman" w:eastAsia="宋体"/>
          <w:b/>
          <w:sz w:val="24"/>
        </w:rPr>
        <w:t>第三章  数据与变量定义</w:t>
      </w:r>
    </w:p>
    <w:p>
      <w:pPr>
        <w:spacing w:before="240" w:after="120"/>
      </w:pPr>
      <w:r>
        <w:rPr>
          <w:rFonts w:ascii="Times New Roman" w:hAnsi="Times New Roman" w:eastAsia="宋体"/>
          <w:b/>
          <w:sz w:val="21"/>
        </w:rPr>
        <w:t>3.1  数据来源与样本选择</w:t>
      </w:r>
    </w:p>
    <w:p>
      <w:pPr>
        <w:spacing w:line="400" w:lineRule="exact"/>
        <w:ind w:firstLine="420"/>
      </w:pPr>
      <w:r>
        <w:rPr>
          <w:rFonts w:ascii="Times New Roman" w:hAnsi="Times New Roman" w:eastAsia="宋体"/>
          <w:b w:val="0"/>
          <w:sz w:val="21"/>
        </w:rPr>
        <w:t>本文使用的数据来源于以下几个权威数据库：（1）中国工业统计年鉴：提供工业SO₂排放量、工业增加值等核心工业指标；（2）国家知识产权局专利数据库：提供绿色专利（含绿色发明专利和绿色实用新型专利）的申请数量；（3）中国统计年鉴与各省统计年鉴：提供人均GDP（以工业品出厂价格指数PPI平减为实际值）、产业结构等宏观经济指标。</w:t>
      </w:r>
    </w:p>
    <w:p>
      <w:pPr>
        <w:spacing w:line="400" w:lineRule="exact"/>
        <w:ind w:firstLine="420"/>
      </w:pPr>
      <w:r>
        <w:rPr>
          <w:rFonts w:ascii="Times New Roman" w:hAnsi="Times New Roman" w:eastAsia="宋体"/>
          <w:b w:val="0"/>
          <w:sz w:val="21"/>
        </w:rPr>
        <w:t>样本覆盖中国大陆31个省级行政区（不含港澳台），时间跨度为2005-2015年（共11年），样本总量为341个观测值（31×11），构成平衡面板数据。</w:t>
      </w:r>
    </w:p>
    <w:p>
      <w:pPr>
        <w:spacing w:before="240" w:after="120"/>
      </w:pPr>
      <w:r>
        <w:rPr>
          <w:rFonts w:ascii="Times New Roman" w:hAnsi="Times New Roman" w:eastAsia="宋体"/>
          <w:b/>
          <w:sz w:val="21"/>
        </w:rPr>
        <w:t>3.2  变量定义与测量</w:t>
      </w:r>
    </w:p>
    <w:p>
      <w:pPr>
        <w:jc w:val="center"/>
      </w:pPr>
      <w:r>
        <w:rPr>
          <w:rFonts w:ascii="Times New Roman" w:hAnsi="Times New Roman" w:eastAsia="宋体"/>
          <w:b/>
          <w:sz w:val="21"/>
        </w:rPr>
        <w:t>表3.1  变量定义表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宋体"/>
                <w:b/>
                <w:sz w:val="18"/>
              </w:rPr>
              <w:t>变量类别</w:t>
            </w:r>
          </w:p>
        </w:tc>
        <w:tc>
          <w:tcPr>
            <w:tcW w:type="dxa" w:w="1814"/>
          </w:tcPr>
          <w:p>
            <w:pPr>
              <w:jc w:val="center"/>
            </w:pPr>
            <w:r/>
            <w:r>
              <w:rPr>
                <w:rFonts w:ascii="Times New Roman" w:hAnsi="Times New Roman" w:eastAsia="宋体"/>
                <w:b/>
                <w:sz w:val="18"/>
              </w:rPr>
              <w:t>变量名称</w:t>
            </w:r>
          </w:p>
        </w:tc>
        <w:tc>
          <w:tcPr>
            <w:tcW w:type="dxa" w:w="1814"/>
          </w:tcPr>
          <w:p>
            <w:pPr>
              <w:jc w:val="center"/>
            </w:pPr>
            <w:r/>
            <w:r>
              <w:rPr>
                <w:rFonts w:ascii="Times New Roman" w:hAnsi="Times New Roman" w:eastAsia="宋体"/>
                <w:b/>
                <w:sz w:val="18"/>
              </w:rPr>
              <w:t>符号</w:t>
            </w:r>
          </w:p>
        </w:tc>
        <w:tc>
          <w:tcPr>
            <w:tcW w:type="dxa" w:w="1814"/>
          </w:tcPr>
          <w:p>
            <w:pPr>
              <w:jc w:val="center"/>
            </w:pPr>
            <w:r/>
            <w:r>
              <w:rPr>
                <w:rFonts w:ascii="Times New Roman" w:hAnsi="Times New Roman" w:eastAsia="宋体"/>
                <w:b/>
                <w:sz w:val="18"/>
              </w:rPr>
              <w:t>计算方法</w:t>
            </w:r>
          </w:p>
        </w:tc>
        <w:tc>
          <w:tcPr>
            <w:tcW w:type="dxa" w:w="1814"/>
          </w:tcPr>
          <w:p>
            <w:pPr>
              <w:jc w:val="center"/>
            </w:pPr>
            <w:r/>
            <w:r>
              <w:rPr>
                <w:rFonts w:ascii="Times New Roman" w:hAnsi="Times New Roman" w:eastAsia="宋体"/>
                <w:b/>
                <w:sz w:val="18"/>
              </w:rPr>
              <w:t>单位</w:t>
            </w:r>
          </w:p>
        </w:tc>
      </w:tr>
      <w:tr>
        <w:tc>
          <w:tcPr>
            <w:tcW w:type="dxa" w:w="1814"/>
          </w:tcPr>
          <w:p>
            <w:pPr>
              <w:jc w:val="center"/>
            </w:pPr>
            <w:r/>
            <w:r>
              <w:rPr>
                <w:rFonts w:ascii="Times New Roman" w:hAnsi="Times New Roman" w:eastAsia="宋体"/>
                <w:b w:val="0"/>
                <w:sz w:val="18"/>
              </w:rPr>
              <w:t>被解释变量</w:t>
            </w:r>
          </w:p>
        </w:tc>
        <w:tc>
          <w:tcPr>
            <w:tcW w:type="dxa" w:w="1814"/>
          </w:tcPr>
          <w:p>
            <w:pPr>
              <w:jc w:val="center"/>
            </w:pPr>
            <w:r/>
            <w:r>
              <w:rPr>
                <w:rFonts w:ascii="Times New Roman" w:hAnsi="Times New Roman" w:eastAsia="宋体"/>
                <w:b w:val="0"/>
                <w:sz w:val="18"/>
              </w:rPr>
              <w:t>SO₂排放强度</w:t>
            </w:r>
          </w:p>
        </w:tc>
        <w:tc>
          <w:tcPr>
            <w:tcW w:type="dxa" w:w="1814"/>
          </w:tcPr>
          <w:p>
            <w:pPr>
              <w:jc w:val="center"/>
            </w:pPr>
            <w:r/>
            <w:r>
              <w:rPr>
                <w:rFonts w:ascii="Times New Roman" w:hAnsi="Times New Roman" w:eastAsia="宋体"/>
                <w:b w:val="0"/>
                <w:sz w:val="18"/>
              </w:rPr>
              <w:t>SO₂_intensity</w:t>
            </w:r>
          </w:p>
        </w:tc>
        <w:tc>
          <w:tcPr>
            <w:tcW w:type="dxa" w:w="1814"/>
          </w:tcPr>
          <w:p>
            <w:pPr>
              <w:jc w:val="center"/>
            </w:pPr>
            <w:r/>
            <w:r>
              <w:rPr>
                <w:rFonts w:ascii="Times New Roman" w:hAnsi="Times New Roman" w:eastAsia="宋体"/>
                <w:b w:val="0"/>
                <w:sz w:val="18"/>
              </w:rPr>
              <w:t>工业SO₂排放量/实际工业增加值</w:t>
            </w:r>
          </w:p>
        </w:tc>
        <w:tc>
          <w:tcPr>
            <w:tcW w:type="dxa" w:w="1814"/>
          </w:tcPr>
          <w:p>
            <w:pPr>
              <w:jc w:val="center"/>
            </w:pPr>
            <w:r/>
            <w:r>
              <w:rPr>
                <w:rFonts w:ascii="Times New Roman" w:hAnsi="Times New Roman" w:eastAsia="宋体"/>
                <w:b w:val="0"/>
                <w:sz w:val="18"/>
              </w:rPr>
              <w:t>万吨/亿元</w:t>
            </w:r>
          </w:p>
        </w:tc>
      </w:tr>
      <w:tr>
        <w:tc>
          <w:tcPr>
            <w:tcW w:type="dxa" w:w="1814"/>
          </w:tcPr>
          <w:p>
            <w:pPr>
              <w:jc w:val="center"/>
            </w:pPr>
            <w:r/>
            <w:r>
              <w:rPr>
                <w:rFonts w:ascii="Times New Roman" w:hAnsi="Times New Roman" w:eastAsia="宋体"/>
                <w:b w:val="0"/>
                <w:sz w:val="18"/>
              </w:rPr>
              <w:t>核心解释变量</w:t>
            </w:r>
          </w:p>
        </w:tc>
        <w:tc>
          <w:tcPr>
            <w:tcW w:type="dxa" w:w="1814"/>
          </w:tcPr>
          <w:p>
            <w:pPr>
              <w:jc w:val="center"/>
            </w:pPr>
            <w:r/>
            <w:r>
              <w:rPr>
                <w:rFonts w:ascii="Times New Roman" w:hAnsi="Times New Roman" w:eastAsia="宋体"/>
                <w:b w:val="0"/>
                <w:sz w:val="18"/>
              </w:rPr>
              <w:t>绿色专利总数</w:t>
            </w:r>
          </w:p>
        </w:tc>
        <w:tc>
          <w:tcPr>
            <w:tcW w:type="dxa" w:w="1814"/>
          </w:tcPr>
          <w:p>
            <w:pPr>
              <w:jc w:val="center"/>
            </w:pPr>
            <w:r/>
            <w:r>
              <w:rPr>
                <w:rFonts w:ascii="Times New Roman" w:hAnsi="Times New Roman" w:eastAsia="宋体"/>
                <w:b w:val="0"/>
                <w:sz w:val="18"/>
              </w:rPr>
              <w:t>ln_green_patent</w:t>
            </w:r>
          </w:p>
        </w:tc>
        <w:tc>
          <w:tcPr>
            <w:tcW w:type="dxa" w:w="1814"/>
          </w:tcPr>
          <w:p>
            <w:pPr>
              <w:jc w:val="center"/>
            </w:pPr>
            <w:r/>
            <w:r>
              <w:rPr>
                <w:rFonts w:ascii="Times New Roman" w:hAnsi="Times New Roman" w:eastAsia="宋体"/>
                <w:b w:val="0"/>
                <w:sz w:val="18"/>
              </w:rPr>
              <w:t>ln(绿色发明+绿色实用新型+1)</w:t>
            </w:r>
          </w:p>
        </w:tc>
        <w:tc>
          <w:tcPr>
            <w:tcW w:type="dxa" w:w="1814"/>
          </w:tcPr>
          <w:p>
            <w:pPr>
              <w:jc w:val="center"/>
            </w:pPr>
            <w:r/>
            <w:r>
              <w:rPr>
                <w:rFonts w:ascii="Times New Roman" w:hAnsi="Times New Roman" w:eastAsia="宋体"/>
                <w:b w:val="0"/>
                <w:sz w:val="18"/>
              </w:rPr>
              <w:t>对数</w:t>
            </w:r>
          </w:p>
        </w:tc>
      </w:tr>
      <w:tr>
        <w:tc>
          <w:tcPr>
            <w:tcW w:type="dxa" w:w="1814"/>
          </w:tcPr>
          <w:p>
            <w:pPr>
              <w:jc w:val="center"/>
            </w:pPr>
            <w:r/>
            <w:r>
              <w:rPr>
                <w:rFonts w:ascii="Times New Roman" w:hAnsi="Times New Roman" w:eastAsia="宋体"/>
                <w:b w:val="0"/>
                <w:sz w:val="18"/>
              </w:rPr>
              <w:t>核心解释变量</w:t>
            </w:r>
          </w:p>
        </w:tc>
        <w:tc>
          <w:tcPr>
            <w:tcW w:type="dxa" w:w="1814"/>
          </w:tcPr>
          <w:p>
            <w:pPr>
              <w:jc w:val="center"/>
            </w:pPr>
            <w:r/>
            <w:r>
              <w:rPr>
                <w:rFonts w:ascii="Times New Roman" w:hAnsi="Times New Roman" w:eastAsia="宋体"/>
                <w:b w:val="0"/>
                <w:sz w:val="18"/>
              </w:rPr>
              <w:t>绿色发明专利</w:t>
            </w:r>
          </w:p>
        </w:tc>
        <w:tc>
          <w:tcPr>
            <w:tcW w:type="dxa" w:w="1814"/>
          </w:tcPr>
          <w:p>
            <w:pPr>
              <w:jc w:val="center"/>
            </w:pPr>
            <w:r/>
            <w:r>
              <w:rPr>
                <w:rFonts w:ascii="Times New Roman" w:hAnsi="Times New Roman" w:eastAsia="宋体"/>
                <w:b w:val="0"/>
                <w:sz w:val="18"/>
              </w:rPr>
              <w:t>ln_green_invention</w:t>
            </w:r>
          </w:p>
        </w:tc>
        <w:tc>
          <w:tcPr>
            <w:tcW w:type="dxa" w:w="1814"/>
          </w:tcPr>
          <w:p>
            <w:pPr>
              <w:jc w:val="center"/>
            </w:pPr>
            <w:r/>
            <w:r>
              <w:rPr>
                <w:rFonts w:ascii="Times New Roman" w:hAnsi="Times New Roman" w:eastAsia="宋体"/>
                <w:b w:val="0"/>
                <w:sz w:val="18"/>
              </w:rPr>
              <w:t>ln(绿色发明+1)</w:t>
            </w:r>
          </w:p>
        </w:tc>
        <w:tc>
          <w:tcPr>
            <w:tcW w:type="dxa" w:w="1814"/>
          </w:tcPr>
          <w:p>
            <w:pPr>
              <w:jc w:val="center"/>
            </w:pPr>
            <w:r/>
            <w:r>
              <w:rPr>
                <w:rFonts w:ascii="Times New Roman" w:hAnsi="Times New Roman" w:eastAsia="宋体"/>
                <w:b w:val="0"/>
                <w:sz w:val="18"/>
              </w:rPr>
              <w:t>对数</w:t>
            </w:r>
          </w:p>
        </w:tc>
      </w:tr>
      <w:tr>
        <w:tc>
          <w:tcPr>
            <w:tcW w:type="dxa" w:w="1814"/>
          </w:tcPr>
          <w:p>
            <w:pPr>
              <w:jc w:val="center"/>
            </w:pPr>
            <w:r/>
            <w:r>
              <w:rPr>
                <w:rFonts w:ascii="Times New Roman" w:hAnsi="Times New Roman" w:eastAsia="宋体"/>
                <w:b w:val="0"/>
                <w:sz w:val="18"/>
              </w:rPr>
              <w:t>核心解释变量</w:t>
            </w:r>
          </w:p>
        </w:tc>
        <w:tc>
          <w:tcPr>
            <w:tcW w:type="dxa" w:w="1814"/>
          </w:tcPr>
          <w:p>
            <w:pPr>
              <w:jc w:val="center"/>
            </w:pPr>
            <w:r/>
            <w:r>
              <w:rPr>
                <w:rFonts w:ascii="Times New Roman" w:hAnsi="Times New Roman" w:eastAsia="宋体"/>
                <w:b w:val="0"/>
                <w:sz w:val="18"/>
              </w:rPr>
              <w:t>绿色实用新型</w:t>
            </w:r>
          </w:p>
        </w:tc>
        <w:tc>
          <w:tcPr>
            <w:tcW w:type="dxa" w:w="1814"/>
          </w:tcPr>
          <w:p>
            <w:pPr>
              <w:jc w:val="center"/>
            </w:pPr>
            <w:r/>
            <w:r>
              <w:rPr>
                <w:rFonts w:ascii="Times New Roman" w:hAnsi="Times New Roman" w:eastAsia="宋体"/>
                <w:b w:val="0"/>
                <w:sz w:val="18"/>
              </w:rPr>
              <w:t>ln_green_utility</w:t>
            </w:r>
          </w:p>
        </w:tc>
        <w:tc>
          <w:tcPr>
            <w:tcW w:type="dxa" w:w="1814"/>
          </w:tcPr>
          <w:p>
            <w:pPr>
              <w:jc w:val="center"/>
            </w:pPr>
            <w:r/>
            <w:r>
              <w:rPr>
                <w:rFonts w:ascii="Times New Roman" w:hAnsi="Times New Roman" w:eastAsia="宋体"/>
                <w:b w:val="0"/>
                <w:sz w:val="18"/>
              </w:rPr>
              <w:t>ln(绿色实用新型+1)</w:t>
            </w:r>
          </w:p>
        </w:tc>
        <w:tc>
          <w:tcPr>
            <w:tcW w:type="dxa" w:w="1814"/>
          </w:tcPr>
          <w:p>
            <w:pPr>
              <w:jc w:val="center"/>
            </w:pPr>
            <w:r/>
            <w:r>
              <w:rPr>
                <w:rFonts w:ascii="Times New Roman" w:hAnsi="Times New Roman" w:eastAsia="宋体"/>
                <w:b w:val="0"/>
                <w:sz w:val="18"/>
              </w:rPr>
              <w:t>对数</w:t>
            </w:r>
          </w:p>
        </w:tc>
      </w:tr>
      <w:tr>
        <w:tc>
          <w:tcPr>
            <w:tcW w:type="dxa" w:w="1814"/>
          </w:tcPr>
          <w:p>
            <w:pPr>
              <w:jc w:val="center"/>
            </w:pPr>
            <w:r/>
            <w:r>
              <w:rPr>
                <w:rFonts w:ascii="Times New Roman" w:hAnsi="Times New Roman" w:eastAsia="宋体"/>
                <w:b w:val="0"/>
                <w:sz w:val="18"/>
              </w:rPr>
              <w:t>控制变量</w:t>
            </w:r>
          </w:p>
        </w:tc>
        <w:tc>
          <w:tcPr>
            <w:tcW w:type="dxa" w:w="1814"/>
          </w:tcPr>
          <w:p>
            <w:pPr>
              <w:jc w:val="center"/>
            </w:pPr>
            <w:r/>
            <w:r>
              <w:rPr>
                <w:rFonts w:ascii="Times New Roman" w:hAnsi="Times New Roman" w:eastAsia="宋体"/>
                <w:b w:val="0"/>
                <w:sz w:val="18"/>
              </w:rPr>
              <w:t>实际人均GDP</w:t>
            </w:r>
          </w:p>
        </w:tc>
        <w:tc>
          <w:tcPr>
            <w:tcW w:type="dxa" w:w="1814"/>
          </w:tcPr>
          <w:p>
            <w:pPr>
              <w:jc w:val="center"/>
            </w:pPr>
            <w:r/>
            <w:r>
              <w:rPr>
                <w:rFonts w:ascii="Times New Roman" w:hAnsi="Times New Roman" w:eastAsia="宋体"/>
                <w:b w:val="0"/>
                <w:sz w:val="18"/>
              </w:rPr>
              <w:t>ln_real_gdpc</w:t>
            </w:r>
          </w:p>
        </w:tc>
        <w:tc>
          <w:tcPr>
            <w:tcW w:type="dxa" w:w="1814"/>
          </w:tcPr>
          <w:p>
            <w:pPr>
              <w:jc w:val="center"/>
            </w:pPr>
            <w:r/>
            <w:r>
              <w:rPr>
                <w:rFonts w:ascii="Times New Roman" w:hAnsi="Times New Roman" w:eastAsia="宋体"/>
                <w:b w:val="0"/>
                <w:sz w:val="18"/>
              </w:rPr>
              <w:t>ln(人均GDP/PPI)</w:t>
            </w:r>
          </w:p>
        </w:tc>
        <w:tc>
          <w:tcPr>
            <w:tcW w:type="dxa" w:w="1814"/>
          </w:tcPr>
          <w:p>
            <w:pPr>
              <w:jc w:val="center"/>
            </w:pPr>
            <w:r/>
            <w:r>
              <w:rPr>
                <w:rFonts w:ascii="Times New Roman" w:hAnsi="Times New Roman" w:eastAsia="宋体"/>
                <w:b w:val="0"/>
                <w:sz w:val="18"/>
              </w:rPr>
              <w:t>对数</w:t>
            </w:r>
          </w:p>
        </w:tc>
      </w:tr>
      <w:tr>
        <w:tc>
          <w:tcPr>
            <w:tcW w:type="dxa" w:w="1814"/>
          </w:tcPr>
          <w:p>
            <w:pPr>
              <w:jc w:val="center"/>
            </w:pPr>
            <w:r/>
            <w:r>
              <w:rPr>
                <w:rFonts w:ascii="Times New Roman" w:hAnsi="Times New Roman" w:eastAsia="宋体"/>
                <w:b w:val="0"/>
                <w:sz w:val="18"/>
              </w:rPr>
              <w:t>控制变量</w:t>
            </w:r>
          </w:p>
        </w:tc>
        <w:tc>
          <w:tcPr>
            <w:tcW w:type="dxa" w:w="1814"/>
          </w:tcPr>
          <w:p>
            <w:pPr>
              <w:jc w:val="center"/>
            </w:pPr>
            <w:r/>
            <w:r>
              <w:rPr>
                <w:rFonts w:ascii="Times New Roman" w:hAnsi="Times New Roman" w:eastAsia="宋体"/>
                <w:b w:val="0"/>
                <w:sz w:val="18"/>
              </w:rPr>
              <w:t>EKC平方项</w:t>
            </w:r>
          </w:p>
        </w:tc>
        <w:tc>
          <w:tcPr>
            <w:tcW w:type="dxa" w:w="1814"/>
          </w:tcPr>
          <w:p>
            <w:pPr>
              <w:jc w:val="center"/>
            </w:pPr>
            <w:r/>
            <w:r>
              <w:rPr>
                <w:rFonts w:ascii="Times New Roman" w:hAnsi="Times New Roman" w:eastAsia="宋体"/>
                <w:b w:val="0"/>
                <w:sz w:val="18"/>
              </w:rPr>
              <w:t>(ln_real_gdpc)²</w:t>
            </w:r>
          </w:p>
        </w:tc>
        <w:tc>
          <w:tcPr>
            <w:tcW w:type="dxa" w:w="1814"/>
          </w:tcPr>
          <w:p>
            <w:pPr>
              <w:jc w:val="center"/>
            </w:pPr>
            <w:r/>
            <w:r>
              <w:rPr>
                <w:rFonts w:ascii="Times New Roman" w:hAnsi="Times New Roman" w:eastAsia="宋体"/>
                <w:b w:val="0"/>
                <w:sz w:val="18"/>
              </w:rPr>
              <w:t>(ln人均GDP)²</w:t>
            </w:r>
          </w:p>
        </w:tc>
        <w:tc>
          <w:tcPr>
            <w:tcW w:type="dxa" w:w="1814"/>
          </w:tcPr>
          <w:p>
            <w:pPr>
              <w:jc w:val="center"/>
            </w:pPr>
            <w:r/>
            <w:r>
              <w:rPr>
                <w:rFonts w:ascii="Times New Roman" w:hAnsi="Times New Roman" w:eastAsia="宋体"/>
                <w:b w:val="0"/>
                <w:sz w:val="18"/>
              </w:rPr>
              <w:t>对数平方</w:t>
            </w:r>
          </w:p>
        </w:tc>
      </w:tr>
      <w:tr>
        <w:tc>
          <w:tcPr>
            <w:tcW w:type="dxa" w:w="1814"/>
          </w:tcPr>
          <w:p>
            <w:pPr>
              <w:jc w:val="center"/>
            </w:pPr>
            <w:r/>
            <w:r>
              <w:rPr>
                <w:rFonts w:ascii="Times New Roman" w:hAnsi="Times New Roman" w:eastAsia="宋体"/>
                <w:b w:val="0"/>
                <w:sz w:val="18"/>
              </w:rPr>
              <w:t>控制变量</w:t>
            </w:r>
          </w:p>
        </w:tc>
        <w:tc>
          <w:tcPr>
            <w:tcW w:type="dxa" w:w="1814"/>
          </w:tcPr>
          <w:p>
            <w:pPr>
              <w:jc w:val="center"/>
            </w:pPr>
            <w:r/>
            <w:r>
              <w:rPr>
                <w:rFonts w:ascii="Times New Roman" w:hAnsi="Times New Roman" w:eastAsia="宋体"/>
                <w:b w:val="0"/>
                <w:sz w:val="18"/>
              </w:rPr>
              <w:t>产业结构</w:t>
            </w:r>
          </w:p>
        </w:tc>
        <w:tc>
          <w:tcPr>
            <w:tcW w:type="dxa" w:w="1814"/>
          </w:tcPr>
          <w:p>
            <w:pPr>
              <w:jc w:val="center"/>
            </w:pPr>
            <w:r/>
            <w:r>
              <w:rPr>
                <w:rFonts w:ascii="Times New Roman" w:hAnsi="Times New Roman" w:eastAsia="宋体"/>
                <w:b w:val="0"/>
                <w:sz w:val="18"/>
              </w:rPr>
              <w:t>industry_ratio</w:t>
            </w:r>
          </w:p>
        </w:tc>
        <w:tc>
          <w:tcPr>
            <w:tcW w:type="dxa" w:w="1814"/>
          </w:tcPr>
          <w:p>
            <w:pPr>
              <w:jc w:val="center"/>
            </w:pPr>
            <w:r/>
            <w:r>
              <w:rPr>
                <w:rFonts w:ascii="Times New Roman" w:hAnsi="Times New Roman" w:eastAsia="宋体"/>
                <w:b w:val="0"/>
                <w:sz w:val="18"/>
              </w:rPr>
              <w:t>第二产业增加值/地区生产总值</w:t>
            </w:r>
          </w:p>
        </w:tc>
        <w:tc>
          <w:tcPr>
            <w:tcW w:type="dxa" w:w="1814"/>
          </w:tcPr>
          <w:p>
            <w:pPr>
              <w:jc w:val="center"/>
            </w:pPr>
            <w:r/>
            <w:r>
              <w:rPr>
                <w:rFonts w:ascii="Times New Roman" w:hAnsi="Times New Roman" w:eastAsia="宋体"/>
                <w:b w:val="0"/>
                <w:sz w:val="18"/>
              </w:rPr>
              <w:t>比例</w:t>
            </w:r>
          </w:p>
        </w:tc>
      </w:tr>
    </w:tbl>
    <w:p/>
    <w:p>
      <w:pPr>
        <w:spacing w:before="240" w:after="120"/>
      </w:pPr>
      <w:r>
        <w:rPr>
          <w:rFonts w:ascii="Times New Roman" w:hAnsi="Times New Roman" w:eastAsia="宋体"/>
          <w:b/>
          <w:sz w:val="21"/>
        </w:rPr>
        <w:t>3.3  描述性统计</w:t>
      </w:r>
    </w:p>
    <w:p>
      <w:pPr>
        <w:jc w:val="center"/>
      </w:pPr>
      <w:r>
        <w:rPr>
          <w:rFonts w:ascii="Times New Roman" w:hAnsi="Times New Roman" w:eastAsia="宋体"/>
          <w:b/>
          <w:sz w:val="21"/>
        </w:rPr>
        <w:t>表3.2  核心变量描述性统计量（N=341）</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宋体"/>
                <w:b/>
                <w:sz w:val="18"/>
              </w:rPr>
              <w:t>变量</w:t>
            </w:r>
          </w:p>
        </w:tc>
        <w:tc>
          <w:tcPr>
            <w:tcW w:type="dxa" w:w="1814"/>
          </w:tcPr>
          <w:p>
            <w:pPr>
              <w:jc w:val="center"/>
            </w:pPr>
            <w:r/>
            <w:r>
              <w:rPr>
                <w:rFonts w:ascii="Times New Roman" w:hAnsi="Times New Roman" w:eastAsia="宋体"/>
                <w:b/>
                <w:sz w:val="18"/>
              </w:rPr>
              <w:t>均值</w:t>
            </w:r>
          </w:p>
        </w:tc>
        <w:tc>
          <w:tcPr>
            <w:tcW w:type="dxa" w:w="1814"/>
          </w:tcPr>
          <w:p>
            <w:pPr>
              <w:jc w:val="center"/>
            </w:pPr>
            <w:r/>
            <w:r>
              <w:rPr>
                <w:rFonts w:ascii="Times New Roman" w:hAnsi="Times New Roman" w:eastAsia="宋体"/>
                <w:b/>
                <w:sz w:val="18"/>
              </w:rPr>
              <w:t>标准差</w:t>
            </w:r>
          </w:p>
        </w:tc>
        <w:tc>
          <w:tcPr>
            <w:tcW w:type="dxa" w:w="1814"/>
          </w:tcPr>
          <w:p>
            <w:pPr>
              <w:jc w:val="center"/>
            </w:pPr>
            <w:r/>
            <w:r>
              <w:rPr>
                <w:rFonts w:ascii="Times New Roman" w:hAnsi="Times New Roman" w:eastAsia="宋体"/>
                <w:b/>
                <w:sz w:val="18"/>
              </w:rPr>
              <w:t>最小值</w:t>
            </w:r>
          </w:p>
        </w:tc>
        <w:tc>
          <w:tcPr>
            <w:tcW w:type="dxa" w:w="1814"/>
          </w:tcPr>
          <w:p>
            <w:pPr>
              <w:jc w:val="center"/>
            </w:pPr>
            <w:r/>
            <w:r>
              <w:rPr>
                <w:rFonts w:ascii="Times New Roman" w:hAnsi="Times New Roman" w:eastAsia="宋体"/>
                <w:b/>
                <w:sz w:val="18"/>
              </w:rPr>
              <w:t>最大值</w:t>
            </w:r>
          </w:p>
        </w:tc>
      </w:tr>
      <w:tr>
        <w:tc>
          <w:tcPr>
            <w:tcW w:type="dxa" w:w="1814"/>
          </w:tcPr>
          <w:p>
            <w:pPr>
              <w:jc w:val="center"/>
            </w:pPr>
            <w:r/>
            <w:r>
              <w:rPr>
                <w:rFonts w:ascii="Times New Roman" w:hAnsi="Times New Roman" w:eastAsia="宋体"/>
                <w:b w:val="0"/>
                <w:sz w:val="18"/>
              </w:rPr>
              <w:t>SO₂排放强度</w:t>
            </w:r>
          </w:p>
        </w:tc>
        <w:tc>
          <w:tcPr>
            <w:tcW w:type="dxa" w:w="1814"/>
          </w:tcPr>
          <w:p>
            <w:pPr>
              <w:jc w:val="center"/>
            </w:pPr>
            <w:r/>
            <w:r>
              <w:rPr>
                <w:rFonts w:ascii="Times New Roman" w:hAnsi="Times New Roman" w:eastAsia="宋体"/>
                <w:b w:val="0"/>
                <w:sz w:val="18"/>
              </w:rPr>
              <w:t>0.245</w:t>
            </w:r>
          </w:p>
        </w:tc>
        <w:tc>
          <w:tcPr>
            <w:tcW w:type="dxa" w:w="1814"/>
          </w:tcPr>
          <w:p>
            <w:pPr>
              <w:jc w:val="center"/>
            </w:pPr>
            <w:r/>
            <w:r>
              <w:rPr>
                <w:rFonts w:ascii="Times New Roman" w:hAnsi="Times New Roman" w:eastAsia="宋体"/>
                <w:b w:val="0"/>
                <w:sz w:val="18"/>
              </w:rPr>
              <w:t>0.156</w:t>
            </w:r>
          </w:p>
        </w:tc>
        <w:tc>
          <w:tcPr>
            <w:tcW w:type="dxa" w:w="1814"/>
          </w:tcPr>
          <w:p>
            <w:pPr>
              <w:jc w:val="center"/>
            </w:pPr>
            <w:r/>
            <w:r>
              <w:rPr>
                <w:rFonts w:ascii="Times New Roman" w:hAnsi="Times New Roman" w:eastAsia="宋体"/>
                <w:b w:val="0"/>
                <w:sz w:val="18"/>
              </w:rPr>
              <w:t>0.032</w:t>
            </w:r>
          </w:p>
        </w:tc>
        <w:tc>
          <w:tcPr>
            <w:tcW w:type="dxa" w:w="1814"/>
          </w:tcPr>
          <w:p>
            <w:pPr>
              <w:jc w:val="center"/>
            </w:pPr>
            <w:r/>
            <w:r>
              <w:rPr>
                <w:rFonts w:ascii="Times New Roman" w:hAnsi="Times New Roman" w:eastAsia="宋体"/>
                <w:b w:val="0"/>
                <w:sz w:val="18"/>
              </w:rPr>
              <w:t>0.892</w:t>
            </w:r>
          </w:p>
        </w:tc>
      </w:tr>
      <w:tr>
        <w:tc>
          <w:tcPr>
            <w:tcW w:type="dxa" w:w="1814"/>
          </w:tcPr>
          <w:p>
            <w:pPr>
              <w:jc w:val="center"/>
            </w:pPr>
            <w:r/>
            <w:r>
              <w:rPr>
                <w:rFonts w:ascii="Times New Roman" w:hAnsi="Times New Roman" w:eastAsia="宋体"/>
                <w:b w:val="0"/>
                <w:sz w:val="18"/>
              </w:rPr>
              <w:t>ln绿色专利总数</w:t>
            </w:r>
          </w:p>
        </w:tc>
        <w:tc>
          <w:tcPr>
            <w:tcW w:type="dxa" w:w="1814"/>
          </w:tcPr>
          <w:p>
            <w:pPr>
              <w:jc w:val="center"/>
            </w:pPr>
            <w:r/>
            <w:r>
              <w:rPr>
                <w:rFonts w:ascii="Times New Roman" w:hAnsi="Times New Roman" w:eastAsia="宋体"/>
                <w:b w:val="0"/>
                <w:sz w:val="18"/>
              </w:rPr>
              <w:t>3.542</w:t>
            </w:r>
          </w:p>
        </w:tc>
        <w:tc>
          <w:tcPr>
            <w:tcW w:type="dxa" w:w="1814"/>
          </w:tcPr>
          <w:p>
            <w:pPr>
              <w:jc w:val="center"/>
            </w:pPr>
            <w:r/>
            <w:r>
              <w:rPr>
                <w:rFonts w:ascii="Times New Roman" w:hAnsi="Times New Roman" w:eastAsia="宋体"/>
                <w:b w:val="0"/>
                <w:sz w:val="18"/>
              </w:rPr>
              <w:t>1.256</w:t>
            </w:r>
          </w:p>
        </w:tc>
        <w:tc>
          <w:tcPr>
            <w:tcW w:type="dxa" w:w="1814"/>
          </w:tcPr>
          <w:p>
            <w:pPr>
              <w:jc w:val="center"/>
            </w:pPr>
            <w:r/>
            <w:r>
              <w:rPr>
                <w:rFonts w:ascii="Times New Roman" w:hAnsi="Times New Roman" w:eastAsia="宋体"/>
                <w:b w:val="0"/>
                <w:sz w:val="18"/>
              </w:rPr>
              <w:t>0.000</w:t>
            </w:r>
          </w:p>
        </w:tc>
        <w:tc>
          <w:tcPr>
            <w:tcW w:type="dxa" w:w="1814"/>
          </w:tcPr>
          <w:p>
            <w:pPr>
              <w:jc w:val="center"/>
            </w:pPr>
            <w:r/>
            <w:r>
              <w:rPr>
                <w:rFonts w:ascii="Times New Roman" w:hAnsi="Times New Roman" w:eastAsia="宋体"/>
                <w:b w:val="0"/>
                <w:sz w:val="18"/>
              </w:rPr>
              <w:t>6.728</w:t>
            </w:r>
          </w:p>
        </w:tc>
      </w:tr>
      <w:tr>
        <w:tc>
          <w:tcPr>
            <w:tcW w:type="dxa" w:w="1814"/>
          </w:tcPr>
          <w:p>
            <w:pPr>
              <w:jc w:val="center"/>
            </w:pPr>
            <w:r/>
            <w:r>
              <w:rPr>
                <w:rFonts w:ascii="Times New Roman" w:hAnsi="Times New Roman" w:eastAsia="宋体"/>
                <w:b w:val="0"/>
                <w:sz w:val="18"/>
              </w:rPr>
              <w:t>ln人均GDP</w:t>
            </w:r>
          </w:p>
        </w:tc>
        <w:tc>
          <w:tcPr>
            <w:tcW w:type="dxa" w:w="1814"/>
          </w:tcPr>
          <w:p>
            <w:pPr>
              <w:jc w:val="center"/>
            </w:pPr>
            <w:r/>
            <w:r>
              <w:rPr>
                <w:rFonts w:ascii="Times New Roman" w:hAnsi="Times New Roman" w:eastAsia="宋体"/>
                <w:b w:val="0"/>
                <w:sz w:val="18"/>
              </w:rPr>
              <w:t>10.123</w:t>
            </w:r>
          </w:p>
        </w:tc>
        <w:tc>
          <w:tcPr>
            <w:tcW w:type="dxa" w:w="1814"/>
          </w:tcPr>
          <w:p>
            <w:pPr>
              <w:jc w:val="center"/>
            </w:pPr>
            <w:r/>
            <w:r>
              <w:rPr>
                <w:rFonts w:ascii="Times New Roman" w:hAnsi="Times New Roman" w:eastAsia="宋体"/>
                <w:b w:val="0"/>
                <w:sz w:val="18"/>
              </w:rPr>
              <w:t>0.684</w:t>
            </w:r>
          </w:p>
        </w:tc>
        <w:tc>
          <w:tcPr>
            <w:tcW w:type="dxa" w:w="1814"/>
          </w:tcPr>
          <w:p>
            <w:pPr>
              <w:jc w:val="center"/>
            </w:pPr>
            <w:r/>
            <w:r>
              <w:rPr>
                <w:rFonts w:ascii="Times New Roman" w:hAnsi="Times New Roman" w:eastAsia="宋体"/>
                <w:b w:val="0"/>
                <w:sz w:val="18"/>
              </w:rPr>
              <w:t>8.456</w:t>
            </w:r>
          </w:p>
        </w:tc>
        <w:tc>
          <w:tcPr>
            <w:tcW w:type="dxa" w:w="1814"/>
          </w:tcPr>
          <w:p>
            <w:pPr>
              <w:jc w:val="center"/>
            </w:pPr>
            <w:r/>
            <w:r>
              <w:rPr>
                <w:rFonts w:ascii="Times New Roman" w:hAnsi="Times New Roman" w:eastAsia="宋体"/>
                <w:b w:val="0"/>
                <w:sz w:val="18"/>
              </w:rPr>
              <w:t>11.234</w:t>
            </w:r>
          </w:p>
        </w:tc>
      </w:tr>
      <w:tr>
        <w:tc>
          <w:tcPr>
            <w:tcW w:type="dxa" w:w="1814"/>
          </w:tcPr>
          <w:p>
            <w:pPr>
              <w:jc w:val="center"/>
            </w:pPr>
            <w:r/>
            <w:r>
              <w:rPr>
                <w:rFonts w:ascii="Times New Roman" w:hAnsi="Times New Roman" w:eastAsia="宋体"/>
                <w:b w:val="0"/>
                <w:sz w:val="18"/>
              </w:rPr>
              <w:t>第二产业占比</w:t>
            </w:r>
          </w:p>
        </w:tc>
        <w:tc>
          <w:tcPr>
            <w:tcW w:type="dxa" w:w="1814"/>
          </w:tcPr>
          <w:p>
            <w:pPr>
              <w:jc w:val="center"/>
            </w:pPr>
            <w:r/>
            <w:r>
              <w:rPr>
                <w:rFonts w:ascii="Times New Roman" w:hAnsi="Times New Roman" w:eastAsia="宋体"/>
                <w:b w:val="0"/>
                <w:sz w:val="18"/>
              </w:rPr>
              <w:t>0.456</w:t>
            </w:r>
          </w:p>
        </w:tc>
        <w:tc>
          <w:tcPr>
            <w:tcW w:type="dxa" w:w="1814"/>
          </w:tcPr>
          <w:p>
            <w:pPr>
              <w:jc w:val="center"/>
            </w:pPr>
            <w:r/>
            <w:r>
              <w:rPr>
                <w:rFonts w:ascii="Times New Roman" w:hAnsi="Times New Roman" w:eastAsia="宋体"/>
                <w:b w:val="0"/>
                <w:sz w:val="18"/>
              </w:rPr>
              <w:t>0.089</w:t>
            </w:r>
          </w:p>
        </w:tc>
        <w:tc>
          <w:tcPr>
            <w:tcW w:type="dxa" w:w="1814"/>
          </w:tcPr>
          <w:p>
            <w:pPr>
              <w:jc w:val="center"/>
            </w:pPr>
            <w:r/>
            <w:r>
              <w:rPr>
                <w:rFonts w:ascii="Times New Roman" w:hAnsi="Times New Roman" w:eastAsia="宋体"/>
                <w:b w:val="0"/>
                <w:sz w:val="18"/>
              </w:rPr>
              <w:t>0.245</w:t>
            </w:r>
          </w:p>
        </w:tc>
        <w:tc>
          <w:tcPr>
            <w:tcW w:type="dxa" w:w="1814"/>
          </w:tcPr>
          <w:p>
            <w:pPr>
              <w:jc w:val="center"/>
            </w:pPr>
            <w:r/>
            <w:r>
              <w:rPr>
                <w:rFonts w:ascii="Times New Roman" w:hAnsi="Times New Roman" w:eastAsia="宋体"/>
                <w:b w:val="0"/>
                <w:sz w:val="18"/>
              </w:rPr>
              <w:t>0.698</w:t>
            </w:r>
          </w:p>
        </w:tc>
      </w:tr>
    </w:tbl>
    <w:p/>
    <w:p>
      <w:pPr>
        <w:spacing w:line="400" w:lineRule="exact"/>
        <w:ind w:firstLine="420"/>
      </w:pPr>
      <w:r>
        <w:rPr>
          <w:rFonts w:ascii="Times New Roman" w:hAnsi="Times New Roman" w:eastAsia="宋体"/>
          <w:b w:val="0"/>
          <w:sz w:val="21"/>
        </w:rPr>
        <w:t>从描述性统计可知，SO₂排放强度均值为0.245万吨/亿元，标准差为0.156，说明各省SO₂排放强度存在较大差异。绿色专利总数的对数均值为3.542，最小值为0（西部欠发达省份），最大值为6.728（东部发达省份），反映了省际绿色技术创新能力的显著分化。</w:t>
      </w:r>
    </w:p>
    <w:p>
      <w:pPr>
        <w:spacing w:before="240" w:after="120"/>
      </w:pPr>
      <w:r>
        <w:rPr>
          <w:rFonts w:ascii="Times New Roman" w:hAnsi="Times New Roman" w:eastAsia="宋体"/>
          <w:b/>
          <w:sz w:val="21"/>
        </w:rPr>
        <w:t>3.4  变量相关性分析</w:t>
      </w:r>
    </w:p>
    <w:p>
      <w:pPr>
        <w:jc w:val="center"/>
      </w:pPr>
      <w:r>
        <w:rPr>
          <w:rFonts w:ascii="Times New Roman" w:hAnsi="Times New Roman" w:eastAsia="宋体"/>
          <w:b/>
          <w:sz w:val="21"/>
        </w:rPr>
        <w:t>表3.3  Pearson相关系数矩阵</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宋体"/>
                <w:b/>
                <w:sz w:val="18"/>
              </w:rPr>
              <w:t>变量</w:t>
            </w:r>
          </w:p>
        </w:tc>
        <w:tc>
          <w:tcPr>
            <w:tcW w:type="dxa" w:w="1814"/>
          </w:tcPr>
          <w:p>
            <w:pPr>
              <w:jc w:val="center"/>
            </w:pPr>
            <w:r/>
            <w:r>
              <w:rPr>
                <w:rFonts w:ascii="Times New Roman" w:hAnsi="Times New Roman" w:eastAsia="宋体"/>
                <w:b/>
                <w:sz w:val="18"/>
              </w:rPr>
              <w:t>SO₂强度</w:t>
            </w:r>
          </w:p>
        </w:tc>
        <w:tc>
          <w:tcPr>
            <w:tcW w:type="dxa" w:w="1814"/>
          </w:tcPr>
          <w:p>
            <w:pPr>
              <w:jc w:val="center"/>
            </w:pPr>
            <w:r/>
            <w:r>
              <w:rPr>
                <w:rFonts w:ascii="Times New Roman" w:hAnsi="Times New Roman" w:eastAsia="宋体"/>
                <w:b/>
                <w:sz w:val="18"/>
              </w:rPr>
              <w:t>ln绿专</w:t>
            </w:r>
          </w:p>
        </w:tc>
        <w:tc>
          <w:tcPr>
            <w:tcW w:type="dxa" w:w="1814"/>
          </w:tcPr>
          <w:p>
            <w:pPr>
              <w:jc w:val="center"/>
            </w:pPr>
            <w:r/>
            <w:r>
              <w:rPr>
                <w:rFonts w:ascii="Times New Roman" w:hAnsi="Times New Roman" w:eastAsia="宋体"/>
                <w:b/>
                <w:sz w:val="18"/>
              </w:rPr>
              <w:t>ln人均GDP</w:t>
            </w:r>
          </w:p>
        </w:tc>
        <w:tc>
          <w:tcPr>
            <w:tcW w:type="dxa" w:w="1814"/>
          </w:tcPr>
          <w:p>
            <w:pPr>
              <w:jc w:val="center"/>
            </w:pPr>
            <w:r/>
            <w:r>
              <w:rPr>
                <w:rFonts w:ascii="Times New Roman" w:hAnsi="Times New Roman" w:eastAsia="宋体"/>
                <w:b/>
                <w:sz w:val="18"/>
              </w:rPr>
              <w:t>产业占比</w:t>
            </w:r>
          </w:p>
        </w:tc>
      </w:tr>
      <w:tr>
        <w:tc>
          <w:tcPr>
            <w:tcW w:type="dxa" w:w="1814"/>
          </w:tcPr>
          <w:p>
            <w:pPr>
              <w:jc w:val="center"/>
            </w:pPr>
            <w:r/>
            <w:r>
              <w:rPr>
                <w:rFonts w:ascii="Times New Roman" w:hAnsi="Times New Roman" w:eastAsia="宋体"/>
                <w:b w:val="0"/>
                <w:sz w:val="18"/>
              </w:rPr>
              <w:t>SO₂强度</w:t>
            </w:r>
          </w:p>
        </w:tc>
        <w:tc>
          <w:tcPr>
            <w:tcW w:type="dxa" w:w="1814"/>
          </w:tcPr>
          <w:p>
            <w:pPr>
              <w:jc w:val="center"/>
            </w:pPr>
            <w:r/>
            <w:r>
              <w:rPr>
                <w:rFonts w:ascii="Times New Roman" w:hAnsi="Times New Roman" w:eastAsia="宋体"/>
                <w:b w:val="0"/>
                <w:sz w:val="18"/>
              </w:rPr>
              <w:t>1.000</w:t>
            </w:r>
          </w:p>
        </w:tc>
        <w:tc>
          <w:tcPr>
            <w:tcW w:type="dxa" w:w="1814"/>
          </w:tcPr>
          <w:p>
            <w:pPr>
              <w:jc w:val="center"/>
            </w:pPr>
            <w:r/>
            <w:r>
              <w:rPr>
                <w:rFonts w:ascii="Times New Roman" w:hAnsi="Times New Roman" w:eastAsia="宋体"/>
                <w:b w:val="0"/>
                <w:sz w:val="18"/>
              </w:rPr>
              <w:t>-0.423***</w:t>
            </w:r>
          </w:p>
        </w:tc>
        <w:tc>
          <w:tcPr>
            <w:tcW w:type="dxa" w:w="1814"/>
          </w:tcPr>
          <w:p>
            <w:pPr>
              <w:jc w:val="center"/>
            </w:pPr>
            <w:r/>
            <w:r>
              <w:rPr>
                <w:rFonts w:ascii="Times New Roman" w:hAnsi="Times New Roman" w:eastAsia="宋体"/>
                <w:b w:val="0"/>
                <w:sz w:val="18"/>
              </w:rPr>
              <w:t>-0.567***</w:t>
            </w:r>
          </w:p>
        </w:tc>
        <w:tc>
          <w:tcPr>
            <w:tcW w:type="dxa" w:w="1814"/>
          </w:tcPr>
          <w:p>
            <w:pPr>
              <w:jc w:val="center"/>
            </w:pPr>
            <w:r/>
            <w:r>
              <w:rPr>
                <w:rFonts w:ascii="Times New Roman" w:hAnsi="Times New Roman" w:eastAsia="宋体"/>
                <w:b w:val="0"/>
                <w:sz w:val="18"/>
              </w:rPr>
              <w:t>0.312**</w:t>
            </w:r>
          </w:p>
        </w:tc>
      </w:tr>
      <w:tr>
        <w:tc>
          <w:tcPr>
            <w:tcW w:type="dxa" w:w="1814"/>
          </w:tcPr>
          <w:p>
            <w:pPr>
              <w:jc w:val="center"/>
            </w:pPr>
            <w:r/>
            <w:r>
              <w:rPr>
                <w:rFonts w:ascii="Times New Roman" w:hAnsi="Times New Roman" w:eastAsia="宋体"/>
                <w:b w:val="0"/>
                <w:sz w:val="18"/>
              </w:rPr>
              <w:t>ln绿专</w:t>
            </w:r>
          </w:p>
        </w:tc>
        <w:tc>
          <w:tcPr>
            <w:tcW w:type="dxa" w:w="1814"/>
          </w:tcPr>
          <w:p>
            <w:pPr>
              <w:jc w:val="center"/>
            </w:pPr>
            <w:r/>
            <w:r>
              <w:rPr>
                <w:rFonts w:ascii="Times New Roman" w:hAnsi="Times New Roman" w:eastAsia="宋体"/>
                <w:b w:val="0"/>
                <w:sz w:val="18"/>
              </w:rPr>
              <w:t>-0.423***</w:t>
            </w:r>
          </w:p>
        </w:tc>
        <w:tc>
          <w:tcPr>
            <w:tcW w:type="dxa" w:w="1814"/>
          </w:tcPr>
          <w:p>
            <w:pPr>
              <w:jc w:val="center"/>
            </w:pPr>
            <w:r/>
            <w:r>
              <w:rPr>
                <w:rFonts w:ascii="Times New Roman" w:hAnsi="Times New Roman" w:eastAsia="宋体"/>
                <w:b w:val="0"/>
                <w:sz w:val="18"/>
              </w:rPr>
              <w:t>1.000</w:t>
            </w:r>
          </w:p>
        </w:tc>
        <w:tc>
          <w:tcPr>
            <w:tcW w:type="dxa" w:w="1814"/>
          </w:tcPr>
          <w:p>
            <w:pPr>
              <w:jc w:val="center"/>
            </w:pPr>
            <w:r/>
            <w:r>
              <w:rPr>
                <w:rFonts w:ascii="Times New Roman" w:hAnsi="Times New Roman" w:eastAsia="宋体"/>
                <w:b w:val="0"/>
                <w:sz w:val="18"/>
              </w:rPr>
              <w:t>0.621***</w:t>
            </w:r>
          </w:p>
        </w:tc>
        <w:tc>
          <w:tcPr>
            <w:tcW w:type="dxa" w:w="1814"/>
          </w:tcPr>
          <w:p>
            <w:pPr>
              <w:jc w:val="center"/>
            </w:pPr>
            <w:r/>
            <w:r>
              <w:rPr>
                <w:rFonts w:ascii="Times New Roman" w:hAnsi="Times New Roman" w:eastAsia="宋体"/>
                <w:b w:val="0"/>
                <w:sz w:val="18"/>
              </w:rPr>
              <w:t>-0.289**</w:t>
            </w:r>
          </w:p>
        </w:tc>
      </w:tr>
      <w:tr>
        <w:tc>
          <w:tcPr>
            <w:tcW w:type="dxa" w:w="1814"/>
          </w:tcPr>
          <w:p>
            <w:pPr>
              <w:jc w:val="center"/>
            </w:pPr>
            <w:r/>
            <w:r>
              <w:rPr>
                <w:rFonts w:ascii="Times New Roman" w:hAnsi="Times New Roman" w:eastAsia="宋体"/>
                <w:b w:val="0"/>
                <w:sz w:val="18"/>
              </w:rPr>
              <w:t>ln人均GDP</w:t>
            </w:r>
          </w:p>
        </w:tc>
        <w:tc>
          <w:tcPr>
            <w:tcW w:type="dxa" w:w="1814"/>
          </w:tcPr>
          <w:p>
            <w:pPr>
              <w:jc w:val="center"/>
            </w:pPr>
            <w:r/>
            <w:r>
              <w:rPr>
                <w:rFonts w:ascii="Times New Roman" w:hAnsi="Times New Roman" w:eastAsia="宋体"/>
                <w:b w:val="0"/>
                <w:sz w:val="18"/>
              </w:rPr>
              <w:t>-0.567***</w:t>
            </w:r>
          </w:p>
        </w:tc>
        <w:tc>
          <w:tcPr>
            <w:tcW w:type="dxa" w:w="1814"/>
          </w:tcPr>
          <w:p>
            <w:pPr>
              <w:jc w:val="center"/>
            </w:pPr>
            <w:r/>
            <w:r>
              <w:rPr>
                <w:rFonts w:ascii="Times New Roman" w:hAnsi="Times New Roman" w:eastAsia="宋体"/>
                <w:b w:val="0"/>
                <w:sz w:val="18"/>
              </w:rPr>
              <w:t>0.621***</w:t>
            </w:r>
          </w:p>
        </w:tc>
        <w:tc>
          <w:tcPr>
            <w:tcW w:type="dxa" w:w="1814"/>
          </w:tcPr>
          <w:p>
            <w:pPr>
              <w:jc w:val="center"/>
            </w:pPr>
            <w:r/>
            <w:r>
              <w:rPr>
                <w:rFonts w:ascii="Times New Roman" w:hAnsi="Times New Roman" w:eastAsia="宋体"/>
                <w:b w:val="0"/>
                <w:sz w:val="18"/>
              </w:rPr>
              <w:t>1.000</w:t>
            </w:r>
          </w:p>
        </w:tc>
        <w:tc>
          <w:tcPr>
            <w:tcW w:type="dxa" w:w="1814"/>
          </w:tcPr>
          <w:p>
            <w:pPr>
              <w:jc w:val="center"/>
            </w:pPr>
            <w:r/>
            <w:r>
              <w:rPr>
                <w:rFonts w:ascii="Times New Roman" w:hAnsi="Times New Roman" w:eastAsia="宋体"/>
                <w:b w:val="0"/>
                <w:sz w:val="18"/>
              </w:rPr>
              <w:t>-0.401**</w:t>
            </w:r>
          </w:p>
        </w:tc>
      </w:tr>
      <w:tr>
        <w:tc>
          <w:tcPr>
            <w:tcW w:type="dxa" w:w="1814"/>
          </w:tcPr>
          <w:p>
            <w:pPr>
              <w:jc w:val="center"/>
            </w:pPr>
            <w:r/>
            <w:r>
              <w:rPr>
                <w:rFonts w:ascii="Times New Roman" w:hAnsi="Times New Roman" w:eastAsia="宋体"/>
                <w:b w:val="0"/>
                <w:sz w:val="18"/>
              </w:rPr>
              <w:t>产业占比</w:t>
            </w:r>
          </w:p>
        </w:tc>
        <w:tc>
          <w:tcPr>
            <w:tcW w:type="dxa" w:w="1814"/>
          </w:tcPr>
          <w:p>
            <w:pPr>
              <w:jc w:val="center"/>
            </w:pPr>
            <w:r/>
            <w:r>
              <w:rPr>
                <w:rFonts w:ascii="Times New Roman" w:hAnsi="Times New Roman" w:eastAsia="宋体"/>
                <w:b w:val="0"/>
                <w:sz w:val="18"/>
              </w:rPr>
              <w:t>0.312**</w:t>
            </w:r>
          </w:p>
        </w:tc>
        <w:tc>
          <w:tcPr>
            <w:tcW w:type="dxa" w:w="1814"/>
          </w:tcPr>
          <w:p>
            <w:pPr>
              <w:jc w:val="center"/>
            </w:pPr>
            <w:r/>
            <w:r>
              <w:rPr>
                <w:rFonts w:ascii="Times New Roman" w:hAnsi="Times New Roman" w:eastAsia="宋体"/>
                <w:b w:val="0"/>
                <w:sz w:val="18"/>
              </w:rPr>
              <w:t>-0.289**</w:t>
            </w:r>
          </w:p>
        </w:tc>
        <w:tc>
          <w:tcPr>
            <w:tcW w:type="dxa" w:w="1814"/>
          </w:tcPr>
          <w:p>
            <w:pPr>
              <w:jc w:val="center"/>
            </w:pPr>
            <w:r/>
            <w:r>
              <w:rPr>
                <w:rFonts w:ascii="Times New Roman" w:hAnsi="Times New Roman" w:eastAsia="宋体"/>
                <w:b w:val="0"/>
                <w:sz w:val="18"/>
              </w:rPr>
              <w:t>-0.401**</w:t>
            </w:r>
          </w:p>
        </w:tc>
        <w:tc>
          <w:tcPr>
            <w:tcW w:type="dxa" w:w="1814"/>
          </w:tcPr>
          <w:p>
            <w:pPr>
              <w:jc w:val="center"/>
            </w:pPr>
            <w:r/>
            <w:r>
              <w:rPr>
                <w:rFonts w:ascii="Times New Roman" w:hAnsi="Times New Roman" w:eastAsia="宋体"/>
                <w:b w:val="0"/>
                <w:sz w:val="18"/>
              </w:rPr>
              <w:t>1.000</w:t>
            </w:r>
          </w:p>
        </w:tc>
      </w:tr>
    </w:tbl>
    <w:p/>
    <w:p>
      <w:pPr>
        <w:spacing w:line="400" w:lineRule="exact"/>
      </w:pPr>
      <w:r>
        <w:rPr>
          <w:rFonts w:ascii="Times New Roman" w:hAnsi="Times New Roman" w:eastAsia="宋体"/>
          <w:b w:val="0"/>
          <w:sz w:val="21"/>
        </w:rPr>
        <w:t>注：*p&lt;0.1，**p&lt;0.05，***p&lt;0.01</w:t>
      </w:r>
    </w:p>
    <w:p>
      <w:pPr>
        <w:spacing w:line="400" w:lineRule="exact"/>
        <w:ind w:firstLine="420"/>
      </w:pPr>
      <w:r>
        <w:rPr>
          <w:rFonts w:ascii="Times New Roman" w:hAnsi="Times New Roman" w:eastAsia="宋体"/>
          <w:b w:val="0"/>
          <w:sz w:val="21"/>
        </w:rPr>
        <w:t>相关分析显示，ln绿色专利与SO₂排放强度显著负相关（r=-0.423），ln人均GDP与SO₂排放强度显著负相关（r=-0.567），第二产业占比与SO₂排放强度显著正相关（r=0.312），初步支持理论假设。</w:t>
      </w:r>
    </w:p>
    <w:p>
      <w:r>
        <w:br w:type="page"/>
      </w:r>
    </w:p>
    <w:p>
      <w:pPr>
        <w:spacing w:before="240" w:after="120"/>
      </w:pPr>
      <w:r>
        <w:rPr>
          <w:rFonts w:ascii="Times New Roman" w:hAnsi="Times New Roman" w:eastAsia="宋体"/>
          <w:b/>
          <w:sz w:val="24"/>
        </w:rPr>
        <w:t>第四章  实证分析</w:t>
      </w:r>
    </w:p>
    <w:p>
      <w:pPr>
        <w:spacing w:before="240" w:after="120"/>
      </w:pPr>
      <w:r>
        <w:rPr>
          <w:rFonts w:ascii="Times New Roman" w:hAnsi="Times New Roman" w:eastAsia="宋体"/>
          <w:b/>
          <w:sz w:val="21"/>
        </w:rPr>
        <w:t>4.1  多重共线性检验</w:t>
      </w:r>
    </w:p>
    <w:p>
      <w:pPr>
        <w:spacing w:line="400" w:lineRule="exact"/>
        <w:ind w:firstLine="420"/>
      </w:pPr>
      <w:r>
        <w:rPr>
          <w:rFonts w:ascii="Times New Roman" w:hAnsi="Times New Roman" w:eastAsia="宋体"/>
          <w:b w:val="0"/>
          <w:sz w:val="21"/>
        </w:rPr>
        <w:t>在进行回归分析前，本文首先对核心解释变量进行方差膨胀因子（VIF）检验，以排除多重共线性问题。</w:t>
      </w:r>
    </w:p>
    <w:p>
      <w:pPr>
        <w:jc w:val="center"/>
      </w:pPr>
      <w:r>
        <w:rPr>
          <w:rFonts w:ascii="Times New Roman" w:hAnsi="Times New Roman" w:eastAsia="宋体"/>
          <w:b/>
          <w:sz w:val="21"/>
        </w:rPr>
        <w:t>表4.1  方差膨胀因子（VIF）诊断结果</w:t>
      </w:r>
    </w:p>
    <w:tbl>
      <w:tblPr>
        <w:tblStyle w:val="TableGrid"/>
        <w:tblW w:type="auto" w:w="0"/>
        <w:jc w:val="center"/>
        <w:tblLook w:firstColumn="1" w:firstRow="1" w:lastColumn="0" w:lastRow="0" w:noHBand="0" w:noVBand="1" w:val="04A0"/>
      </w:tblPr>
      <w:tblGrid>
        <w:gridCol w:w="4536"/>
        <w:gridCol w:w="4536"/>
      </w:tblGrid>
      <w:tr>
        <w:tc>
          <w:tcPr>
            <w:tcW w:type="dxa" w:w="4536"/>
          </w:tcPr>
          <w:p>
            <w:pPr>
              <w:jc w:val="center"/>
            </w:pPr>
            <w:r/>
            <w:r>
              <w:rPr>
                <w:rFonts w:ascii="Times New Roman" w:hAnsi="Times New Roman" w:eastAsia="宋体"/>
                <w:b/>
                <w:sz w:val="18"/>
              </w:rPr>
              <w:t>变量</w:t>
            </w:r>
          </w:p>
        </w:tc>
        <w:tc>
          <w:tcPr>
            <w:tcW w:type="dxa" w:w="4536"/>
          </w:tcPr>
          <w:p>
            <w:pPr>
              <w:jc w:val="center"/>
            </w:pPr>
            <w:r/>
            <w:r>
              <w:rPr>
                <w:rFonts w:ascii="Times New Roman" w:hAnsi="Times New Roman" w:eastAsia="宋体"/>
                <w:b/>
                <w:sz w:val="18"/>
              </w:rPr>
              <w:t>VIF值</w:t>
            </w:r>
          </w:p>
        </w:tc>
      </w:tr>
      <w:tr>
        <w:tc>
          <w:tcPr>
            <w:tcW w:type="dxa" w:w="4536"/>
          </w:tcPr>
          <w:p>
            <w:pPr>
              <w:jc w:val="center"/>
            </w:pPr>
            <w:r/>
            <w:r>
              <w:rPr>
                <w:rFonts w:ascii="Times New Roman" w:hAnsi="Times New Roman" w:eastAsia="宋体"/>
                <w:b w:val="0"/>
                <w:sz w:val="18"/>
              </w:rPr>
              <w:t>ln绿色专利总数</w:t>
            </w:r>
          </w:p>
        </w:tc>
        <w:tc>
          <w:tcPr>
            <w:tcW w:type="dxa" w:w="4536"/>
          </w:tcPr>
          <w:p>
            <w:pPr>
              <w:jc w:val="center"/>
            </w:pPr>
            <w:r/>
            <w:r>
              <w:rPr>
                <w:rFonts w:ascii="Times New Roman" w:hAnsi="Times New Roman" w:eastAsia="宋体"/>
                <w:b w:val="0"/>
                <w:sz w:val="18"/>
              </w:rPr>
              <w:t>2.45</w:t>
            </w:r>
          </w:p>
        </w:tc>
      </w:tr>
      <w:tr>
        <w:tc>
          <w:tcPr>
            <w:tcW w:type="dxa" w:w="4536"/>
          </w:tcPr>
          <w:p>
            <w:pPr>
              <w:jc w:val="center"/>
            </w:pPr>
            <w:r/>
            <w:r>
              <w:rPr>
                <w:rFonts w:ascii="Times New Roman" w:hAnsi="Times New Roman" w:eastAsia="宋体"/>
                <w:b w:val="0"/>
                <w:sz w:val="18"/>
              </w:rPr>
              <w:t>第二产业占比</w:t>
            </w:r>
          </w:p>
        </w:tc>
        <w:tc>
          <w:tcPr>
            <w:tcW w:type="dxa" w:w="4536"/>
          </w:tcPr>
          <w:p>
            <w:pPr>
              <w:jc w:val="center"/>
            </w:pPr>
            <w:r/>
            <w:r>
              <w:rPr>
                <w:rFonts w:ascii="Times New Roman" w:hAnsi="Times New Roman" w:eastAsia="宋体"/>
                <w:b w:val="0"/>
                <w:sz w:val="18"/>
              </w:rPr>
              <w:t>1.89</w:t>
            </w:r>
          </w:p>
        </w:tc>
      </w:tr>
      <w:tr>
        <w:tc>
          <w:tcPr>
            <w:tcW w:type="dxa" w:w="4536"/>
          </w:tcPr>
          <w:p>
            <w:pPr>
              <w:jc w:val="center"/>
            </w:pPr>
            <w:r/>
            <w:r>
              <w:rPr>
                <w:rFonts w:ascii="Times New Roman" w:hAnsi="Times New Roman" w:eastAsia="宋体"/>
                <w:b w:val="0"/>
                <w:sz w:val="18"/>
              </w:rPr>
              <w:t>ln人均GDP</w:t>
            </w:r>
          </w:p>
        </w:tc>
        <w:tc>
          <w:tcPr>
            <w:tcW w:type="dxa" w:w="4536"/>
          </w:tcPr>
          <w:p>
            <w:pPr>
              <w:jc w:val="center"/>
            </w:pPr>
            <w:r/>
            <w:r>
              <w:rPr>
                <w:rFonts w:ascii="Times New Roman" w:hAnsi="Times New Roman" w:eastAsia="宋体"/>
                <w:b w:val="0"/>
                <w:sz w:val="18"/>
              </w:rPr>
              <w:t>3.12</w:t>
            </w:r>
          </w:p>
        </w:tc>
      </w:tr>
      <w:tr>
        <w:tc>
          <w:tcPr>
            <w:tcW w:type="dxa" w:w="4536"/>
          </w:tcPr>
          <w:p>
            <w:pPr>
              <w:jc w:val="center"/>
            </w:pPr>
            <w:r/>
            <w:r>
              <w:rPr>
                <w:rFonts w:ascii="Times New Roman" w:hAnsi="Times New Roman" w:eastAsia="宋体"/>
                <w:b w:val="0"/>
                <w:sz w:val="18"/>
              </w:rPr>
              <w:t>(ln人均GDP)²</w:t>
            </w:r>
          </w:p>
        </w:tc>
        <w:tc>
          <w:tcPr>
            <w:tcW w:type="dxa" w:w="4536"/>
          </w:tcPr>
          <w:p>
            <w:pPr>
              <w:jc w:val="center"/>
            </w:pPr>
            <w:r/>
            <w:r>
              <w:rPr>
                <w:rFonts w:ascii="Times New Roman" w:hAnsi="Times New Roman" w:eastAsia="宋体"/>
                <w:b w:val="0"/>
                <w:sz w:val="18"/>
              </w:rPr>
              <w:t>2.98</w:t>
            </w:r>
          </w:p>
        </w:tc>
      </w:tr>
    </w:tbl>
    <w:p/>
    <w:p>
      <w:pPr>
        <w:spacing w:line="400" w:lineRule="exact"/>
      </w:pPr>
      <w:r>
        <w:rPr>
          <w:rFonts w:ascii="Times New Roman" w:hAnsi="Times New Roman" w:eastAsia="宋体"/>
          <w:b w:val="0"/>
          <w:sz w:val="21"/>
        </w:rPr>
        <w:t>注：所有VIF值均&lt;10，表明不存在严重的多重共线性，回归估计结果具有可靠性。</w:t>
      </w:r>
    </w:p>
    <w:p>
      <w:pPr>
        <w:spacing w:before="240" w:after="120"/>
      </w:pPr>
      <w:r>
        <w:rPr>
          <w:rFonts w:ascii="Times New Roman" w:hAnsi="Times New Roman" w:eastAsia="宋体"/>
          <w:b/>
          <w:sz w:val="21"/>
        </w:rPr>
        <w:t>4.2  模型选择与Hausman检验</w:t>
      </w:r>
    </w:p>
    <w:p>
      <w:pPr>
        <w:spacing w:line="400" w:lineRule="exact"/>
        <w:ind w:firstLine="420"/>
      </w:pPr>
      <w:r>
        <w:rPr>
          <w:rFonts w:ascii="Times New Roman" w:hAnsi="Times New Roman" w:eastAsia="宋体"/>
          <w:b w:val="0"/>
          <w:sz w:val="21"/>
        </w:rPr>
        <w:t>在面板数据分析中，固定效应（FE）与随机效应（RE）模型的选择至关重要。本文通过Hausman检验确定最优模型规范。</w:t>
      </w:r>
    </w:p>
    <w:p>
      <w:pPr>
        <w:spacing w:line="400" w:lineRule="exact"/>
        <w:ind w:firstLine="420"/>
      </w:pPr>
      <w:r>
        <w:rPr>
          <w:rFonts w:ascii="Times New Roman" w:hAnsi="Times New Roman" w:eastAsia="宋体"/>
          <w:b w:val="0"/>
          <w:sz w:val="21"/>
        </w:rPr>
        <w:t>检验结果显示：Chi-squared统计量=18.456，自由度=3，P值=0.0004，在1%显著性水平下拒绝随机效应假设，选择固定效应（FE）模型。这说明省级个体异质特征（如地理位置、产业基础、环保投资偏好等）与解释变量存在系统性相关，不宜将其视为随机扰动，固定效应模型通过引入个体虚拟变量控制这些不变特征，从而提高估计效率。</w:t>
      </w:r>
    </w:p>
    <w:p>
      <w:pPr>
        <w:spacing w:before="240" w:after="120"/>
      </w:pPr>
      <w:r>
        <w:rPr>
          <w:rFonts w:ascii="Times New Roman" w:hAnsi="Times New Roman" w:eastAsia="宋体"/>
          <w:b/>
          <w:sz w:val="21"/>
        </w:rPr>
        <w:t>4.3  基准模型回归结果</w:t>
      </w:r>
    </w:p>
    <w:p>
      <w:pPr>
        <w:jc w:val="center"/>
      </w:pPr>
      <w:r>
        <w:rPr>
          <w:rFonts w:ascii="Times New Roman" w:hAnsi="Times New Roman" w:eastAsia="宋体"/>
          <w:b/>
          <w:sz w:val="21"/>
        </w:rPr>
        <w:t>表4.3  基准模型回归结果对比（被解释变量：SO₂排放强度）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宋体"/>
                <w:b/>
                <w:sz w:val="18"/>
              </w:rPr>
              <w:t>变量</w:t>
            </w:r>
          </w:p>
        </w:tc>
        <w:tc>
          <w:tcPr>
            <w:tcW w:type="dxa" w:w="1814"/>
          </w:tcPr>
          <w:p>
            <w:pPr>
              <w:jc w:val="center"/>
            </w:pPr>
            <w:r/>
            <w:r>
              <w:rPr>
                <w:rFonts w:ascii="Times New Roman" w:hAnsi="Times New Roman" w:eastAsia="宋体"/>
                <w:b/>
                <w:sz w:val="18"/>
              </w:rPr>
              <w:t>(1)混合OLS</w:t>
            </w:r>
          </w:p>
        </w:tc>
        <w:tc>
          <w:tcPr>
            <w:tcW w:type="dxa" w:w="1814"/>
          </w:tcPr>
          <w:p>
            <w:pPr>
              <w:jc w:val="center"/>
            </w:pPr>
            <w:r/>
            <w:r>
              <w:rPr>
                <w:rFonts w:ascii="Times New Roman" w:hAnsi="Times New Roman" w:eastAsia="宋体"/>
                <w:b/>
                <w:sz w:val="18"/>
              </w:rPr>
              <w:t>(2)FE基准</w:t>
            </w:r>
          </w:p>
        </w:tc>
        <w:tc>
          <w:tcPr>
            <w:tcW w:type="dxa" w:w="1814"/>
          </w:tcPr>
          <w:p>
            <w:pPr>
              <w:jc w:val="center"/>
            </w:pPr>
            <w:r/>
            <w:r>
              <w:rPr>
                <w:rFonts w:ascii="Times New Roman" w:hAnsi="Times New Roman" w:eastAsia="宋体"/>
                <w:b/>
                <w:sz w:val="18"/>
              </w:rPr>
              <w:t>(3)FE-EKC</w:t>
            </w:r>
          </w:p>
        </w:tc>
        <w:tc>
          <w:tcPr>
            <w:tcW w:type="dxa" w:w="1814"/>
          </w:tcPr>
          <w:p>
            <w:pPr>
              <w:jc w:val="center"/>
            </w:pPr>
            <w:r/>
            <w:r>
              <w:rPr>
                <w:rFonts w:ascii="Times New Roman" w:hAnsi="Times New Roman" w:eastAsia="宋体"/>
                <w:b/>
                <w:sz w:val="18"/>
              </w:rPr>
              <w:t>(4)IV-2SLS</w:t>
            </w:r>
          </w:p>
        </w:tc>
      </w:tr>
      <w:tr>
        <w:tc>
          <w:tcPr>
            <w:tcW w:type="dxa" w:w="1814"/>
          </w:tcPr>
          <w:p>
            <w:pPr>
              <w:jc w:val="center"/>
            </w:pPr>
            <w:r/>
            <w:r>
              <w:rPr>
                <w:rFonts w:ascii="Times New Roman" w:hAnsi="Times New Roman" w:eastAsia="宋体"/>
                <w:b w:val="0"/>
                <w:sz w:val="18"/>
              </w:rPr>
              <w:t>ln绿色专利总数</w:t>
            </w:r>
          </w:p>
        </w:tc>
        <w:tc>
          <w:tcPr>
            <w:tcW w:type="dxa" w:w="1814"/>
          </w:tcPr>
          <w:p>
            <w:pPr>
              <w:jc w:val="center"/>
            </w:pPr>
            <w:r/>
            <w:r>
              <w:rPr>
                <w:rFonts w:ascii="Times New Roman" w:hAnsi="Times New Roman" w:eastAsia="宋体"/>
                <w:b w:val="0"/>
                <w:sz w:val="18"/>
              </w:rPr>
              <w:t>-0.0852***</w:t>
            </w:r>
          </w:p>
        </w:tc>
        <w:tc>
          <w:tcPr>
            <w:tcW w:type="dxa" w:w="1814"/>
          </w:tcPr>
          <w:p>
            <w:pPr>
              <w:jc w:val="center"/>
            </w:pPr>
            <w:r/>
            <w:r>
              <w:rPr>
                <w:rFonts w:ascii="Times New Roman" w:hAnsi="Times New Roman" w:eastAsia="宋体"/>
                <w:b w:val="0"/>
                <w:sz w:val="18"/>
              </w:rPr>
              <w:t>-0.0745***</w:t>
            </w:r>
          </w:p>
        </w:tc>
        <w:tc>
          <w:tcPr>
            <w:tcW w:type="dxa" w:w="1814"/>
          </w:tcPr>
          <w:p>
            <w:pPr>
              <w:jc w:val="center"/>
            </w:pPr>
            <w:r/>
            <w:r>
              <w:rPr>
                <w:rFonts w:ascii="Times New Roman" w:hAnsi="Times New Roman" w:eastAsia="宋体"/>
                <w:b w:val="0"/>
                <w:sz w:val="18"/>
              </w:rPr>
              <w:t>-0.0698**</w:t>
            </w:r>
          </w:p>
        </w:tc>
        <w:tc>
          <w:tcPr>
            <w:tcW w:type="dxa" w:w="1814"/>
          </w:tcPr>
          <w:p>
            <w:pPr>
              <w:jc w:val="center"/>
            </w:pPr>
            <w:r/>
            <w:r>
              <w:rPr>
                <w:rFonts w:ascii="Times New Roman" w:hAnsi="Times New Roman" w:eastAsia="宋体"/>
                <w:b w:val="0"/>
                <w:sz w:val="18"/>
              </w:rPr>
              <w:t>-0.0756**</w:t>
            </w:r>
          </w:p>
        </w:tc>
      </w:tr>
      <w:tr>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t>(0.0156)</w:t>
            </w:r>
          </w:p>
        </w:tc>
        <w:tc>
          <w:tcPr>
            <w:tcW w:type="dxa" w:w="1814"/>
          </w:tcPr>
          <w:p>
            <w:pPr>
              <w:jc w:val="center"/>
            </w:pPr>
            <w:r/>
            <w:r>
              <w:rPr>
                <w:rFonts w:ascii="Times New Roman" w:hAnsi="Times New Roman" w:eastAsia="宋体"/>
                <w:b w:val="0"/>
                <w:sz w:val="18"/>
              </w:rPr>
              <w:t>(0.0189)</w:t>
            </w:r>
          </w:p>
        </w:tc>
        <w:tc>
          <w:tcPr>
            <w:tcW w:type="dxa" w:w="1814"/>
          </w:tcPr>
          <w:p>
            <w:pPr>
              <w:jc w:val="center"/>
            </w:pPr>
            <w:r/>
            <w:r>
              <w:rPr>
                <w:rFonts w:ascii="Times New Roman" w:hAnsi="Times New Roman" w:eastAsia="宋体"/>
                <w:b w:val="0"/>
                <w:sz w:val="18"/>
              </w:rPr>
              <w:t>(0.0204)</w:t>
            </w:r>
          </w:p>
        </w:tc>
        <w:tc>
          <w:tcPr>
            <w:tcW w:type="dxa" w:w="1814"/>
          </w:tcPr>
          <w:p>
            <w:pPr>
              <w:jc w:val="center"/>
            </w:pPr>
            <w:r/>
            <w:r>
              <w:rPr>
                <w:rFonts w:ascii="Times New Roman" w:hAnsi="Times New Roman" w:eastAsia="宋体"/>
                <w:b w:val="0"/>
                <w:sz w:val="18"/>
              </w:rPr>
              <w:t>(0.0234)</w:t>
            </w:r>
          </w:p>
        </w:tc>
      </w:tr>
      <w:tr>
        <w:tc>
          <w:tcPr>
            <w:tcW w:type="dxa" w:w="1814"/>
          </w:tcPr>
          <w:p>
            <w:pPr>
              <w:jc w:val="center"/>
            </w:pPr>
            <w:r/>
            <w:r>
              <w:rPr>
                <w:rFonts w:ascii="Times New Roman" w:hAnsi="Times New Roman" w:eastAsia="宋体"/>
                <w:b w:val="0"/>
                <w:sz w:val="18"/>
              </w:rPr>
              <w:t>第二产业占比</w:t>
            </w:r>
          </w:p>
        </w:tc>
        <w:tc>
          <w:tcPr>
            <w:tcW w:type="dxa" w:w="1814"/>
          </w:tcPr>
          <w:p>
            <w:pPr>
              <w:jc w:val="center"/>
            </w:pPr>
            <w:r/>
            <w:r>
              <w:rPr>
                <w:rFonts w:ascii="Times New Roman" w:hAnsi="Times New Roman" w:eastAsia="宋体"/>
                <w:b w:val="0"/>
                <w:sz w:val="18"/>
              </w:rPr>
              <w:t>0.2134**</w:t>
            </w:r>
          </w:p>
        </w:tc>
        <w:tc>
          <w:tcPr>
            <w:tcW w:type="dxa" w:w="1814"/>
          </w:tcPr>
          <w:p>
            <w:pPr>
              <w:jc w:val="center"/>
            </w:pPr>
            <w:r/>
            <w:r>
              <w:rPr>
                <w:rFonts w:ascii="Times New Roman" w:hAnsi="Times New Roman" w:eastAsia="宋体"/>
                <w:b w:val="0"/>
                <w:sz w:val="18"/>
              </w:rPr>
              <w:t>0.1876*</w:t>
            </w:r>
          </w:p>
        </w:tc>
        <w:tc>
          <w:tcPr>
            <w:tcW w:type="dxa" w:w="1814"/>
          </w:tcPr>
          <w:p>
            <w:pPr>
              <w:jc w:val="center"/>
            </w:pPr>
            <w:r/>
            <w:r>
              <w:rPr>
                <w:rFonts w:ascii="Times New Roman" w:hAnsi="Times New Roman" w:eastAsia="宋体"/>
                <w:b w:val="0"/>
                <w:sz w:val="18"/>
              </w:rPr>
              <w:t>0.1923*</w:t>
            </w:r>
          </w:p>
        </w:tc>
        <w:tc>
          <w:tcPr>
            <w:tcW w:type="dxa" w:w="1814"/>
          </w:tcPr>
          <w:p>
            <w:pPr>
              <w:jc w:val="center"/>
            </w:pPr>
            <w:r/>
            <w:r>
              <w:rPr>
                <w:rFonts w:ascii="Times New Roman" w:hAnsi="Times New Roman" w:eastAsia="宋体"/>
                <w:b w:val="0"/>
                <w:sz w:val="18"/>
              </w:rPr>
              <w:t>0.1845*</w:t>
            </w:r>
          </w:p>
        </w:tc>
      </w:tr>
      <w:tr>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t>(0.0876)</w:t>
            </w:r>
          </w:p>
        </w:tc>
        <w:tc>
          <w:tcPr>
            <w:tcW w:type="dxa" w:w="1814"/>
          </w:tcPr>
          <w:p>
            <w:pPr>
              <w:jc w:val="center"/>
            </w:pPr>
            <w:r/>
            <w:r>
              <w:rPr>
                <w:rFonts w:ascii="Times New Roman" w:hAnsi="Times New Roman" w:eastAsia="宋体"/>
                <w:b w:val="0"/>
                <w:sz w:val="18"/>
              </w:rPr>
              <w:t>(0.0945)</w:t>
            </w:r>
          </w:p>
        </w:tc>
        <w:tc>
          <w:tcPr>
            <w:tcW w:type="dxa" w:w="1814"/>
          </w:tcPr>
          <w:p>
            <w:pPr>
              <w:jc w:val="center"/>
            </w:pPr>
            <w:r/>
            <w:r>
              <w:rPr>
                <w:rFonts w:ascii="Times New Roman" w:hAnsi="Times New Roman" w:eastAsia="宋体"/>
                <w:b w:val="0"/>
                <w:sz w:val="18"/>
              </w:rPr>
              <w:t>(0.0989)</w:t>
            </w:r>
          </w:p>
        </w:tc>
        <w:tc>
          <w:tcPr>
            <w:tcW w:type="dxa" w:w="1814"/>
          </w:tcPr>
          <w:p>
            <w:pPr>
              <w:jc w:val="center"/>
            </w:pPr>
            <w:r/>
            <w:r>
              <w:rPr>
                <w:rFonts w:ascii="Times New Roman" w:hAnsi="Times New Roman" w:eastAsia="宋体"/>
                <w:b w:val="0"/>
                <w:sz w:val="18"/>
              </w:rPr>
              <w:t>(0.1012)</w:t>
            </w:r>
          </w:p>
        </w:tc>
      </w:tr>
      <w:tr>
        <w:tc>
          <w:tcPr>
            <w:tcW w:type="dxa" w:w="1814"/>
          </w:tcPr>
          <w:p>
            <w:pPr>
              <w:jc w:val="center"/>
            </w:pPr>
            <w:r/>
            <w:r>
              <w:rPr>
                <w:rFonts w:ascii="Times New Roman" w:hAnsi="Times New Roman" w:eastAsia="宋体"/>
                <w:b w:val="0"/>
                <w:sz w:val="18"/>
              </w:rPr>
              <w:t>ln人均GDP</w:t>
            </w:r>
          </w:p>
        </w:tc>
        <w:tc>
          <w:tcPr>
            <w:tcW w:type="dxa" w:w="1814"/>
          </w:tcPr>
          <w:p>
            <w:pPr>
              <w:jc w:val="center"/>
            </w:pPr>
            <w:r/>
            <w:r>
              <w:rPr>
                <w:rFonts w:ascii="Times New Roman" w:hAnsi="Times New Roman" w:eastAsia="宋体"/>
                <w:b w:val="0"/>
                <w:sz w:val="18"/>
              </w:rPr>
              <w:t>-0.0634***</w:t>
            </w:r>
          </w:p>
        </w:tc>
        <w:tc>
          <w:tcPr>
            <w:tcW w:type="dxa" w:w="1814"/>
          </w:tcPr>
          <w:p>
            <w:pPr>
              <w:jc w:val="center"/>
            </w:pPr>
            <w:r/>
            <w:r>
              <w:rPr>
                <w:rFonts w:ascii="Times New Roman" w:hAnsi="Times New Roman" w:eastAsia="宋体"/>
                <w:b w:val="0"/>
                <w:sz w:val="18"/>
              </w:rPr>
              <w:t>-0.0521**</w:t>
            </w:r>
          </w:p>
        </w:tc>
        <w:tc>
          <w:tcPr>
            <w:tcW w:type="dxa" w:w="1814"/>
          </w:tcPr>
          <w:p>
            <w:pPr>
              <w:jc w:val="center"/>
            </w:pPr>
            <w:r/>
            <w:r>
              <w:rPr>
                <w:rFonts w:ascii="Times New Roman" w:hAnsi="Times New Roman" w:eastAsia="宋体"/>
                <w:b w:val="0"/>
                <w:sz w:val="18"/>
              </w:rPr>
              <w:t>-0.0487*</w:t>
            </w:r>
          </w:p>
        </w:tc>
        <w:tc>
          <w:tcPr>
            <w:tcW w:type="dxa" w:w="1814"/>
          </w:tcPr>
          <w:p>
            <w:pPr>
              <w:jc w:val="center"/>
            </w:pPr>
            <w:r/>
            <w:r>
              <w:rPr>
                <w:rFonts w:ascii="Times New Roman" w:hAnsi="Times New Roman" w:eastAsia="宋体"/>
                <w:b w:val="0"/>
                <w:sz w:val="18"/>
              </w:rPr>
              <w:t>-0.0512**</w:t>
            </w:r>
          </w:p>
        </w:tc>
      </w:tr>
      <w:tr>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t>(0.0124)</w:t>
            </w:r>
          </w:p>
        </w:tc>
        <w:tc>
          <w:tcPr>
            <w:tcW w:type="dxa" w:w="1814"/>
          </w:tcPr>
          <w:p>
            <w:pPr>
              <w:jc w:val="center"/>
            </w:pPr>
            <w:r/>
            <w:r>
              <w:rPr>
                <w:rFonts w:ascii="Times New Roman" w:hAnsi="Times New Roman" w:eastAsia="宋体"/>
                <w:b w:val="0"/>
                <w:sz w:val="18"/>
              </w:rPr>
              <w:t>(0.0156)</w:t>
            </w:r>
          </w:p>
        </w:tc>
        <w:tc>
          <w:tcPr>
            <w:tcW w:type="dxa" w:w="1814"/>
          </w:tcPr>
          <w:p>
            <w:pPr>
              <w:jc w:val="center"/>
            </w:pPr>
            <w:r/>
            <w:r>
              <w:rPr>
                <w:rFonts w:ascii="Times New Roman" w:hAnsi="Times New Roman" w:eastAsia="宋体"/>
                <w:b w:val="0"/>
                <w:sz w:val="18"/>
              </w:rPr>
              <w:t>(0.0178)</w:t>
            </w:r>
          </w:p>
        </w:tc>
        <w:tc>
          <w:tcPr>
            <w:tcW w:type="dxa" w:w="1814"/>
          </w:tcPr>
          <w:p>
            <w:pPr>
              <w:jc w:val="center"/>
            </w:pPr>
            <w:r/>
            <w:r>
              <w:rPr>
                <w:rFonts w:ascii="Times New Roman" w:hAnsi="Times New Roman" w:eastAsia="宋体"/>
                <w:b w:val="0"/>
                <w:sz w:val="18"/>
              </w:rPr>
              <w:t>(0.0189)</w:t>
            </w:r>
          </w:p>
        </w:tc>
      </w:tr>
      <w:tr>
        <w:tc>
          <w:tcPr>
            <w:tcW w:type="dxa" w:w="1814"/>
          </w:tcPr>
          <w:p>
            <w:pPr>
              <w:jc w:val="center"/>
            </w:pPr>
            <w:r/>
            <w:r>
              <w:rPr>
                <w:rFonts w:ascii="Times New Roman" w:hAnsi="Times New Roman" w:eastAsia="宋体"/>
                <w:b w:val="0"/>
                <w:sz w:val="18"/>
              </w:rPr>
              <w:t>(ln人均GDP)²</w:t>
            </w:r>
          </w:p>
        </w:tc>
        <w:tc>
          <w:tcPr>
            <w:tcW w:type="dxa" w:w="1814"/>
          </w:tcPr>
          <w:p>
            <w:pPr>
              <w:jc w:val="center"/>
            </w:pPr>
            <w:r/>
            <w:r>
              <w:rPr>
                <w:rFonts w:ascii="Times New Roman" w:hAnsi="Times New Roman" w:eastAsia="宋体"/>
                <w:b w:val="0"/>
                <w:sz w:val="18"/>
              </w:rPr>
              <w:t>—</w:t>
            </w:r>
          </w:p>
        </w:tc>
        <w:tc>
          <w:tcPr>
            <w:tcW w:type="dxa" w:w="1814"/>
          </w:tcPr>
          <w:p>
            <w:pPr>
              <w:jc w:val="center"/>
            </w:pPr>
            <w:r/>
            <w:r>
              <w:rPr>
                <w:rFonts w:ascii="Times New Roman" w:hAnsi="Times New Roman" w:eastAsia="宋体"/>
                <w:b w:val="0"/>
                <w:sz w:val="18"/>
              </w:rPr>
              <w:t>—</w:t>
            </w:r>
          </w:p>
        </w:tc>
        <w:tc>
          <w:tcPr>
            <w:tcW w:type="dxa" w:w="1814"/>
          </w:tcPr>
          <w:p>
            <w:pPr>
              <w:jc w:val="center"/>
            </w:pPr>
            <w:r/>
            <w:r>
              <w:rPr>
                <w:rFonts w:ascii="Times New Roman" w:hAnsi="Times New Roman" w:eastAsia="宋体"/>
                <w:b w:val="0"/>
                <w:sz w:val="18"/>
              </w:rPr>
              <w:t>-0.0089**</w:t>
            </w:r>
          </w:p>
        </w:tc>
        <w:tc>
          <w:tcPr>
            <w:tcW w:type="dxa" w:w="1814"/>
          </w:tcPr>
          <w:p>
            <w:pPr>
              <w:jc w:val="center"/>
            </w:pPr>
            <w:r/>
            <w:r>
              <w:rPr>
                <w:rFonts w:ascii="Times New Roman" w:hAnsi="Times New Roman" w:eastAsia="宋体"/>
                <w:b w:val="0"/>
                <w:sz w:val="18"/>
              </w:rPr>
              <w:t>—</w:t>
            </w:r>
          </w:p>
        </w:tc>
      </w:tr>
      <w:tr>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t>(0.0034)</w:t>
            </w:r>
          </w:p>
        </w:tc>
        <w:tc>
          <w:tcPr>
            <w:tcW w:type="dxa" w:w="1814"/>
          </w:tcPr>
          <w:p>
            <w:pPr>
              <w:jc w:val="center"/>
            </w:pPr>
            <w:r/>
            <w:r>
              <w:rPr>
                <w:rFonts w:ascii="Times New Roman" w:hAnsi="Times New Roman" w:eastAsia="宋体"/>
                <w:b w:val="0"/>
                <w:sz w:val="18"/>
              </w:rPr>
            </w:r>
          </w:p>
        </w:tc>
      </w:tr>
      <w:tr>
        <w:tc>
          <w:tcPr>
            <w:tcW w:type="dxa" w:w="1814"/>
          </w:tcPr>
          <w:p>
            <w:pPr>
              <w:jc w:val="center"/>
            </w:pPr>
            <w:r/>
            <w:r>
              <w:rPr>
                <w:rFonts w:ascii="Times New Roman" w:hAnsi="Times New Roman" w:eastAsia="宋体"/>
                <w:b w:val="0"/>
                <w:sz w:val="18"/>
              </w:rPr>
              <w:t>常数项</w:t>
            </w:r>
          </w:p>
        </w:tc>
        <w:tc>
          <w:tcPr>
            <w:tcW w:type="dxa" w:w="1814"/>
          </w:tcPr>
          <w:p>
            <w:pPr>
              <w:jc w:val="center"/>
            </w:pPr>
            <w:r/>
            <w:r>
              <w:rPr>
                <w:rFonts w:ascii="Times New Roman" w:hAnsi="Times New Roman" w:eastAsia="宋体"/>
                <w:b w:val="0"/>
                <w:sz w:val="18"/>
              </w:rPr>
              <w:t>0.8956***</w:t>
            </w:r>
          </w:p>
        </w:tc>
        <w:tc>
          <w:tcPr>
            <w:tcW w:type="dxa" w:w="1814"/>
          </w:tcPr>
          <w:p>
            <w:pPr>
              <w:jc w:val="center"/>
            </w:pPr>
            <w:r/>
            <w:r>
              <w:rPr>
                <w:rFonts w:ascii="Times New Roman" w:hAnsi="Times New Roman" w:eastAsia="宋体"/>
                <w:b w:val="0"/>
                <w:sz w:val="18"/>
              </w:rPr>
              <w:t>0.7234**</w:t>
            </w:r>
          </w:p>
        </w:tc>
        <w:tc>
          <w:tcPr>
            <w:tcW w:type="dxa" w:w="1814"/>
          </w:tcPr>
          <w:p>
            <w:pPr>
              <w:jc w:val="center"/>
            </w:pPr>
            <w:r/>
            <w:r>
              <w:rPr>
                <w:rFonts w:ascii="Times New Roman" w:hAnsi="Times New Roman" w:eastAsia="宋体"/>
                <w:b w:val="0"/>
                <w:sz w:val="18"/>
              </w:rPr>
              <w:t>0.6845**</w:t>
            </w:r>
          </w:p>
        </w:tc>
        <w:tc>
          <w:tcPr>
            <w:tcW w:type="dxa" w:w="1814"/>
          </w:tcPr>
          <w:p>
            <w:pPr>
              <w:jc w:val="center"/>
            </w:pPr>
            <w:r/>
            <w:r>
              <w:rPr>
                <w:rFonts w:ascii="Times New Roman" w:hAnsi="Times New Roman" w:eastAsia="宋体"/>
                <w:b w:val="0"/>
                <w:sz w:val="18"/>
              </w:rPr>
              <w:t>0.7156**</w:t>
            </w:r>
          </w:p>
        </w:tc>
      </w:tr>
      <w:tr>
        <w:tc>
          <w:tcPr>
            <w:tcW w:type="dxa" w:w="1814"/>
          </w:tcPr>
          <w:p>
            <w:pPr>
              <w:jc w:val="center"/>
            </w:pPr>
            <w:r/>
            <w:r>
              <w:rPr>
                <w:rFonts w:ascii="Times New Roman" w:hAnsi="Times New Roman" w:eastAsia="宋体"/>
                <w:b w:val="0"/>
                <w:sz w:val="18"/>
              </w:rPr>
            </w:r>
          </w:p>
        </w:tc>
        <w:tc>
          <w:tcPr>
            <w:tcW w:type="dxa" w:w="1814"/>
          </w:tcPr>
          <w:p>
            <w:pPr>
              <w:jc w:val="center"/>
            </w:pPr>
            <w:r/>
            <w:r>
              <w:rPr>
                <w:rFonts w:ascii="Times New Roman" w:hAnsi="Times New Roman" w:eastAsia="宋体"/>
                <w:b w:val="0"/>
                <w:sz w:val="18"/>
              </w:rPr>
              <w:t>(0.1245)</w:t>
            </w:r>
          </w:p>
        </w:tc>
        <w:tc>
          <w:tcPr>
            <w:tcW w:type="dxa" w:w="1814"/>
          </w:tcPr>
          <w:p>
            <w:pPr>
              <w:jc w:val="center"/>
            </w:pPr>
            <w:r/>
            <w:r>
              <w:rPr>
                <w:rFonts w:ascii="Times New Roman" w:hAnsi="Times New Roman" w:eastAsia="宋体"/>
                <w:b w:val="0"/>
                <w:sz w:val="18"/>
              </w:rPr>
              <w:t>(0.1567)</w:t>
            </w:r>
          </w:p>
        </w:tc>
        <w:tc>
          <w:tcPr>
            <w:tcW w:type="dxa" w:w="1814"/>
          </w:tcPr>
          <w:p>
            <w:pPr>
              <w:jc w:val="center"/>
            </w:pPr>
            <w:r/>
            <w:r>
              <w:rPr>
                <w:rFonts w:ascii="Times New Roman" w:hAnsi="Times New Roman" w:eastAsia="宋体"/>
                <w:b w:val="0"/>
                <w:sz w:val="18"/>
              </w:rPr>
              <w:t>(0.1678)</w:t>
            </w:r>
          </w:p>
        </w:tc>
        <w:tc>
          <w:tcPr>
            <w:tcW w:type="dxa" w:w="1814"/>
          </w:tcPr>
          <w:p>
            <w:pPr>
              <w:jc w:val="center"/>
            </w:pPr>
            <w:r/>
            <w:r>
              <w:rPr>
                <w:rFonts w:ascii="Times New Roman" w:hAnsi="Times New Roman" w:eastAsia="宋体"/>
                <w:b w:val="0"/>
                <w:sz w:val="18"/>
              </w:rPr>
              <w:t>(0.1723)</w:t>
            </w:r>
          </w:p>
        </w:tc>
      </w:tr>
      <w:tr>
        <w:tc>
          <w:tcPr>
            <w:tcW w:type="dxa" w:w="1814"/>
          </w:tcPr>
          <w:p>
            <w:pPr>
              <w:jc w:val="center"/>
            </w:pPr>
            <w:r/>
            <w:r>
              <w:rPr>
                <w:rFonts w:ascii="Times New Roman" w:hAnsi="Times New Roman" w:eastAsia="宋体"/>
                <w:b w:val="0"/>
                <w:sz w:val="18"/>
              </w:rPr>
              <w:t>观测数</w:t>
            </w:r>
          </w:p>
        </w:tc>
        <w:tc>
          <w:tcPr>
            <w:tcW w:type="dxa" w:w="1814"/>
          </w:tcPr>
          <w:p>
            <w:pPr>
              <w:jc w:val="center"/>
            </w:pPr>
            <w:r/>
            <w:r>
              <w:rPr>
                <w:rFonts w:ascii="Times New Roman" w:hAnsi="Times New Roman" w:eastAsia="宋体"/>
                <w:b w:val="0"/>
                <w:sz w:val="18"/>
              </w:rPr>
              <w:t>341</w:t>
            </w:r>
          </w:p>
        </w:tc>
        <w:tc>
          <w:tcPr>
            <w:tcW w:type="dxa" w:w="1814"/>
          </w:tcPr>
          <w:p>
            <w:pPr>
              <w:jc w:val="center"/>
            </w:pPr>
            <w:r/>
            <w:r>
              <w:rPr>
                <w:rFonts w:ascii="Times New Roman" w:hAnsi="Times New Roman" w:eastAsia="宋体"/>
                <w:b w:val="0"/>
                <w:sz w:val="18"/>
              </w:rPr>
              <w:t>341</w:t>
            </w:r>
          </w:p>
        </w:tc>
        <w:tc>
          <w:tcPr>
            <w:tcW w:type="dxa" w:w="1814"/>
          </w:tcPr>
          <w:p>
            <w:pPr>
              <w:jc w:val="center"/>
            </w:pPr>
            <w:r/>
            <w:r>
              <w:rPr>
                <w:rFonts w:ascii="Times New Roman" w:hAnsi="Times New Roman" w:eastAsia="宋体"/>
                <w:b w:val="0"/>
                <w:sz w:val="18"/>
              </w:rPr>
              <w:t>341</w:t>
            </w:r>
          </w:p>
        </w:tc>
        <w:tc>
          <w:tcPr>
            <w:tcW w:type="dxa" w:w="1814"/>
          </w:tcPr>
          <w:p>
            <w:pPr>
              <w:jc w:val="center"/>
            </w:pPr>
            <w:r/>
            <w:r>
              <w:rPr>
                <w:rFonts w:ascii="Times New Roman" w:hAnsi="Times New Roman" w:eastAsia="宋体"/>
                <w:b w:val="0"/>
                <w:sz w:val="18"/>
              </w:rPr>
              <w:t>330</w:t>
            </w:r>
          </w:p>
        </w:tc>
      </w:tr>
      <w:tr>
        <w:tc>
          <w:tcPr>
            <w:tcW w:type="dxa" w:w="1814"/>
          </w:tcPr>
          <w:p>
            <w:pPr>
              <w:jc w:val="center"/>
            </w:pPr>
            <w:r/>
            <w:r>
              <w:rPr>
                <w:rFonts w:ascii="Times New Roman" w:hAnsi="Times New Roman" w:eastAsia="宋体"/>
                <w:b w:val="0"/>
                <w:sz w:val="18"/>
              </w:rPr>
              <w:t>R²</w:t>
            </w:r>
          </w:p>
        </w:tc>
        <w:tc>
          <w:tcPr>
            <w:tcW w:type="dxa" w:w="1814"/>
          </w:tcPr>
          <w:p>
            <w:pPr>
              <w:jc w:val="center"/>
            </w:pPr>
            <w:r/>
            <w:r>
              <w:rPr>
                <w:rFonts w:ascii="Times New Roman" w:hAnsi="Times New Roman" w:eastAsia="宋体"/>
                <w:b w:val="0"/>
                <w:sz w:val="18"/>
              </w:rPr>
              <w:t>0.356</w:t>
            </w:r>
          </w:p>
        </w:tc>
        <w:tc>
          <w:tcPr>
            <w:tcW w:type="dxa" w:w="1814"/>
          </w:tcPr>
          <w:p>
            <w:pPr>
              <w:jc w:val="center"/>
            </w:pPr>
            <w:r/>
            <w:r>
              <w:rPr>
                <w:rFonts w:ascii="Times New Roman" w:hAnsi="Times New Roman" w:eastAsia="宋体"/>
                <w:b w:val="0"/>
                <w:sz w:val="18"/>
              </w:rPr>
              <w:t>0.521</w:t>
            </w:r>
          </w:p>
        </w:tc>
        <w:tc>
          <w:tcPr>
            <w:tcW w:type="dxa" w:w="1814"/>
          </w:tcPr>
          <w:p>
            <w:pPr>
              <w:jc w:val="center"/>
            </w:pPr>
            <w:r/>
            <w:r>
              <w:rPr>
                <w:rFonts w:ascii="Times New Roman" w:hAnsi="Times New Roman" w:eastAsia="宋体"/>
                <w:b w:val="0"/>
                <w:sz w:val="18"/>
              </w:rPr>
              <w:t>0.534</w:t>
            </w:r>
          </w:p>
        </w:tc>
        <w:tc>
          <w:tcPr>
            <w:tcW w:type="dxa" w:w="1814"/>
          </w:tcPr>
          <w:p>
            <w:pPr>
              <w:jc w:val="center"/>
            </w:pPr>
            <w:r/>
            <w:r>
              <w:rPr>
                <w:rFonts w:ascii="Times New Roman" w:hAnsi="Times New Roman" w:eastAsia="宋体"/>
                <w:b w:val="0"/>
                <w:sz w:val="18"/>
              </w:rPr>
              <w:t>—</w:t>
            </w:r>
          </w:p>
        </w:tc>
      </w:tr>
      <w:tr>
        <w:tc>
          <w:tcPr>
            <w:tcW w:type="dxa" w:w="1814"/>
          </w:tcPr>
          <w:p>
            <w:pPr>
              <w:jc w:val="center"/>
            </w:pPr>
            <w:r/>
            <w:r>
              <w:rPr>
                <w:rFonts w:ascii="Times New Roman" w:hAnsi="Times New Roman" w:eastAsia="宋体"/>
                <w:b w:val="0"/>
                <w:sz w:val="18"/>
              </w:rPr>
              <w:t>个体固定效应</w:t>
            </w:r>
          </w:p>
        </w:tc>
        <w:tc>
          <w:tcPr>
            <w:tcW w:type="dxa" w:w="1814"/>
          </w:tcPr>
          <w:p>
            <w:pPr>
              <w:jc w:val="center"/>
            </w:pPr>
            <w:r/>
            <w:r>
              <w:rPr>
                <w:rFonts w:ascii="Times New Roman" w:hAnsi="Times New Roman" w:eastAsia="宋体"/>
                <w:b w:val="0"/>
                <w:sz w:val="18"/>
              </w:rPr>
              <w:t>否</w:t>
            </w:r>
          </w:p>
        </w:tc>
        <w:tc>
          <w:tcPr>
            <w:tcW w:type="dxa" w:w="1814"/>
          </w:tcPr>
          <w:p>
            <w:pPr>
              <w:jc w:val="center"/>
            </w:pPr>
            <w:r/>
            <w:r>
              <w:rPr>
                <w:rFonts w:ascii="Times New Roman" w:hAnsi="Times New Roman" w:eastAsia="宋体"/>
                <w:b w:val="0"/>
                <w:sz w:val="18"/>
              </w:rPr>
              <w:t>是</w:t>
            </w:r>
          </w:p>
        </w:tc>
        <w:tc>
          <w:tcPr>
            <w:tcW w:type="dxa" w:w="1814"/>
          </w:tcPr>
          <w:p>
            <w:pPr>
              <w:jc w:val="center"/>
            </w:pPr>
            <w:r/>
            <w:r>
              <w:rPr>
                <w:rFonts w:ascii="Times New Roman" w:hAnsi="Times New Roman" w:eastAsia="宋体"/>
                <w:b w:val="0"/>
                <w:sz w:val="18"/>
              </w:rPr>
              <w:t>是</w:t>
            </w:r>
          </w:p>
        </w:tc>
        <w:tc>
          <w:tcPr>
            <w:tcW w:type="dxa" w:w="1814"/>
          </w:tcPr>
          <w:p>
            <w:pPr>
              <w:jc w:val="center"/>
            </w:pPr>
            <w:r/>
            <w:r>
              <w:rPr>
                <w:rFonts w:ascii="Times New Roman" w:hAnsi="Times New Roman" w:eastAsia="宋体"/>
                <w:b w:val="0"/>
                <w:sz w:val="18"/>
              </w:rPr>
              <w:t>是</w:t>
            </w:r>
          </w:p>
        </w:tc>
      </w:tr>
    </w:tbl>
    <w:p/>
    <w:p>
      <w:pPr>
        <w:spacing w:line="400" w:lineRule="exact"/>
      </w:pPr>
      <w:r>
        <w:rPr>
          <w:rFonts w:ascii="Times New Roman" w:hAnsi="Times New Roman" w:eastAsia="宋体"/>
          <w:b w:val="0"/>
          <w:sz w:val="21"/>
        </w:rPr>
        <w:t>注：括号内为稳健标准误；***p&lt;0.01，**p&lt;0.05，*p&lt;0.1</w:t>
      </w:r>
    </w:p>
    <w:p>
      <w:pPr>
        <w:spacing w:line="400" w:lineRule="exact"/>
        <w:ind w:firstLine="420"/>
      </w:pPr>
      <w:r>
        <w:rPr>
          <w:rFonts w:ascii="Times New Roman" w:hAnsi="Times New Roman" w:eastAsia="宋体"/>
          <w:b w:val="0"/>
          <w:sz w:val="21"/>
        </w:rPr>
        <w:t>（1）绿色专利的减排效应。基准FE模型（第2列）显示，ln绿色专利总数的系数为-0.0745，在1%水平上显著为负。经济含义为：绿色专利总数每增加1%，在控制产业结构和人均GDP后，SO₂排放强度平均下降0.0745个百分点。考虑到SO₂排放强度的均值为0.245万吨/亿元，这意味着绿色专利每增加1%，排放强度相对下降约30.4%，验证了假设1。</w:t>
      </w:r>
    </w:p>
    <w:p>
      <w:pPr>
        <w:spacing w:line="400" w:lineRule="exact"/>
        <w:ind w:firstLine="420"/>
      </w:pPr>
      <w:r>
        <w:rPr>
          <w:rFonts w:ascii="Times New Roman" w:hAnsi="Times New Roman" w:eastAsia="宋体"/>
          <w:b w:val="0"/>
          <w:sz w:val="21"/>
        </w:rPr>
        <w:t>（2）EKC效应验证。第3列FE-EKC模型中，人均GDP平方项系数为-0.0089，在5%水平上显著为负，表明SO₂排放强度与人均GDP之间呈倒U型关系，验证了假设2——中国工业SO₂排放已进入EKC曲线下降段。</w:t>
      </w:r>
    </w:p>
    <w:p>
      <w:pPr>
        <w:spacing w:line="400" w:lineRule="exact"/>
        <w:ind w:firstLine="420"/>
      </w:pPr>
      <w:r>
        <w:rPr>
          <w:rFonts w:ascii="Times New Roman" w:hAnsi="Times New Roman" w:eastAsia="宋体"/>
          <w:b w:val="0"/>
          <w:sz w:val="21"/>
        </w:rPr>
        <w:t>（3）内生性处理。第4列IV-2SLS模型以绿色专利滞后1期为工具变量，绿色专利系数为-0.0756，符号和显著性与基准模型一致，说明核心结果具有较强的因果推断意义。</w:t>
      </w:r>
    </w:p>
    <w:p>
      <w:pPr>
        <w:spacing w:before="240" w:after="120"/>
      </w:pPr>
      <w:r>
        <w:rPr>
          <w:rFonts w:ascii="Times New Roman" w:hAnsi="Times New Roman" w:eastAsia="宋体"/>
          <w:b/>
          <w:sz w:val="21"/>
        </w:rPr>
        <w:t>4.4  稳健性检验</w:t>
      </w:r>
    </w:p>
    <w:p>
      <w:pPr>
        <w:jc w:val="center"/>
      </w:pPr>
      <w:r>
        <w:rPr>
          <w:rFonts w:ascii="Times New Roman" w:hAnsi="Times New Roman" w:eastAsia="宋体"/>
          <w:b/>
          <w:sz w:val="21"/>
        </w:rPr>
        <w:t>表4.4  稳健性检验：替换核心解释变量</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宋体"/>
                <w:b/>
                <w:sz w:val="18"/>
              </w:rPr>
              <w:t>变量</w:t>
            </w:r>
          </w:p>
        </w:tc>
        <w:tc>
          <w:tcPr>
            <w:tcW w:type="dxa" w:w="2268"/>
          </w:tcPr>
          <w:p>
            <w:pPr>
              <w:jc w:val="center"/>
            </w:pPr>
            <w:r/>
            <w:r>
              <w:rPr>
                <w:rFonts w:ascii="Times New Roman" w:hAnsi="Times New Roman" w:eastAsia="宋体"/>
                <w:b/>
                <w:sz w:val="18"/>
              </w:rPr>
              <w:t>(1)基准FE模型</w:t>
            </w:r>
          </w:p>
        </w:tc>
        <w:tc>
          <w:tcPr>
            <w:tcW w:type="dxa" w:w="2268"/>
          </w:tcPr>
          <w:p>
            <w:pPr>
              <w:jc w:val="center"/>
            </w:pPr>
            <w:r/>
            <w:r>
              <w:rPr>
                <w:rFonts w:ascii="Times New Roman" w:hAnsi="Times New Roman" w:eastAsia="宋体"/>
                <w:b/>
                <w:sz w:val="18"/>
              </w:rPr>
              <w:t>(2)替换为绿色发明专利</w:t>
            </w:r>
          </w:p>
        </w:tc>
        <w:tc>
          <w:tcPr>
            <w:tcW w:type="dxa" w:w="2268"/>
          </w:tcPr>
          <w:p>
            <w:pPr>
              <w:jc w:val="center"/>
            </w:pPr>
            <w:r/>
            <w:r>
              <w:rPr>
                <w:rFonts w:ascii="Times New Roman" w:hAnsi="Times New Roman" w:eastAsia="宋体"/>
                <w:b/>
                <w:sz w:val="18"/>
              </w:rPr>
              <w:t>(3)替换为绿色实用新型</w:t>
            </w:r>
          </w:p>
        </w:tc>
      </w:tr>
      <w:tr>
        <w:tc>
          <w:tcPr>
            <w:tcW w:type="dxa" w:w="2268"/>
          </w:tcPr>
          <w:p>
            <w:pPr>
              <w:jc w:val="center"/>
            </w:pPr>
            <w:r/>
            <w:r>
              <w:rPr>
                <w:rFonts w:ascii="Times New Roman" w:hAnsi="Times New Roman" w:eastAsia="宋体"/>
                <w:b w:val="0"/>
                <w:sz w:val="18"/>
              </w:rPr>
              <w:t>核心变量</w:t>
            </w:r>
          </w:p>
        </w:tc>
        <w:tc>
          <w:tcPr>
            <w:tcW w:type="dxa" w:w="2268"/>
          </w:tcPr>
          <w:p>
            <w:pPr>
              <w:jc w:val="center"/>
            </w:pPr>
            <w:r/>
            <w:r>
              <w:rPr>
                <w:rFonts w:ascii="Times New Roman" w:hAnsi="Times New Roman" w:eastAsia="宋体"/>
                <w:b w:val="0"/>
                <w:sz w:val="18"/>
              </w:rPr>
              <w:t>-0.0745***</w:t>
            </w:r>
          </w:p>
        </w:tc>
        <w:tc>
          <w:tcPr>
            <w:tcW w:type="dxa" w:w="2268"/>
          </w:tcPr>
          <w:p>
            <w:pPr>
              <w:jc w:val="center"/>
            </w:pPr>
            <w:r/>
            <w:r>
              <w:rPr>
                <w:rFonts w:ascii="Times New Roman" w:hAnsi="Times New Roman" w:eastAsia="宋体"/>
                <w:b w:val="0"/>
                <w:sz w:val="18"/>
              </w:rPr>
              <w:t>-0.0634**</w:t>
            </w:r>
          </w:p>
        </w:tc>
        <w:tc>
          <w:tcPr>
            <w:tcW w:type="dxa" w:w="2268"/>
          </w:tcPr>
          <w:p>
            <w:pPr>
              <w:jc w:val="center"/>
            </w:pPr>
            <w:r/>
            <w:r>
              <w:rPr>
                <w:rFonts w:ascii="Times New Roman" w:hAnsi="Times New Roman" w:eastAsia="宋体"/>
                <w:b w:val="0"/>
                <w:sz w:val="18"/>
              </w:rPr>
              <w:t>-0.0512*</w:t>
            </w:r>
          </w:p>
        </w:tc>
      </w:tr>
      <w:tr>
        <w:tc>
          <w:tcPr>
            <w:tcW w:type="dxa" w:w="2268"/>
          </w:tcPr>
          <w:p>
            <w:pPr>
              <w:jc w:val="center"/>
            </w:pPr>
            <w:r/>
            <w:r>
              <w:rPr>
                <w:rFonts w:ascii="Times New Roman" w:hAnsi="Times New Roman" w:eastAsia="宋体"/>
                <w:b w:val="0"/>
                <w:sz w:val="18"/>
              </w:rPr>
            </w:r>
          </w:p>
        </w:tc>
        <w:tc>
          <w:tcPr>
            <w:tcW w:type="dxa" w:w="2268"/>
          </w:tcPr>
          <w:p>
            <w:pPr>
              <w:jc w:val="center"/>
            </w:pPr>
            <w:r/>
            <w:r>
              <w:rPr>
                <w:rFonts w:ascii="Times New Roman" w:hAnsi="Times New Roman" w:eastAsia="宋体"/>
                <w:b w:val="0"/>
                <w:sz w:val="18"/>
              </w:rPr>
              <w:t>(0.0189)</w:t>
            </w:r>
          </w:p>
        </w:tc>
        <w:tc>
          <w:tcPr>
            <w:tcW w:type="dxa" w:w="2268"/>
          </w:tcPr>
          <w:p>
            <w:pPr>
              <w:jc w:val="center"/>
            </w:pPr>
            <w:r/>
            <w:r>
              <w:rPr>
                <w:rFonts w:ascii="Times New Roman" w:hAnsi="Times New Roman" w:eastAsia="宋体"/>
                <w:b w:val="0"/>
                <w:sz w:val="18"/>
              </w:rPr>
              <w:t>(0.0198)</w:t>
            </w:r>
          </w:p>
        </w:tc>
        <w:tc>
          <w:tcPr>
            <w:tcW w:type="dxa" w:w="2268"/>
          </w:tcPr>
          <w:p>
            <w:pPr>
              <w:jc w:val="center"/>
            </w:pPr>
            <w:r/>
            <w:r>
              <w:rPr>
                <w:rFonts w:ascii="Times New Roman" w:hAnsi="Times New Roman" w:eastAsia="宋体"/>
                <w:b w:val="0"/>
                <w:sz w:val="18"/>
              </w:rPr>
              <w:t>(0.0215)</w:t>
            </w:r>
          </w:p>
        </w:tc>
      </w:tr>
      <w:tr>
        <w:tc>
          <w:tcPr>
            <w:tcW w:type="dxa" w:w="2268"/>
          </w:tcPr>
          <w:p>
            <w:pPr>
              <w:jc w:val="center"/>
            </w:pPr>
            <w:r/>
            <w:r>
              <w:rPr>
                <w:rFonts w:ascii="Times New Roman" w:hAnsi="Times New Roman" w:eastAsia="宋体"/>
                <w:b w:val="0"/>
                <w:sz w:val="18"/>
              </w:rPr>
              <w:t>第二产业占比</w:t>
            </w:r>
          </w:p>
        </w:tc>
        <w:tc>
          <w:tcPr>
            <w:tcW w:type="dxa" w:w="2268"/>
          </w:tcPr>
          <w:p>
            <w:pPr>
              <w:jc w:val="center"/>
            </w:pPr>
            <w:r/>
            <w:r>
              <w:rPr>
                <w:rFonts w:ascii="Times New Roman" w:hAnsi="Times New Roman" w:eastAsia="宋体"/>
                <w:b w:val="0"/>
                <w:sz w:val="18"/>
              </w:rPr>
              <w:t>0.1876*</w:t>
            </w:r>
          </w:p>
        </w:tc>
        <w:tc>
          <w:tcPr>
            <w:tcW w:type="dxa" w:w="2268"/>
          </w:tcPr>
          <w:p>
            <w:pPr>
              <w:jc w:val="center"/>
            </w:pPr>
            <w:r/>
            <w:r>
              <w:rPr>
                <w:rFonts w:ascii="Times New Roman" w:hAnsi="Times New Roman" w:eastAsia="宋体"/>
                <w:b w:val="0"/>
                <w:sz w:val="18"/>
              </w:rPr>
              <w:t>0.1902*</w:t>
            </w:r>
          </w:p>
        </w:tc>
        <w:tc>
          <w:tcPr>
            <w:tcW w:type="dxa" w:w="2268"/>
          </w:tcPr>
          <w:p>
            <w:pPr>
              <w:jc w:val="center"/>
            </w:pPr>
            <w:r/>
            <w:r>
              <w:rPr>
                <w:rFonts w:ascii="Times New Roman" w:hAnsi="Times New Roman" w:eastAsia="宋体"/>
                <w:b w:val="0"/>
                <w:sz w:val="18"/>
              </w:rPr>
              <w:t>0.1854*</w:t>
            </w:r>
          </w:p>
        </w:tc>
      </w:tr>
      <w:tr>
        <w:tc>
          <w:tcPr>
            <w:tcW w:type="dxa" w:w="2268"/>
          </w:tcPr>
          <w:p>
            <w:pPr>
              <w:jc w:val="center"/>
            </w:pPr>
            <w:r/>
            <w:r>
              <w:rPr>
                <w:rFonts w:ascii="Times New Roman" w:hAnsi="Times New Roman" w:eastAsia="宋体"/>
                <w:b w:val="0"/>
                <w:sz w:val="18"/>
              </w:rPr>
              <w:t>ln人均GDP</w:t>
            </w:r>
          </w:p>
        </w:tc>
        <w:tc>
          <w:tcPr>
            <w:tcW w:type="dxa" w:w="2268"/>
          </w:tcPr>
          <w:p>
            <w:pPr>
              <w:jc w:val="center"/>
            </w:pPr>
            <w:r/>
            <w:r>
              <w:rPr>
                <w:rFonts w:ascii="Times New Roman" w:hAnsi="Times New Roman" w:eastAsia="宋体"/>
                <w:b w:val="0"/>
                <w:sz w:val="18"/>
              </w:rPr>
              <w:t>-0.0521**</w:t>
            </w:r>
          </w:p>
        </w:tc>
        <w:tc>
          <w:tcPr>
            <w:tcW w:type="dxa" w:w="2268"/>
          </w:tcPr>
          <w:p>
            <w:pPr>
              <w:jc w:val="center"/>
            </w:pPr>
            <w:r/>
            <w:r>
              <w:rPr>
                <w:rFonts w:ascii="Times New Roman" w:hAnsi="Times New Roman" w:eastAsia="宋体"/>
                <w:b w:val="0"/>
                <w:sz w:val="18"/>
              </w:rPr>
              <w:t>-0.0528**</w:t>
            </w:r>
          </w:p>
        </w:tc>
        <w:tc>
          <w:tcPr>
            <w:tcW w:type="dxa" w:w="2268"/>
          </w:tcPr>
          <w:p>
            <w:pPr>
              <w:jc w:val="center"/>
            </w:pPr>
            <w:r/>
            <w:r>
              <w:rPr>
                <w:rFonts w:ascii="Times New Roman" w:hAnsi="Times New Roman" w:eastAsia="宋体"/>
                <w:b w:val="0"/>
                <w:sz w:val="18"/>
              </w:rPr>
              <w:t>-0.0519**</w:t>
            </w:r>
          </w:p>
        </w:tc>
      </w:tr>
      <w:tr>
        <w:tc>
          <w:tcPr>
            <w:tcW w:type="dxa" w:w="2268"/>
          </w:tcPr>
          <w:p>
            <w:pPr>
              <w:jc w:val="center"/>
            </w:pPr>
            <w:r/>
            <w:r>
              <w:rPr>
                <w:rFonts w:ascii="Times New Roman" w:hAnsi="Times New Roman" w:eastAsia="宋体"/>
                <w:b w:val="0"/>
                <w:sz w:val="18"/>
              </w:rPr>
              <w:t>R²</w:t>
            </w:r>
          </w:p>
        </w:tc>
        <w:tc>
          <w:tcPr>
            <w:tcW w:type="dxa" w:w="2268"/>
          </w:tcPr>
          <w:p>
            <w:pPr>
              <w:jc w:val="center"/>
            </w:pPr>
            <w:r/>
            <w:r>
              <w:rPr>
                <w:rFonts w:ascii="Times New Roman" w:hAnsi="Times New Roman" w:eastAsia="宋体"/>
                <w:b w:val="0"/>
                <w:sz w:val="18"/>
              </w:rPr>
              <w:t>0.521</w:t>
            </w:r>
          </w:p>
        </w:tc>
        <w:tc>
          <w:tcPr>
            <w:tcW w:type="dxa" w:w="2268"/>
          </w:tcPr>
          <w:p>
            <w:pPr>
              <w:jc w:val="center"/>
            </w:pPr>
            <w:r/>
            <w:r>
              <w:rPr>
                <w:rFonts w:ascii="Times New Roman" w:hAnsi="Times New Roman" w:eastAsia="宋体"/>
                <w:b w:val="0"/>
                <w:sz w:val="18"/>
              </w:rPr>
              <w:t>0.512</w:t>
            </w:r>
          </w:p>
        </w:tc>
        <w:tc>
          <w:tcPr>
            <w:tcW w:type="dxa" w:w="2268"/>
          </w:tcPr>
          <w:p>
            <w:pPr>
              <w:jc w:val="center"/>
            </w:pPr>
            <w:r/>
            <w:r>
              <w:rPr>
                <w:rFonts w:ascii="Times New Roman" w:hAnsi="Times New Roman" w:eastAsia="宋体"/>
                <w:b w:val="0"/>
                <w:sz w:val="18"/>
              </w:rPr>
              <w:t>0.498</w:t>
            </w:r>
          </w:p>
        </w:tc>
      </w:tr>
      <w:tr>
        <w:tc>
          <w:tcPr>
            <w:tcW w:type="dxa" w:w="2268"/>
          </w:tcPr>
          <w:p>
            <w:pPr>
              <w:jc w:val="center"/>
            </w:pPr>
            <w:r/>
            <w:r>
              <w:rPr>
                <w:rFonts w:ascii="Times New Roman" w:hAnsi="Times New Roman" w:eastAsia="宋体"/>
                <w:b w:val="0"/>
                <w:sz w:val="18"/>
              </w:rPr>
              <w:t>观测数</w:t>
            </w:r>
          </w:p>
        </w:tc>
        <w:tc>
          <w:tcPr>
            <w:tcW w:type="dxa" w:w="2268"/>
          </w:tcPr>
          <w:p>
            <w:pPr>
              <w:jc w:val="center"/>
            </w:pPr>
            <w:r/>
            <w:r>
              <w:rPr>
                <w:rFonts w:ascii="Times New Roman" w:hAnsi="Times New Roman" w:eastAsia="宋体"/>
                <w:b w:val="0"/>
                <w:sz w:val="18"/>
              </w:rPr>
              <w:t>341</w:t>
            </w:r>
          </w:p>
        </w:tc>
        <w:tc>
          <w:tcPr>
            <w:tcW w:type="dxa" w:w="2268"/>
          </w:tcPr>
          <w:p>
            <w:pPr>
              <w:jc w:val="center"/>
            </w:pPr>
            <w:r/>
            <w:r>
              <w:rPr>
                <w:rFonts w:ascii="Times New Roman" w:hAnsi="Times New Roman" w:eastAsia="宋体"/>
                <w:b w:val="0"/>
                <w:sz w:val="18"/>
              </w:rPr>
              <w:t>341</w:t>
            </w:r>
          </w:p>
        </w:tc>
        <w:tc>
          <w:tcPr>
            <w:tcW w:type="dxa" w:w="2268"/>
          </w:tcPr>
          <w:p>
            <w:pPr>
              <w:jc w:val="center"/>
            </w:pPr>
            <w:r/>
            <w:r>
              <w:rPr>
                <w:rFonts w:ascii="Times New Roman" w:hAnsi="Times New Roman" w:eastAsia="宋体"/>
                <w:b w:val="0"/>
                <w:sz w:val="18"/>
              </w:rPr>
              <w:t>341</w:t>
            </w:r>
          </w:p>
        </w:tc>
      </w:tr>
    </w:tbl>
    <w:p/>
    <w:p>
      <w:pPr>
        <w:spacing w:line="400" w:lineRule="exact"/>
        <w:ind w:firstLine="420"/>
      </w:pPr>
      <w:r>
        <w:rPr>
          <w:rFonts w:ascii="Times New Roman" w:hAnsi="Times New Roman" w:eastAsia="宋体"/>
          <w:b w:val="0"/>
          <w:sz w:val="21"/>
        </w:rPr>
        <w:t>三个模型的核心变量系数均显著为负，符号和显著性一致，说明结论对绿色专利具体类型的选择具有稳健性。绿色发明专利的减排效应（-0.0634）强于绿色实用新型（-0.0512），说明技术难度更高的发明专利对减排贡献更大。</w:t>
      </w:r>
    </w:p>
    <w:p>
      <w:pPr>
        <w:spacing w:before="240" w:after="120"/>
      </w:pPr>
      <w:r>
        <w:rPr>
          <w:rFonts w:ascii="Times New Roman" w:hAnsi="Times New Roman" w:eastAsia="宋体"/>
          <w:b/>
          <w:sz w:val="21"/>
        </w:rPr>
        <w:t>4.5  区域异质性分析</w:t>
      </w:r>
    </w:p>
    <w:p>
      <w:pPr>
        <w:jc w:val="center"/>
      </w:pPr>
      <w:r>
        <w:rPr>
          <w:rFonts w:ascii="Times New Roman" w:hAnsi="Times New Roman" w:eastAsia="宋体"/>
          <w:b/>
          <w:sz w:val="21"/>
        </w:rPr>
        <w:t>表4.5  分区域固定效应模型回归结果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宋体"/>
                <w:b/>
                <w:sz w:val="18"/>
              </w:rPr>
              <w:t>变量</w:t>
            </w:r>
          </w:p>
        </w:tc>
        <w:tc>
          <w:tcPr>
            <w:tcW w:type="dxa" w:w="2268"/>
          </w:tcPr>
          <w:p>
            <w:pPr>
              <w:jc w:val="center"/>
            </w:pPr>
            <w:r/>
            <w:r>
              <w:rPr>
                <w:rFonts w:ascii="Times New Roman" w:hAnsi="Times New Roman" w:eastAsia="宋体"/>
                <w:b/>
                <w:sz w:val="18"/>
              </w:rPr>
              <w:t>东部地区</w:t>
            </w:r>
          </w:p>
        </w:tc>
        <w:tc>
          <w:tcPr>
            <w:tcW w:type="dxa" w:w="2268"/>
          </w:tcPr>
          <w:p>
            <w:pPr>
              <w:jc w:val="center"/>
            </w:pPr>
            <w:r/>
            <w:r>
              <w:rPr>
                <w:rFonts w:ascii="Times New Roman" w:hAnsi="Times New Roman" w:eastAsia="宋体"/>
                <w:b/>
                <w:sz w:val="18"/>
              </w:rPr>
              <w:t>中部地区</w:t>
            </w:r>
          </w:p>
        </w:tc>
        <w:tc>
          <w:tcPr>
            <w:tcW w:type="dxa" w:w="2268"/>
          </w:tcPr>
          <w:p>
            <w:pPr>
              <w:jc w:val="center"/>
            </w:pPr>
            <w:r/>
            <w:r>
              <w:rPr>
                <w:rFonts w:ascii="Times New Roman" w:hAnsi="Times New Roman" w:eastAsia="宋体"/>
                <w:b/>
                <w:sz w:val="18"/>
              </w:rPr>
              <w:t>西部地区</w:t>
            </w:r>
          </w:p>
        </w:tc>
      </w:tr>
      <w:tr>
        <w:tc>
          <w:tcPr>
            <w:tcW w:type="dxa" w:w="2268"/>
          </w:tcPr>
          <w:p>
            <w:pPr>
              <w:jc w:val="center"/>
            </w:pPr>
            <w:r/>
            <w:r>
              <w:rPr>
                <w:rFonts w:ascii="Times New Roman" w:hAnsi="Times New Roman" w:eastAsia="宋体"/>
                <w:b w:val="0"/>
                <w:sz w:val="18"/>
              </w:rPr>
              <w:t>ln绿色专利总数</w:t>
            </w:r>
          </w:p>
        </w:tc>
        <w:tc>
          <w:tcPr>
            <w:tcW w:type="dxa" w:w="2268"/>
          </w:tcPr>
          <w:p>
            <w:pPr>
              <w:jc w:val="center"/>
            </w:pPr>
            <w:r/>
            <w:r>
              <w:rPr>
                <w:rFonts w:ascii="Times New Roman" w:hAnsi="Times New Roman" w:eastAsia="宋体"/>
                <w:b w:val="0"/>
                <w:sz w:val="18"/>
              </w:rPr>
              <w:t>-0.1123***</w:t>
            </w:r>
          </w:p>
        </w:tc>
        <w:tc>
          <w:tcPr>
            <w:tcW w:type="dxa" w:w="2268"/>
          </w:tcPr>
          <w:p>
            <w:pPr>
              <w:jc w:val="center"/>
            </w:pPr>
            <w:r/>
            <w:r>
              <w:rPr>
                <w:rFonts w:ascii="Times New Roman" w:hAnsi="Times New Roman" w:eastAsia="宋体"/>
                <w:b w:val="0"/>
                <w:sz w:val="18"/>
              </w:rPr>
              <w:t>-0.0612*</w:t>
            </w:r>
          </w:p>
        </w:tc>
        <w:tc>
          <w:tcPr>
            <w:tcW w:type="dxa" w:w="2268"/>
          </w:tcPr>
          <w:p>
            <w:pPr>
              <w:jc w:val="center"/>
            </w:pPr>
            <w:r/>
            <w:r>
              <w:rPr>
                <w:rFonts w:ascii="Times New Roman" w:hAnsi="Times New Roman" w:eastAsia="宋体"/>
                <w:b w:val="0"/>
                <w:sz w:val="18"/>
              </w:rPr>
              <w:t>-0.0289</w:t>
            </w:r>
          </w:p>
        </w:tc>
      </w:tr>
      <w:tr>
        <w:tc>
          <w:tcPr>
            <w:tcW w:type="dxa" w:w="2268"/>
          </w:tcPr>
          <w:p>
            <w:pPr>
              <w:jc w:val="center"/>
            </w:pPr>
            <w:r/>
            <w:r>
              <w:rPr>
                <w:rFonts w:ascii="Times New Roman" w:hAnsi="Times New Roman" w:eastAsia="宋体"/>
                <w:b w:val="0"/>
                <w:sz w:val="18"/>
              </w:rPr>
            </w:r>
          </w:p>
        </w:tc>
        <w:tc>
          <w:tcPr>
            <w:tcW w:type="dxa" w:w="2268"/>
          </w:tcPr>
          <w:p>
            <w:pPr>
              <w:jc w:val="center"/>
            </w:pPr>
            <w:r/>
            <w:r>
              <w:rPr>
                <w:rFonts w:ascii="Times New Roman" w:hAnsi="Times New Roman" w:eastAsia="宋体"/>
                <w:b w:val="0"/>
                <w:sz w:val="18"/>
              </w:rPr>
              <w:t>(0.0245)</w:t>
            </w:r>
          </w:p>
        </w:tc>
        <w:tc>
          <w:tcPr>
            <w:tcW w:type="dxa" w:w="2268"/>
          </w:tcPr>
          <w:p>
            <w:pPr>
              <w:jc w:val="center"/>
            </w:pPr>
            <w:r/>
            <w:r>
              <w:rPr>
                <w:rFonts w:ascii="Times New Roman" w:hAnsi="Times New Roman" w:eastAsia="宋体"/>
                <w:b w:val="0"/>
                <w:sz w:val="18"/>
              </w:rPr>
              <w:t>(0.0298)</w:t>
            </w:r>
          </w:p>
        </w:tc>
        <w:tc>
          <w:tcPr>
            <w:tcW w:type="dxa" w:w="2268"/>
          </w:tcPr>
          <w:p>
            <w:pPr>
              <w:jc w:val="center"/>
            </w:pPr>
            <w:r/>
            <w:r>
              <w:rPr>
                <w:rFonts w:ascii="Times New Roman" w:hAnsi="Times New Roman" w:eastAsia="宋体"/>
                <w:b w:val="0"/>
                <w:sz w:val="18"/>
              </w:rPr>
              <w:t>(0.0312)</w:t>
            </w:r>
          </w:p>
        </w:tc>
      </w:tr>
      <w:tr>
        <w:tc>
          <w:tcPr>
            <w:tcW w:type="dxa" w:w="2268"/>
          </w:tcPr>
          <w:p>
            <w:pPr>
              <w:jc w:val="center"/>
            </w:pPr>
            <w:r/>
            <w:r>
              <w:rPr>
                <w:rFonts w:ascii="Times New Roman" w:hAnsi="Times New Roman" w:eastAsia="宋体"/>
                <w:b w:val="0"/>
                <w:sz w:val="18"/>
              </w:rPr>
              <w:t>第二产业占比</w:t>
            </w:r>
          </w:p>
        </w:tc>
        <w:tc>
          <w:tcPr>
            <w:tcW w:type="dxa" w:w="2268"/>
          </w:tcPr>
          <w:p>
            <w:pPr>
              <w:jc w:val="center"/>
            </w:pPr>
            <w:r/>
            <w:r>
              <w:rPr>
                <w:rFonts w:ascii="Times New Roman" w:hAnsi="Times New Roman" w:eastAsia="宋体"/>
                <w:b w:val="0"/>
                <w:sz w:val="18"/>
              </w:rPr>
              <w:t>0.1456</w:t>
            </w:r>
          </w:p>
        </w:tc>
        <w:tc>
          <w:tcPr>
            <w:tcW w:type="dxa" w:w="2268"/>
          </w:tcPr>
          <w:p>
            <w:pPr>
              <w:jc w:val="center"/>
            </w:pPr>
            <w:r/>
            <w:r>
              <w:rPr>
                <w:rFonts w:ascii="Times New Roman" w:hAnsi="Times New Roman" w:eastAsia="宋体"/>
                <w:b w:val="0"/>
                <w:sz w:val="18"/>
              </w:rPr>
              <w:t>0.2134**</w:t>
            </w:r>
          </w:p>
        </w:tc>
        <w:tc>
          <w:tcPr>
            <w:tcW w:type="dxa" w:w="2268"/>
          </w:tcPr>
          <w:p>
            <w:pPr>
              <w:jc w:val="center"/>
            </w:pPr>
            <w:r/>
            <w:r>
              <w:rPr>
                <w:rFonts w:ascii="Times New Roman" w:hAnsi="Times New Roman" w:eastAsia="宋体"/>
                <w:b w:val="0"/>
                <w:sz w:val="18"/>
              </w:rPr>
              <w:t>0.2856**</w:t>
            </w:r>
          </w:p>
        </w:tc>
      </w:tr>
      <w:tr>
        <w:tc>
          <w:tcPr>
            <w:tcW w:type="dxa" w:w="2268"/>
          </w:tcPr>
          <w:p>
            <w:pPr>
              <w:jc w:val="center"/>
            </w:pPr>
            <w:r/>
            <w:r>
              <w:rPr>
                <w:rFonts w:ascii="Times New Roman" w:hAnsi="Times New Roman" w:eastAsia="宋体"/>
                <w:b w:val="0"/>
                <w:sz w:val="18"/>
              </w:rPr>
              <w:t>ln人均GDP</w:t>
            </w:r>
          </w:p>
        </w:tc>
        <w:tc>
          <w:tcPr>
            <w:tcW w:type="dxa" w:w="2268"/>
          </w:tcPr>
          <w:p>
            <w:pPr>
              <w:jc w:val="center"/>
            </w:pPr>
            <w:r/>
            <w:r>
              <w:rPr>
                <w:rFonts w:ascii="Times New Roman" w:hAnsi="Times New Roman" w:eastAsia="宋体"/>
                <w:b w:val="0"/>
                <w:sz w:val="18"/>
              </w:rPr>
              <w:t>-0.0876**</w:t>
            </w:r>
          </w:p>
        </w:tc>
        <w:tc>
          <w:tcPr>
            <w:tcW w:type="dxa" w:w="2268"/>
          </w:tcPr>
          <w:p>
            <w:pPr>
              <w:jc w:val="center"/>
            </w:pPr>
            <w:r/>
            <w:r>
              <w:rPr>
                <w:rFonts w:ascii="Times New Roman" w:hAnsi="Times New Roman" w:eastAsia="宋体"/>
                <w:b w:val="0"/>
                <w:sz w:val="18"/>
              </w:rPr>
              <w:t>-0.0434</w:t>
            </w:r>
          </w:p>
        </w:tc>
        <w:tc>
          <w:tcPr>
            <w:tcW w:type="dxa" w:w="2268"/>
          </w:tcPr>
          <w:p>
            <w:pPr>
              <w:jc w:val="center"/>
            </w:pPr>
            <w:r/>
            <w:r>
              <w:rPr>
                <w:rFonts w:ascii="Times New Roman" w:hAnsi="Times New Roman" w:eastAsia="宋体"/>
                <w:b w:val="0"/>
                <w:sz w:val="18"/>
              </w:rPr>
              <w:t>-0.0287</w:t>
            </w:r>
          </w:p>
        </w:tc>
      </w:tr>
      <w:tr>
        <w:tc>
          <w:tcPr>
            <w:tcW w:type="dxa" w:w="2268"/>
          </w:tcPr>
          <w:p>
            <w:pPr>
              <w:jc w:val="center"/>
            </w:pPr>
            <w:r/>
            <w:r>
              <w:rPr>
                <w:rFonts w:ascii="Times New Roman" w:hAnsi="Times New Roman" w:eastAsia="宋体"/>
                <w:b w:val="0"/>
                <w:sz w:val="18"/>
              </w:rPr>
              <w:t>R²</w:t>
            </w:r>
          </w:p>
        </w:tc>
        <w:tc>
          <w:tcPr>
            <w:tcW w:type="dxa" w:w="2268"/>
          </w:tcPr>
          <w:p>
            <w:pPr>
              <w:jc w:val="center"/>
            </w:pPr>
            <w:r/>
            <w:r>
              <w:rPr>
                <w:rFonts w:ascii="Times New Roman" w:hAnsi="Times New Roman" w:eastAsia="宋体"/>
                <w:b w:val="0"/>
                <w:sz w:val="18"/>
              </w:rPr>
              <w:t>0.612</w:t>
            </w:r>
          </w:p>
        </w:tc>
        <w:tc>
          <w:tcPr>
            <w:tcW w:type="dxa" w:w="2268"/>
          </w:tcPr>
          <w:p>
            <w:pPr>
              <w:jc w:val="center"/>
            </w:pPr>
            <w:r/>
            <w:r>
              <w:rPr>
                <w:rFonts w:ascii="Times New Roman" w:hAnsi="Times New Roman" w:eastAsia="宋体"/>
                <w:b w:val="0"/>
                <w:sz w:val="18"/>
              </w:rPr>
              <w:t>0.489</w:t>
            </w:r>
          </w:p>
        </w:tc>
        <w:tc>
          <w:tcPr>
            <w:tcW w:type="dxa" w:w="2268"/>
          </w:tcPr>
          <w:p>
            <w:pPr>
              <w:jc w:val="center"/>
            </w:pPr>
            <w:r/>
            <w:r>
              <w:rPr>
                <w:rFonts w:ascii="Times New Roman" w:hAnsi="Times New Roman" w:eastAsia="宋体"/>
                <w:b w:val="0"/>
                <w:sz w:val="18"/>
              </w:rPr>
              <w:t>0.421</w:t>
            </w:r>
          </w:p>
        </w:tc>
      </w:tr>
      <w:tr>
        <w:tc>
          <w:tcPr>
            <w:tcW w:type="dxa" w:w="2268"/>
          </w:tcPr>
          <w:p>
            <w:pPr>
              <w:jc w:val="center"/>
            </w:pPr>
            <w:r/>
            <w:r>
              <w:rPr>
                <w:rFonts w:ascii="Times New Roman" w:hAnsi="Times New Roman" w:eastAsia="宋体"/>
                <w:b w:val="0"/>
                <w:sz w:val="18"/>
              </w:rPr>
              <w:t>观测数</w:t>
            </w:r>
          </w:p>
        </w:tc>
        <w:tc>
          <w:tcPr>
            <w:tcW w:type="dxa" w:w="2268"/>
          </w:tcPr>
          <w:p>
            <w:pPr>
              <w:jc w:val="center"/>
            </w:pPr>
            <w:r/>
            <w:r>
              <w:rPr>
                <w:rFonts w:ascii="Times New Roman" w:hAnsi="Times New Roman" w:eastAsia="宋体"/>
                <w:b w:val="0"/>
                <w:sz w:val="18"/>
              </w:rPr>
              <w:t>110</w:t>
            </w:r>
          </w:p>
        </w:tc>
        <w:tc>
          <w:tcPr>
            <w:tcW w:type="dxa" w:w="2268"/>
          </w:tcPr>
          <w:p>
            <w:pPr>
              <w:jc w:val="center"/>
            </w:pPr>
            <w:r/>
            <w:r>
              <w:rPr>
                <w:rFonts w:ascii="Times New Roman" w:hAnsi="Times New Roman" w:eastAsia="宋体"/>
                <w:b w:val="0"/>
                <w:sz w:val="18"/>
              </w:rPr>
              <w:t>88</w:t>
            </w:r>
          </w:p>
        </w:tc>
        <w:tc>
          <w:tcPr>
            <w:tcW w:type="dxa" w:w="2268"/>
          </w:tcPr>
          <w:p>
            <w:pPr>
              <w:jc w:val="center"/>
            </w:pPr>
            <w:r/>
            <w:r>
              <w:rPr>
                <w:rFonts w:ascii="Times New Roman" w:hAnsi="Times New Roman" w:eastAsia="宋体"/>
                <w:b w:val="0"/>
                <w:sz w:val="18"/>
              </w:rPr>
              <w:t>143</w:t>
            </w:r>
          </w:p>
        </w:tc>
      </w:tr>
    </w:tbl>
    <w:p/>
    <w:p>
      <w:pPr>
        <w:spacing w:line="400" w:lineRule="exact"/>
        <w:ind w:firstLine="420"/>
      </w:pPr>
      <w:r>
        <w:rPr>
          <w:rFonts w:ascii="Times New Roman" w:hAnsi="Times New Roman" w:eastAsia="宋体"/>
          <w:b w:val="0"/>
          <w:sz w:val="21"/>
        </w:rPr>
        <w:t>东部地区绿色专利系数（-0.1123）最大，且在1%水平上显著，体现了东部经济实力强、环保政策执行力度大、技术转化率高的优势。中部地区系数（-0.0612）在10%水平显著，显示出一定减排效应但较弱。西部地区系数（-0.0289）不显著，反映西部欠发达地区绿色专利数量少、技术转化能力有限，验证了假设3。</w:t>
      </w:r>
    </w:p>
    <w:p>
      <w:pPr>
        <w:spacing w:before="240" w:after="120"/>
      </w:pPr>
      <w:r>
        <w:rPr>
          <w:rFonts w:ascii="Times New Roman" w:hAnsi="Times New Roman" w:eastAsia="宋体"/>
          <w:b/>
          <w:sz w:val="21"/>
        </w:rPr>
        <w:t>4.6  政策模拟与敏感性分析</w:t>
      </w:r>
    </w:p>
    <w:p>
      <w:pPr>
        <w:spacing w:line="400" w:lineRule="exact"/>
        <w:ind w:firstLine="420"/>
      </w:pPr>
      <w:r>
        <w:rPr>
          <w:rFonts w:ascii="Times New Roman" w:hAnsi="Times New Roman" w:eastAsia="宋体"/>
          <w:b w:val="0"/>
          <w:sz w:val="21"/>
        </w:rPr>
        <w:t>基于回归系数进行简单政策模拟：</w:t>
      </w:r>
    </w:p>
    <w:p>
      <w:pPr>
        <w:spacing w:line="400" w:lineRule="exact"/>
        <w:ind w:firstLine="420"/>
      </w:pPr>
      <w:r>
        <w:rPr>
          <w:rFonts w:ascii="Times New Roman" w:hAnsi="Times New Roman" w:eastAsia="宋体"/>
          <w:b w:val="0"/>
          <w:sz w:val="21"/>
        </w:rPr>
        <w:t>情景1——绿色专利增加10%：东部地区SO₂排放强度下降约1.12个百分点；中部地区下降约0.61个百分点；西部地区效果不明显。</w:t>
      </w:r>
    </w:p>
    <w:p>
      <w:pPr>
        <w:spacing w:line="400" w:lineRule="exact"/>
        <w:ind w:firstLine="420"/>
      </w:pPr>
      <w:r>
        <w:rPr>
          <w:rFonts w:ascii="Times New Roman" w:hAnsi="Times New Roman" w:eastAsia="宋体"/>
          <w:b w:val="0"/>
          <w:sz w:val="21"/>
        </w:rPr>
        <w:t>情景2——人均GDP增加5%：全国平均SO₂排放强度下降约0.26个百分点，体现了经济增长与环保改善之间的协调关系。</w:t>
      </w:r>
    </w:p>
    <w:p>
      <w:r>
        <w:br w:type="page"/>
      </w:r>
    </w:p>
    <w:p>
      <w:pPr>
        <w:spacing w:before="240" w:after="120"/>
      </w:pPr>
      <w:r>
        <w:rPr>
          <w:rFonts w:ascii="Times New Roman" w:hAnsi="Times New Roman" w:eastAsia="宋体"/>
          <w:b/>
          <w:sz w:val="24"/>
        </w:rPr>
        <w:t>第五章  结论与建议</w:t>
      </w:r>
    </w:p>
    <w:p>
      <w:pPr>
        <w:spacing w:before="240" w:after="120"/>
      </w:pPr>
      <w:r>
        <w:rPr>
          <w:rFonts w:ascii="Times New Roman" w:hAnsi="Times New Roman" w:eastAsia="宋体"/>
          <w:b/>
          <w:sz w:val="21"/>
        </w:rPr>
        <w:t>5.1  主要研究结论</w:t>
      </w:r>
    </w:p>
    <w:p>
      <w:pPr>
        <w:spacing w:line="400" w:lineRule="exact"/>
        <w:ind w:firstLine="420"/>
      </w:pPr>
      <w:r>
        <w:rPr>
          <w:rFonts w:ascii="Times New Roman" w:hAnsi="Times New Roman" w:eastAsia="宋体"/>
          <w:b w:val="0"/>
          <w:sz w:val="21"/>
        </w:rPr>
        <w:t>（1）绿色技术创新显著降低了工业SO₂排放强度。</w:t>
      </w:r>
    </w:p>
    <w:p>
      <w:pPr>
        <w:spacing w:line="400" w:lineRule="exact"/>
        <w:ind w:firstLine="420"/>
      </w:pPr>
      <w:r>
        <w:rPr>
          <w:rFonts w:ascii="Times New Roman" w:hAnsi="Times New Roman" w:eastAsia="宋体"/>
          <w:b w:val="0"/>
          <w:sz w:val="21"/>
        </w:rPr>
        <w:t>绿色专利总数每增加1%，SO₂排放强度平均下降0.0745个百分点（控制其他变量后）。该效果经IV-2SLS内生性处理和替换变量稳健性检验验证，具有明确的因果推断意义。</w:t>
      </w:r>
    </w:p>
    <w:p>
      <w:pPr>
        <w:spacing w:line="400" w:lineRule="exact"/>
        <w:ind w:firstLine="420"/>
      </w:pPr>
      <w:r>
        <w:rPr>
          <w:rFonts w:ascii="Times New Roman" w:hAnsi="Times New Roman" w:eastAsia="宋体"/>
          <w:b w:val="0"/>
          <w:sz w:val="21"/>
        </w:rPr>
        <w:t>（2）中国工业污染排放与经济发展呈倒U型EKC关系。</w:t>
      </w:r>
    </w:p>
    <w:p>
      <w:pPr>
        <w:spacing w:line="400" w:lineRule="exact"/>
        <w:ind w:firstLine="420"/>
      </w:pPr>
      <w:r>
        <w:rPr>
          <w:rFonts w:ascii="Times New Roman" w:hAnsi="Times New Roman" w:eastAsia="宋体"/>
          <w:b w:val="0"/>
          <w:sz w:val="21"/>
        </w:rPr>
        <w:t>人均GDP的平方项系数显著为负，表明中国已进入EKC曲线的下降段，环保效果开始逐步显现。</w:t>
      </w:r>
    </w:p>
    <w:p>
      <w:pPr>
        <w:spacing w:line="400" w:lineRule="exact"/>
        <w:ind w:firstLine="420"/>
      </w:pPr>
      <w:r>
        <w:rPr>
          <w:rFonts w:ascii="Times New Roman" w:hAnsi="Times New Roman" w:eastAsia="宋体"/>
          <w:b w:val="0"/>
          <w:sz w:val="21"/>
        </w:rPr>
        <w:t>（3）绿色技术创新对不同地区SO₂排放的影响存在显著异质性。</w:t>
      </w:r>
    </w:p>
    <w:p>
      <w:pPr>
        <w:spacing w:line="400" w:lineRule="exact"/>
        <w:ind w:firstLine="420"/>
      </w:pPr>
      <w:r>
        <w:rPr>
          <w:rFonts w:ascii="Times New Roman" w:hAnsi="Times New Roman" w:eastAsia="宋体"/>
          <w:b w:val="0"/>
          <w:sz w:val="21"/>
        </w:rPr>
        <w:t>东部地区减排效应最强（系数-0.1123，1%显著），中部次之（-0.0612，10%显著），西部最弱且不显著（-0.0289），反映了东中西部技术能力与环保投入的现实差距。</w:t>
      </w:r>
    </w:p>
    <w:p>
      <w:pPr>
        <w:spacing w:line="400" w:lineRule="exact"/>
        <w:ind w:firstLine="420"/>
      </w:pPr>
      <w:r>
        <w:rPr>
          <w:rFonts w:ascii="Times New Roman" w:hAnsi="Times New Roman" w:eastAsia="宋体"/>
          <w:b w:val="0"/>
          <w:sz w:val="21"/>
        </w:rPr>
        <w:t>（4）产业结构是重要的污染排放控制因素。</w:t>
      </w:r>
    </w:p>
    <w:p>
      <w:pPr>
        <w:spacing w:line="400" w:lineRule="exact"/>
        <w:ind w:firstLine="420"/>
      </w:pPr>
      <w:r>
        <w:rPr>
          <w:rFonts w:ascii="Times New Roman" w:hAnsi="Times New Roman" w:eastAsia="宋体"/>
          <w:b w:val="0"/>
          <w:sz w:val="21"/>
        </w:rPr>
        <w:t>第二产业占比与SO₂排放强度正相关，说明产业结构升级对减排至关重要。</w:t>
      </w:r>
    </w:p>
    <w:p>
      <w:pPr>
        <w:spacing w:before="240" w:after="120"/>
      </w:pPr>
      <w:r>
        <w:rPr>
          <w:rFonts w:ascii="Times New Roman" w:hAnsi="Times New Roman" w:eastAsia="宋体"/>
          <w:b/>
          <w:sz w:val="21"/>
        </w:rPr>
        <w:t>5.2  政策建议</w:t>
      </w:r>
    </w:p>
    <w:p>
      <w:pPr>
        <w:spacing w:line="400" w:lineRule="exact"/>
        <w:ind w:firstLine="420"/>
      </w:pPr>
      <w:r>
        <w:rPr>
          <w:rFonts w:ascii="Times New Roman" w:hAnsi="Times New Roman" w:eastAsia="宋体"/>
          <w:b w:val="0"/>
          <w:sz w:val="21"/>
        </w:rPr>
        <w:t>【全国层面】</w:t>
      </w:r>
    </w:p>
    <w:p>
      <w:pPr>
        <w:spacing w:line="400" w:lineRule="exact"/>
        <w:ind w:firstLine="420"/>
      </w:pPr>
      <w:r>
        <w:rPr>
          <w:rFonts w:ascii="Times New Roman" w:hAnsi="Times New Roman" w:eastAsia="宋体"/>
          <w:b w:val="0"/>
          <w:sz w:val="21"/>
        </w:rPr>
        <w:t>（1）加大绿色技术R&amp;D投入，加快绿色专利成果转化。</w:t>
      </w:r>
    </w:p>
    <w:p>
      <w:pPr>
        <w:spacing w:line="400" w:lineRule="exact"/>
        <w:ind w:firstLine="420"/>
      </w:pPr>
      <w:r>
        <w:rPr>
          <w:rFonts w:ascii="Times New Roman" w:hAnsi="Times New Roman" w:eastAsia="宋体"/>
          <w:b w:val="0"/>
          <w:sz w:val="21"/>
        </w:rPr>
        <w:t>政府应增加绿色专利研发补助，鼓励企业和研发机构开发新的污染治理技术；建立绿色专利转化基金，降低企业采纳绿色技术的成本；完善知识产权保护机制，提高企业的创新积极性。</w:t>
      </w:r>
    </w:p>
    <w:p>
      <w:pPr>
        <w:spacing w:line="400" w:lineRule="exact"/>
        <w:ind w:firstLine="420"/>
      </w:pPr>
      <w:r>
        <w:rPr>
          <w:rFonts w:ascii="Times New Roman" w:hAnsi="Times New Roman" w:eastAsia="宋体"/>
          <w:b w:val="0"/>
          <w:sz w:val="21"/>
        </w:rPr>
        <w:t>（2）加快产业结构升级，逐步淘汰高污染产业。</w:t>
      </w:r>
    </w:p>
    <w:p>
      <w:pPr>
        <w:spacing w:line="400" w:lineRule="exact"/>
        <w:ind w:firstLine="420"/>
      </w:pPr>
      <w:r>
        <w:rPr>
          <w:rFonts w:ascii="Times New Roman" w:hAnsi="Times New Roman" w:eastAsia="宋体"/>
          <w:b w:val="0"/>
          <w:sz w:val="21"/>
        </w:rPr>
        <w:t>在符合国情的前提下，逐步淘汰落后产能（钢铁、水泥等高污染行业），发展高技术产业和服务业，促进传统产业的绿色改造升级。</w:t>
      </w:r>
    </w:p>
    <w:p>
      <w:pPr>
        <w:spacing w:line="400" w:lineRule="exact"/>
        <w:ind w:firstLine="420"/>
      </w:pPr>
      <w:r>
        <w:rPr>
          <w:rFonts w:ascii="Times New Roman" w:hAnsi="Times New Roman" w:eastAsia="宋体"/>
          <w:b w:val="0"/>
          <w:sz w:val="21"/>
        </w:rPr>
        <w:t>（3）完善环保政策，形成绿色技术创新的激励机制。</w:t>
      </w:r>
    </w:p>
    <w:p>
      <w:pPr>
        <w:spacing w:line="400" w:lineRule="exact"/>
        <w:ind w:firstLine="420"/>
      </w:pPr>
      <w:r>
        <w:rPr>
          <w:rFonts w:ascii="Times New Roman" w:hAnsi="Times New Roman" w:eastAsia="宋体"/>
          <w:b w:val="0"/>
          <w:sz w:val="21"/>
        </w:rPr>
        <w:t>完善环保税收、排污权交易等政策工具，提高污染企业成本；对采纳绿色技术的企业给予税收优惠和补贴；加强环保执法力度。</w:t>
      </w:r>
    </w:p>
    <w:p>
      <w:pPr>
        <w:spacing w:line="400" w:lineRule="exact"/>
        <w:ind w:firstLine="420"/>
      </w:pPr>
      <w:r>
        <w:rPr>
          <w:rFonts w:ascii="Times New Roman" w:hAnsi="Times New Roman" w:eastAsia="宋体"/>
          <w:b w:val="0"/>
          <w:sz w:val="21"/>
        </w:rPr>
        <w:t>【区域层面】</w:t>
      </w:r>
    </w:p>
    <w:p>
      <w:pPr>
        <w:spacing w:line="400" w:lineRule="exact"/>
        <w:ind w:firstLine="420"/>
      </w:pPr>
      <w:r>
        <w:rPr>
          <w:rFonts w:ascii="Times New Roman" w:hAnsi="Times New Roman" w:eastAsia="宋体"/>
          <w:b w:val="0"/>
          <w:sz w:val="21"/>
        </w:rPr>
        <w:t>（4）推动东部绿色技术向中西部转移。</w:t>
      </w:r>
    </w:p>
    <w:p>
      <w:pPr>
        <w:spacing w:line="400" w:lineRule="exact"/>
        <w:ind w:firstLine="420"/>
      </w:pPr>
      <w:r>
        <w:rPr>
          <w:rFonts w:ascii="Times New Roman" w:hAnsi="Times New Roman" w:eastAsia="宋体"/>
          <w:b w:val="0"/>
          <w:sz w:val="21"/>
        </w:rPr>
        <w:t>建立东部先进技术转移中心，促进绿色专利的跨地区转化；制定区域协作政策，鼓励东部企业在中西部建立研发和制造基地；加大对中西部绿色产业园区的扶持力度。</w:t>
      </w:r>
    </w:p>
    <w:p>
      <w:pPr>
        <w:spacing w:line="400" w:lineRule="exact"/>
        <w:ind w:firstLine="420"/>
      </w:pPr>
      <w:r>
        <w:rPr>
          <w:rFonts w:ascii="Times New Roman" w:hAnsi="Times New Roman" w:eastAsia="宋体"/>
          <w:b w:val="0"/>
          <w:sz w:val="21"/>
        </w:rPr>
        <w:t>（5）加强中西部地区的环保基础设施投资。</w:t>
      </w:r>
    </w:p>
    <w:p>
      <w:pPr>
        <w:spacing w:line="400" w:lineRule="exact"/>
        <w:ind w:firstLine="420"/>
      </w:pPr>
      <w:r>
        <w:rPr>
          <w:rFonts w:ascii="Times New Roman" w:hAnsi="Times New Roman" w:eastAsia="宋体"/>
          <w:b w:val="0"/>
          <w:sz w:val="21"/>
        </w:rPr>
        <w:t>中央财政转移支付应增加对中西部环保项目的支持；帮助中西部企业获取和采纳绿色技术；培养中西部地区的绿色技术人才队伍。</w:t>
      </w:r>
    </w:p>
    <w:p>
      <w:pPr>
        <w:spacing w:before="240" w:after="120"/>
      </w:pPr>
      <w:r>
        <w:rPr>
          <w:rFonts w:ascii="Times New Roman" w:hAnsi="Times New Roman" w:eastAsia="宋体"/>
          <w:b/>
          <w:sz w:val="21"/>
        </w:rPr>
        <w:t>5.3  研究局限性与未来研究方向</w:t>
      </w:r>
    </w:p>
    <w:p>
      <w:pPr>
        <w:spacing w:line="400" w:lineRule="exact"/>
        <w:ind w:firstLine="420"/>
      </w:pPr>
      <w:r>
        <w:rPr>
          <w:rFonts w:ascii="Times New Roman" w:hAnsi="Times New Roman" w:eastAsia="宋体"/>
          <w:b w:val="0"/>
          <w:sz w:val="21"/>
        </w:rPr>
        <w:t>【研究局限性】：（1）数据时间跨度相对较短（11年），无法完整观测EKC曲线形态；（2）绿色专利数据可能存在地区申报偏差；（3）本文仅考虑SO₂一种污染物，其他污染物（PM2.5、NOx等）情况可能不同；（4）专利数量指标未考虑专利质量差异。</w:t>
      </w:r>
    </w:p>
    <w:p>
      <w:pPr>
        <w:spacing w:line="400" w:lineRule="exact"/>
        <w:ind w:firstLine="420"/>
      </w:pPr>
      <w:r>
        <w:rPr>
          <w:rFonts w:ascii="Times New Roman" w:hAnsi="Times New Roman" w:eastAsia="宋体"/>
          <w:b w:val="0"/>
          <w:sz w:val="21"/>
        </w:rPr>
        <w:t>【未来研究方向】：（1）扩展数据范围，纳入2015年后更多年份；（2）考虑排污权交易、环保税等政策工具的交互效应；（3）从企业层面开展微观实证分析；（4）引入空间计量模型，考虑污染排放的空间依赖性。</w:t>
      </w:r>
    </w:p>
    <w:p>
      <w:r>
        <w:br w:type="page"/>
      </w:r>
    </w:p>
    <w:p>
      <w:pPr>
        <w:spacing w:before="240" w:after="120"/>
      </w:pPr>
      <w:r>
        <w:rPr>
          <w:rFonts w:ascii="Times New Roman" w:hAnsi="Times New Roman" w:eastAsia="宋体"/>
          <w:b/>
          <w:sz w:val="24"/>
        </w:rPr>
        <w:t>参考文献</w:t>
      </w:r>
    </w:p>
    <w:p>
      <w:pPr>
        <w:spacing w:line="360" w:lineRule="exact"/>
        <w:ind w:firstLine="0" w:left="420"/>
      </w:pPr>
      <w:r>
        <w:rPr>
          <w:rFonts w:ascii="Times New Roman" w:hAnsi="Times New Roman" w:eastAsia="宋体"/>
          <w:b w:val="0"/>
          <w:sz w:val="21"/>
        </w:rPr>
        <w:t>[1] 彭水军，包群. 经济增长与环境污染——环境库兹涅茨曲线假说的中国检验[J]. 财经问题研究，2006（8）：3-17.</w:t>
      </w:r>
    </w:p>
    <w:p>
      <w:pPr>
        <w:spacing w:line="360" w:lineRule="exact"/>
        <w:ind w:firstLine="0" w:left="420"/>
      </w:pPr>
      <w:r>
        <w:rPr>
          <w:rFonts w:ascii="Times New Roman" w:hAnsi="Times New Roman" w:eastAsia="宋体"/>
          <w:b w:val="0"/>
          <w:sz w:val="21"/>
        </w:rPr>
        <w:t>[2] 蒋伏心，王竹君，白俊红. 环境规制对技术创新影响的双重效应：基于江苏制造业动态面板数据的实证研究[J]. 中国工业经济，2013（7）：44-55.</w:t>
      </w:r>
    </w:p>
    <w:p>
      <w:pPr>
        <w:spacing w:line="360" w:lineRule="exact"/>
        <w:ind w:firstLine="0" w:left="420"/>
      </w:pPr>
      <w:r>
        <w:rPr>
          <w:rFonts w:ascii="Times New Roman" w:hAnsi="Times New Roman" w:eastAsia="宋体"/>
          <w:b w:val="0"/>
          <w:sz w:val="21"/>
        </w:rPr>
        <w:t>[3] 李斌，赵新华，彭星. 绿色技术创新、产业结构升级与生态环境质量——来自中国省际面板数据的实证[J]. 管理评论，2020，32（6）：82-91.</w:t>
      </w:r>
    </w:p>
    <w:p>
      <w:pPr>
        <w:spacing w:line="360" w:lineRule="exact"/>
        <w:ind w:firstLine="0" w:left="420"/>
      </w:pPr>
      <w:r>
        <w:rPr>
          <w:rFonts w:ascii="Times New Roman" w:hAnsi="Times New Roman" w:eastAsia="宋体"/>
          <w:b w:val="0"/>
          <w:sz w:val="21"/>
        </w:rPr>
        <w:t>[4] 盛斌，吕越. 外国直接投资对中国环境的影响——来自工业行业面板数据的实证研究[J]. 中国社会科学，2012（5）：54-75.</w:t>
      </w:r>
    </w:p>
    <w:p>
      <w:pPr>
        <w:spacing w:line="360" w:lineRule="exact"/>
        <w:ind w:firstLine="0" w:left="420"/>
      </w:pPr>
      <w:r>
        <w:rPr>
          <w:rFonts w:ascii="Times New Roman" w:hAnsi="Times New Roman" w:eastAsia="宋体"/>
          <w:b w:val="0"/>
          <w:sz w:val="21"/>
        </w:rPr>
        <w:t>[5] 王班班，齐绍洲. 市场型和命令型政策工具的节能减排技术创新效应——基于中国工业行业专利数据的实证[J]. 中国工业经济，2016（6）：91-108.</w:t>
      </w:r>
    </w:p>
    <w:p>
      <w:pPr>
        <w:spacing w:line="360" w:lineRule="exact"/>
        <w:ind w:firstLine="0" w:left="420"/>
      </w:pPr>
      <w:r>
        <w:rPr>
          <w:rFonts w:ascii="Times New Roman" w:hAnsi="Times New Roman" w:eastAsia="宋体"/>
          <w:b w:val="0"/>
          <w:sz w:val="21"/>
        </w:rPr>
        <w:t>[6] 张中元，赵国庆. FDI与中国工业能源消耗——以技术溢出为视角[J]. 数量经济技术经济研究，2012（1）：52-66.</w:t>
      </w:r>
    </w:p>
    <w:p>
      <w:pPr>
        <w:spacing w:line="360" w:lineRule="exact"/>
        <w:ind w:firstLine="0" w:left="420"/>
      </w:pPr>
      <w:r>
        <w:rPr>
          <w:rFonts w:ascii="Times New Roman" w:hAnsi="Times New Roman" w:eastAsia="宋体"/>
          <w:b w:val="0"/>
          <w:sz w:val="21"/>
        </w:rPr>
        <w:t>[7] 涂正革，谌仁俊. 排污权交易机制在中国能否实现波特效应[J]. 经济研究，2015，50（7）：160-173.</w:t>
      </w:r>
    </w:p>
    <w:p>
      <w:pPr>
        <w:spacing w:line="360" w:lineRule="exact"/>
        <w:ind w:firstLine="0" w:left="420"/>
      </w:pPr>
      <w:r>
        <w:rPr>
          <w:rFonts w:ascii="Times New Roman" w:hAnsi="Times New Roman" w:eastAsia="宋体"/>
          <w:b w:val="0"/>
          <w:sz w:val="21"/>
        </w:rPr>
        <w:t>[8] 沈能，刘凤朝. 高强度的环境规制真能促进技术创新吗——基于省际面板数据的实证检验[J]. 南开经济研究，2012（4）：49-62.</w:t>
      </w:r>
    </w:p>
    <w:p>
      <w:pPr>
        <w:spacing w:line="360" w:lineRule="exact"/>
        <w:ind w:firstLine="0" w:left="420"/>
      </w:pPr>
      <w:r>
        <w:rPr>
          <w:rFonts w:ascii="Times New Roman" w:hAnsi="Times New Roman" w:eastAsia="宋体"/>
          <w:b w:val="0"/>
          <w:sz w:val="21"/>
        </w:rPr>
        <w:t>[9] 何小钢，张耀辉. 中国工业碳排放影响因素与CKC重假说检验——17个工业行业动态面板数据的实证研究[J]. 中国工业经济，2012（1）：26-35.</w:t>
      </w:r>
    </w:p>
    <w:p>
      <w:pPr>
        <w:spacing w:line="360" w:lineRule="exact"/>
        <w:ind w:firstLine="0" w:left="420"/>
      </w:pPr>
      <w:r>
        <w:rPr>
          <w:rFonts w:ascii="Times New Roman" w:hAnsi="Times New Roman" w:eastAsia="宋体"/>
          <w:b w:val="0"/>
          <w:sz w:val="21"/>
        </w:rPr>
        <w:t>[10] 周亚虹，蒲余路，陈诗一，et al. 政府扶持与新型产业成长——以新能源为例[J]. 经济研究，2015，50（6）：147-161.</w:t>
      </w:r>
    </w:p>
    <w:p>
      <w:pPr>
        <w:spacing w:line="360" w:lineRule="exact"/>
        <w:ind w:firstLine="0" w:left="420"/>
      </w:pPr>
      <w:r>
        <w:rPr>
          <w:rFonts w:ascii="Times New Roman" w:hAnsi="Times New Roman" w:eastAsia="宋体"/>
          <w:b w:val="0"/>
          <w:sz w:val="21"/>
        </w:rPr>
        <w:t>[11] Grossman, G. M., &amp; Krueger, A. B. Environmental impacts of a North American free trade agreement[R]. NBER Working Paper No. 3914, 1991.</w:t>
      </w:r>
    </w:p>
    <w:p>
      <w:pPr>
        <w:spacing w:line="360" w:lineRule="exact"/>
        <w:ind w:firstLine="0" w:left="420"/>
      </w:pPr>
      <w:r>
        <w:rPr>
          <w:rFonts w:ascii="Times New Roman" w:hAnsi="Times New Roman" w:eastAsia="宋体"/>
          <w:b w:val="0"/>
          <w:sz w:val="21"/>
        </w:rPr>
        <w:t>[12] Shafik, N. Economic development and environmental quality: An econometric analysis[J]. Oxford Economic Papers, 1994, 46(Suppl.): 757-773.</w:t>
      </w:r>
    </w:p>
    <w:p>
      <w:pPr>
        <w:spacing w:line="360" w:lineRule="exact"/>
        <w:ind w:firstLine="0" w:left="420"/>
      </w:pPr>
      <w:r>
        <w:rPr>
          <w:rFonts w:ascii="Times New Roman" w:hAnsi="Times New Roman" w:eastAsia="宋体"/>
          <w:b w:val="0"/>
          <w:sz w:val="21"/>
        </w:rPr>
        <w:t>[13] Selden, T. M., &amp; Song, D. Environmental quality and development: Is there a Kuznets curve for air pollution emissions? Journal of Environmental Economics and Management, 1994, 27(2): 147-162.</w:t>
      </w:r>
    </w:p>
    <w:p>
      <w:pPr>
        <w:spacing w:line="360" w:lineRule="exact"/>
        <w:ind w:firstLine="0" w:left="420"/>
      </w:pPr>
      <w:r>
        <w:rPr>
          <w:rFonts w:ascii="Times New Roman" w:hAnsi="Times New Roman" w:eastAsia="宋体"/>
          <w:b w:val="0"/>
          <w:sz w:val="21"/>
        </w:rPr>
        <w:t>[14] Popp, D. Induced innovation and energy prices[J]. American Economic Review, 2002, 92(1): 160-180.</w:t>
      </w:r>
    </w:p>
    <w:p>
      <w:pPr>
        <w:spacing w:line="360" w:lineRule="exact"/>
        <w:ind w:firstLine="0" w:left="420"/>
      </w:pPr>
      <w:r>
        <w:rPr>
          <w:rFonts w:ascii="Times New Roman" w:hAnsi="Times New Roman" w:eastAsia="宋体"/>
          <w:b w:val="0"/>
          <w:sz w:val="21"/>
        </w:rPr>
        <w:t>[15] Acemoglu, D., Aghion, P., Bursztyn, L., &amp; Hemous, D. The environment and directed technical change[J]. American Economic Review, 2012, 102(1): 131-166.</w:t>
      </w:r>
    </w:p>
    <w:p>
      <w:pPr>
        <w:spacing w:line="360" w:lineRule="exact"/>
        <w:ind w:firstLine="0" w:left="420"/>
      </w:pPr>
      <w:r>
        <w:rPr>
          <w:rFonts w:ascii="Times New Roman" w:hAnsi="Times New Roman" w:eastAsia="宋体"/>
          <w:b w:val="0"/>
          <w:sz w:val="21"/>
        </w:rPr>
        <w:t>[16] Barbieri, N., Ghisetti, C., Gilli, M., et al. A survey of the literature on environmental innovation based on main path analysis[J]. Journal of Economic Surveys, 2016, 30(3): 596-623.</w:t>
      </w:r>
    </w:p>
    <w:p>
      <w:pPr>
        <w:spacing w:line="360" w:lineRule="exact"/>
        <w:ind w:firstLine="0" w:left="420"/>
      </w:pPr>
      <w:r>
        <w:rPr>
          <w:rFonts w:ascii="Times New Roman" w:hAnsi="Times New Roman" w:eastAsia="宋体"/>
          <w:b w:val="0"/>
          <w:sz w:val="21"/>
        </w:rPr>
        <w:t>[17] Lanjouw, J. O., &amp; Mody, A. Innovation and the international diffusion of environmentally responsive technology[J]. Research Policy, 1996, 25(4): 549-571.</w:t>
      </w:r>
    </w:p>
    <w:p>
      <w:pPr>
        <w:spacing w:line="360" w:lineRule="exact"/>
        <w:ind w:firstLine="0" w:left="420"/>
      </w:pPr>
      <w:r>
        <w:rPr>
          <w:rFonts w:ascii="Times New Roman" w:hAnsi="Times New Roman" w:eastAsia="宋体"/>
          <w:b w:val="0"/>
          <w:sz w:val="21"/>
        </w:rPr>
        <w:t>[18] Jaffe, A. B., Newell, R. G., &amp; Stavins, R. N. A tale of two market failures: Technology and environmental policy[J]. Ecological Economics, 2005, 54(2-3): 164-174.</w:t>
      </w:r>
    </w:p>
    <w:p>
      <w:pPr>
        <w:spacing w:line="360" w:lineRule="exact"/>
        <w:ind w:firstLine="0" w:left="420"/>
      </w:pPr>
      <w:r>
        <w:rPr>
          <w:rFonts w:ascii="Times New Roman" w:hAnsi="Times New Roman" w:eastAsia="宋体"/>
          <w:b w:val="0"/>
          <w:sz w:val="21"/>
        </w:rPr>
        <w:t>[19] Dechezleprêtre, A., &amp; Glachant, M. Does foreign environmental policy influence domestic innovation? Evidence from the wind industry[J]. Environmental and Resource Economics, 2014, 58(3): 391-413.</w:t>
      </w:r>
    </w:p>
    <w:p>
      <w:pPr>
        <w:spacing w:line="360" w:lineRule="exact"/>
        <w:ind w:firstLine="0" w:left="420"/>
      </w:pPr>
      <w:r>
        <w:rPr>
          <w:rFonts w:ascii="Times New Roman" w:hAnsi="Times New Roman" w:eastAsia="宋体"/>
          <w:b w:val="0"/>
          <w:sz w:val="21"/>
        </w:rPr>
        <w:t>[20] Chen, Y. E., &amp; Hu, W. Analysis of influencing factors of SO₂ emission in China and countermeasures[J]. Polish Journal of Environmental Studies, 2017, 26(4): 1461-1474.</w:t>
      </w:r>
    </w:p>
    <w:p>
      <w:pPr>
        <w:spacing w:line="360" w:lineRule="exact"/>
        <w:ind w:firstLine="0" w:left="420"/>
      </w:pPr>
      <w:r>
        <w:rPr>
          <w:rFonts w:ascii="Times New Roman" w:hAnsi="Times New Roman" w:eastAsia="宋体"/>
          <w:b w:val="0"/>
          <w:sz w:val="21"/>
        </w:rPr>
        <w:t>[21] Cole, M. A., &amp; Elliott, R. J. R. Determining the trade-environment composition effect: The role of capital, labor and environmental regulations[J]. Journal of Environmental Economics and Management, 2003, 46(3): 363-383.</w:t>
      </w:r>
    </w:p>
    <w:p>
      <w:pPr>
        <w:spacing w:line="360" w:lineRule="exact"/>
        <w:ind w:firstLine="0" w:left="420"/>
      </w:pPr>
      <w:r>
        <w:rPr>
          <w:rFonts w:ascii="Times New Roman" w:hAnsi="Times New Roman" w:eastAsia="宋体"/>
          <w:b w:val="0"/>
          <w:sz w:val="21"/>
        </w:rPr>
        <w:t>[22] Sinn, H. W. Public policies against global warming: A supply side approach[J]. International Tax and Public Finance, 2008, 15(4): 360-394.</w:t>
      </w:r>
    </w:p>
    <w:p>
      <w:pPr>
        <w:spacing w:line="360" w:lineRule="exact"/>
        <w:ind w:firstLine="0" w:left="420"/>
      </w:pPr>
      <w:r>
        <w:rPr>
          <w:rFonts w:ascii="Times New Roman" w:hAnsi="Times New Roman" w:eastAsia="宋体"/>
          <w:b w:val="0"/>
          <w:sz w:val="21"/>
        </w:rPr>
        <w:t>[23] He, J. Pollution haven hypothesis and environmental impacts of foreign direct investment: The case of industrial emission of sulfur dioxide in Chinese provinces[J]. Ecological Economics, 2006, 60(1): 228-245.</w:t>
      </w:r>
    </w:p>
    <w:p>
      <w:pPr>
        <w:spacing w:line="360" w:lineRule="exact"/>
        <w:ind w:firstLine="0" w:left="420"/>
      </w:pPr>
      <w:r>
        <w:rPr>
          <w:rFonts w:ascii="Times New Roman" w:hAnsi="Times New Roman" w:eastAsia="宋体"/>
          <w:b w:val="0"/>
          <w:sz w:val="21"/>
        </w:rPr>
        <w:t>[24] Wang, Y., &amp; Shen, N. Environmental regulation and environmental productivity: The case of China[J]. Renewable and Sustainable Energy Reviews, 2016, 62: 758-766.</w:t>
      </w:r>
    </w:p>
    <w:p>
      <w:pPr>
        <w:spacing w:line="360" w:lineRule="exact"/>
        <w:ind w:firstLine="0" w:left="420"/>
      </w:pPr>
      <w:r>
        <w:rPr>
          <w:rFonts w:ascii="Times New Roman" w:hAnsi="Times New Roman" w:eastAsia="宋体"/>
          <w:b w:val="0"/>
          <w:sz w:val="21"/>
        </w:rPr>
        <w:t>[25] Yang, M., Yang, F., &amp; Sun, C. Factor market distortion correction, resource reallocation and potential productivity gains: An empirical study on China's heavy industry sector[J]. Energy Economics, 2018, 69: 270-279.</w:t>
      </w:r>
    </w:p>
    <w:p>
      <w:pPr>
        <w:spacing w:line="360" w:lineRule="exact"/>
        <w:ind w:firstLine="0" w:left="420"/>
      </w:pPr>
      <w:r>
        <w:rPr>
          <w:rFonts w:ascii="Times New Roman" w:hAnsi="Times New Roman" w:eastAsia="宋体"/>
          <w:b w:val="0"/>
          <w:sz w:val="21"/>
        </w:rPr>
        <w:t>[26] 国家统计局. 中国统计年鉴（2005-2015）[M]. 北京：中国统计出版社，2005-2015.</w:t>
      </w:r>
    </w:p>
    <w:p>
      <w:pPr>
        <w:spacing w:line="360" w:lineRule="exact"/>
        <w:ind w:firstLine="0" w:left="420"/>
      </w:pPr>
      <w:r>
        <w:rPr>
          <w:rFonts w:ascii="Times New Roman" w:hAnsi="Times New Roman" w:eastAsia="宋体"/>
          <w:b w:val="0"/>
          <w:sz w:val="21"/>
        </w:rPr>
        <w:t>[27] 国家知识产权局. 中国专利统计年报（2005-2015）[M]. 北京：知识产权出版社，2005-2015.</w:t>
      </w:r>
    </w:p>
    <w:p>
      <w:pPr>
        <w:spacing w:line="360" w:lineRule="exact"/>
        <w:ind w:firstLine="0" w:left="420"/>
      </w:pPr>
      <w:r>
        <w:rPr>
          <w:rFonts w:ascii="Times New Roman" w:hAnsi="Times New Roman" w:eastAsia="宋体"/>
          <w:b w:val="0"/>
          <w:sz w:val="21"/>
        </w:rPr>
        <w:t>[28] 工业和信息化部. 中国工业统计年鉴（2005-2015）[M]. 北京：中国统计出版社，2005-2015.</w:t>
      </w:r>
    </w:p>
    <w:p>
      <w:pPr>
        <w:spacing w:line="360" w:lineRule="exact"/>
        <w:ind w:firstLine="0" w:left="420"/>
      </w:pPr>
      <w:r>
        <w:rPr>
          <w:rFonts w:ascii="Times New Roman" w:hAnsi="Times New Roman" w:eastAsia="宋体"/>
          <w:b w:val="0"/>
          <w:sz w:val="21"/>
        </w:rPr>
        <w:t>[29] 黄德春，刘志彪. 环境规制与企业自主创新——基于波特假设的企业竞争优势构建[J]. 中国工业经济，2006（3）：100-106.</w:t>
      </w:r>
    </w:p>
    <w:p>
      <w:pPr>
        <w:spacing w:line="360" w:lineRule="exact"/>
        <w:ind w:firstLine="0" w:left="420"/>
      </w:pPr>
      <w:r>
        <w:rPr>
          <w:rFonts w:ascii="Times New Roman" w:hAnsi="Times New Roman" w:eastAsia="宋体"/>
          <w:b w:val="0"/>
          <w:sz w:val="21"/>
        </w:rPr>
        <w:t>[30] 李婧，谭清美，白俊红. 中国区域创新生产的空间计量分析——基于静态与动态空间面板模型的实证研究[J]. 管理世界，2010（7）：43-55.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