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20"/>
        <w:jc w:val="center"/>
      </w:pPr>
      <w:r>
        <w:rPr>
          <w:rFonts w:ascii="Arial" w:hAnsi="Arial" w:eastAsia="黑体"/>
          <w:b/>
          <w:i w:val="0"/>
          <w:sz w:val="52"/>
        </w:rPr>
        <w:t>曲阜师范大学</w:t>
      </w:r>
    </w:p>
    <w:p>
      <w:pPr>
        <w:spacing w:before="0" w:after="720"/>
        <w:jc w:val="center"/>
      </w:pPr>
      <w:r>
        <w:rPr>
          <w:rFonts w:ascii="Times New Roman" w:hAnsi="Times New Roman" w:eastAsia="宋体"/>
          <w:b w:val="0"/>
          <w:i w:val="0"/>
          <w:sz w:val="36"/>
        </w:rPr>
        <w:t>本科生毕业论文（设计）</w:t>
      </w:r>
    </w:p>
    <w:p>
      <w:pPr>
        <w:spacing w:before="480" w:after="960"/>
        <w:jc w:val="center"/>
      </w:pPr>
      <w:r>
        <w:rPr>
          <w:rFonts w:ascii="Arial" w:hAnsi="Arial" w:eastAsia="黑体"/>
          <w:b/>
          <w:i w:val="0"/>
          <w:sz w:val="44"/>
        </w:rPr>
        <w:t>推荐系统在分布偏移下的鲁棒性研究</w:t>
      </w:r>
    </w:p>
    <w:p>
      <w:pPr>
        <w:spacing w:before="120" w:after="0"/>
        <w:jc w:val="center"/>
      </w:pPr>
      <w:r>
        <w:rPr>
          <w:rFonts w:ascii="Times New Roman" w:hAnsi="Times New Roman" w:eastAsia="宋体"/>
          <w:b w:val="0"/>
          <w:i w:val="0"/>
          <w:sz w:val="28"/>
        </w:rPr>
        <w:t>学    院：计算机学院</w:t>
      </w:r>
    </w:p>
    <w:p>
      <w:pPr>
        <w:spacing w:before="120" w:after="0"/>
        <w:jc w:val="center"/>
      </w:pPr>
      <w:r>
        <w:rPr>
          <w:rFonts w:ascii="Times New Roman" w:hAnsi="Times New Roman" w:eastAsia="宋体"/>
          <w:b w:val="0"/>
          <w:i w:val="0"/>
          <w:sz w:val="28"/>
        </w:rPr>
        <w:t>专    业：计算机科学与技术</w:t>
      </w:r>
    </w:p>
    <w:p>
      <w:pPr>
        <w:spacing w:before="120" w:after="0"/>
        <w:jc w:val="center"/>
      </w:pPr>
      <w:r>
        <w:rPr>
          <w:rFonts w:ascii="Times New Roman" w:hAnsi="Times New Roman" w:eastAsia="宋体"/>
          <w:b w:val="0"/>
          <w:i w:val="0"/>
          <w:sz w:val="28"/>
        </w:rPr>
        <w:t>年    级：2022 级</w:t>
      </w:r>
    </w:p>
    <w:p>
      <w:pPr>
        <w:spacing w:before="120" w:after="0"/>
        <w:jc w:val="center"/>
      </w:pPr>
      <w:r>
        <w:rPr>
          <w:rFonts w:ascii="Times New Roman" w:hAnsi="Times New Roman" w:eastAsia="宋体"/>
          <w:b w:val="0"/>
          <w:i w:val="0"/>
          <w:sz w:val="28"/>
        </w:rPr>
        <w:t>学    号：2022XXXXXXXX</w:t>
      </w:r>
    </w:p>
    <w:p>
      <w:pPr>
        <w:spacing w:before="120" w:after="0"/>
        <w:jc w:val="center"/>
      </w:pPr>
      <w:r>
        <w:rPr>
          <w:rFonts w:ascii="Times New Roman" w:hAnsi="Times New Roman" w:eastAsia="宋体"/>
          <w:b w:val="0"/>
          <w:i w:val="0"/>
          <w:sz w:val="28"/>
        </w:rPr>
        <w:t>姓    名：（请填写）</w:t>
      </w:r>
    </w:p>
    <w:p>
      <w:pPr>
        <w:spacing w:before="120" w:after="0"/>
        <w:jc w:val="center"/>
      </w:pPr>
      <w:r>
        <w:rPr>
          <w:rFonts w:ascii="Times New Roman" w:hAnsi="Times New Roman" w:eastAsia="宋体"/>
          <w:b w:val="0"/>
          <w:i w:val="0"/>
          <w:sz w:val="28"/>
        </w:rPr>
        <w:t>指导教师：（请填写）</w:t>
      </w:r>
    </w:p>
    <w:p>
      <w:pPr>
        <w:spacing w:before="120" w:after="0"/>
        <w:jc w:val="center"/>
      </w:pPr>
      <w:r>
        <w:rPr>
          <w:rFonts w:ascii="Times New Roman" w:hAnsi="Times New Roman" w:eastAsia="宋体"/>
          <w:b w:val="0"/>
          <w:i w:val="0"/>
          <w:sz w:val="28"/>
        </w:rPr>
        <w:t>完成日期：2026 年 4 月</w:t>
      </w:r>
    </w:p>
    <w:p>
      <w:r>
        <w:br w:type="page"/>
      </w:r>
    </w:p>
    <w:p>
      <w:pPr>
        <w:spacing w:before="240" w:after="120"/>
        <w:jc w:val="center"/>
      </w:pPr>
      <w:r>
        <w:rPr>
          <w:rFonts w:ascii="Times New Roman" w:hAnsi="Times New Roman" w:eastAsia="仿宋"/>
          <w:b w:val="0"/>
          <w:i w:val="0"/>
          <w:sz w:val="28"/>
        </w:rPr>
        <w:t>目    录</w:t>
      </w:r>
    </w:p>
    <w:p>
      <w:pPr>
        <w:spacing w:before="40" w:after="40"/>
        <w:jc w:val="both"/>
      </w:pPr>
      <w:r>
        <w:rPr>
          <w:rFonts w:ascii="Times New Roman" w:hAnsi="Times New Roman" w:eastAsia="宋体"/>
          <w:b w:val="0"/>
          <w:i w:val="0"/>
          <w:sz w:val="24"/>
        </w:rPr>
        <w:t>摘要（中文）···········································3</w:t>
      </w:r>
    </w:p>
    <w:p>
      <w:pPr>
        <w:spacing w:before="40" w:after="40"/>
        <w:jc w:val="both"/>
      </w:pPr>
      <w:r>
        <w:rPr>
          <w:rFonts w:ascii="Times New Roman" w:hAnsi="Times New Roman" w:eastAsia="宋体"/>
          <w:b w:val="0"/>
          <w:i w:val="0"/>
          <w:sz w:val="24"/>
        </w:rPr>
        <w:t>Abstract（英文摘要）···································4</w:t>
      </w:r>
    </w:p>
    <w:p>
      <w:pPr>
        <w:spacing w:before="40" w:after="40"/>
        <w:jc w:val="both"/>
      </w:pPr>
      <w:r>
        <w:rPr>
          <w:rFonts w:ascii="Times New Roman" w:hAnsi="Times New Roman" w:eastAsia="宋体"/>
          <w:b w:val="0"/>
          <w:i w:val="0"/>
          <w:sz w:val="24"/>
        </w:rPr>
        <w:t>引言···············································5</w:t>
      </w:r>
    </w:p>
    <w:p>
      <w:pPr>
        <w:spacing w:before="40" w:after="40"/>
        <w:jc w:val="both"/>
      </w:pPr>
      <w:r>
        <w:rPr>
          <w:rFonts w:ascii="Times New Roman" w:hAnsi="Times New Roman" w:eastAsia="宋体"/>
          <w:b w:val="0"/>
          <w:i w:val="0"/>
          <w:sz w:val="24"/>
        </w:rPr>
        <w:t>第1章  相关工作与背景·····································6</w:t>
      </w:r>
    </w:p>
    <w:p>
      <w:pPr>
        <w:spacing w:before="40" w:after="40"/>
        <w:jc w:val="both"/>
      </w:pPr>
      <w:r>
        <w:rPr>
          <w:rFonts w:ascii="Times New Roman" w:hAnsi="Times New Roman" w:eastAsia="宋体"/>
          <w:b w:val="0"/>
          <w:i w:val="0"/>
          <w:sz w:val="24"/>
        </w:rPr>
        <w:t xml:space="preserve">    1.1  推荐系统架构演进································6</w:t>
      </w:r>
    </w:p>
    <w:p>
      <w:pPr>
        <w:spacing w:before="40" w:after="40"/>
        <w:jc w:val="both"/>
      </w:pPr>
      <w:r>
        <w:rPr>
          <w:rFonts w:ascii="Times New Roman" w:hAnsi="Times New Roman" w:eastAsia="宋体"/>
          <w:b w:val="0"/>
          <w:i w:val="0"/>
          <w:sz w:val="24"/>
        </w:rPr>
        <w:t xml:space="preserve">    1.2  序列模型与特征交叉方法·····························7</w:t>
      </w:r>
    </w:p>
    <w:p>
      <w:pPr>
        <w:spacing w:before="40" w:after="40"/>
        <w:jc w:val="both"/>
      </w:pPr>
      <w:r>
        <w:rPr>
          <w:rFonts w:ascii="Times New Roman" w:hAnsi="Times New Roman" w:eastAsia="宋体"/>
          <w:b w:val="0"/>
          <w:i w:val="0"/>
          <w:sz w:val="24"/>
        </w:rPr>
        <w:t xml:space="preserve">    1.3  分布偏移问题··································7</w:t>
      </w:r>
    </w:p>
    <w:p>
      <w:pPr>
        <w:spacing w:before="40" w:after="40"/>
        <w:jc w:val="both"/>
      </w:pPr>
      <w:r>
        <w:rPr>
          <w:rFonts w:ascii="Times New Roman" w:hAnsi="Times New Roman" w:eastAsia="宋体"/>
          <w:b w:val="0"/>
          <w:i w:val="0"/>
          <w:sz w:val="24"/>
        </w:rPr>
        <w:t xml:space="preserve">    1.4  现有鲁棒性研究·································8</w:t>
      </w:r>
    </w:p>
    <w:p>
      <w:pPr>
        <w:spacing w:before="40" w:after="40"/>
        <w:jc w:val="both"/>
      </w:pPr>
      <w:r>
        <w:rPr>
          <w:rFonts w:ascii="Times New Roman" w:hAnsi="Times New Roman" w:eastAsia="宋体"/>
          <w:b w:val="0"/>
          <w:i w:val="0"/>
          <w:sz w:val="24"/>
        </w:rPr>
        <w:t>第2章  方法论·········································9</w:t>
      </w:r>
    </w:p>
    <w:p>
      <w:pPr>
        <w:spacing w:before="40" w:after="40"/>
        <w:jc w:val="both"/>
      </w:pPr>
      <w:r>
        <w:rPr>
          <w:rFonts w:ascii="Times New Roman" w:hAnsi="Times New Roman" w:eastAsia="宋体"/>
          <w:b w:val="0"/>
          <w:i w:val="0"/>
          <w:sz w:val="24"/>
        </w:rPr>
        <w:t xml:space="preserve">    2.1  特征工程与表示学习·······························9</w:t>
      </w:r>
    </w:p>
    <w:p>
      <w:pPr>
        <w:spacing w:before="40" w:after="40"/>
        <w:jc w:val="both"/>
      </w:pPr>
      <w:r>
        <w:rPr>
          <w:rFonts w:ascii="Times New Roman" w:hAnsi="Times New Roman" w:eastAsia="宋体"/>
          <w:b w:val="0"/>
          <w:i w:val="0"/>
          <w:sz w:val="24"/>
        </w:rPr>
        <w:t xml:space="preserve">    2.2  候选模型架构·································10</w:t>
      </w:r>
    </w:p>
    <w:p>
      <w:pPr>
        <w:spacing w:before="40" w:after="40"/>
        <w:jc w:val="both"/>
      </w:pPr>
      <w:r>
        <w:rPr>
          <w:rFonts w:ascii="Times New Roman" w:hAnsi="Times New Roman" w:eastAsia="宋体"/>
          <w:b w:val="0"/>
          <w:i w:val="0"/>
          <w:sz w:val="24"/>
        </w:rPr>
        <w:t xml:space="preserve">    2.3  偏好突变模拟·································12</w:t>
      </w:r>
    </w:p>
    <w:p>
      <w:pPr>
        <w:spacing w:before="40" w:after="40"/>
        <w:jc w:val="both"/>
      </w:pPr>
      <w:r>
        <w:rPr>
          <w:rFonts w:ascii="Times New Roman" w:hAnsi="Times New Roman" w:eastAsia="宋体"/>
          <w:b w:val="0"/>
          <w:i w:val="0"/>
          <w:sz w:val="24"/>
        </w:rPr>
        <w:t>第3章  实验设计与数据····································13</w:t>
      </w:r>
    </w:p>
    <w:p>
      <w:pPr>
        <w:spacing w:before="40" w:after="40"/>
        <w:jc w:val="both"/>
      </w:pPr>
      <w:r>
        <w:rPr>
          <w:rFonts w:ascii="Times New Roman" w:hAnsi="Times New Roman" w:eastAsia="宋体"/>
          <w:b w:val="0"/>
          <w:i w:val="0"/>
          <w:sz w:val="24"/>
        </w:rPr>
        <w:t xml:space="preserve">    3.1  数据集说明··································13</w:t>
      </w:r>
    </w:p>
    <w:p>
      <w:pPr>
        <w:spacing w:before="40" w:after="40"/>
        <w:jc w:val="both"/>
      </w:pPr>
      <w:r>
        <w:rPr>
          <w:rFonts w:ascii="Times New Roman" w:hAnsi="Times New Roman" w:eastAsia="宋体"/>
          <w:b w:val="0"/>
          <w:i w:val="0"/>
          <w:sz w:val="24"/>
        </w:rPr>
        <w:t xml:space="preserve">    3.2  实验配置···································13</w:t>
      </w:r>
    </w:p>
    <w:p>
      <w:pPr>
        <w:spacing w:before="40" w:after="40"/>
        <w:jc w:val="both"/>
      </w:pPr>
      <w:r>
        <w:rPr>
          <w:rFonts w:ascii="Times New Roman" w:hAnsi="Times New Roman" w:eastAsia="宋体"/>
          <w:b w:val="0"/>
          <w:i w:val="0"/>
          <w:sz w:val="24"/>
        </w:rPr>
        <w:t xml:space="preserve">    3.3  评估指标体系·································14</w:t>
      </w:r>
    </w:p>
    <w:p>
      <w:pPr>
        <w:spacing w:before="40" w:after="40"/>
        <w:jc w:val="both"/>
      </w:pPr>
      <w:r>
        <w:rPr>
          <w:rFonts w:ascii="Times New Roman" w:hAnsi="Times New Roman" w:eastAsia="宋体"/>
          <w:b w:val="0"/>
          <w:i w:val="0"/>
          <w:sz w:val="24"/>
        </w:rPr>
        <w:t>第4章  结果与分析······································15</w:t>
      </w:r>
    </w:p>
    <w:p>
      <w:pPr>
        <w:spacing w:before="40" w:after="40"/>
        <w:jc w:val="both"/>
      </w:pPr>
      <w:r>
        <w:rPr>
          <w:rFonts w:ascii="Times New Roman" w:hAnsi="Times New Roman" w:eastAsia="宋体"/>
          <w:b w:val="0"/>
          <w:i w:val="0"/>
          <w:sz w:val="24"/>
        </w:rPr>
        <w:t xml:space="preserve">    4.1  收敛性分析··································15</w:t>
      </w:r>
    </w:p>
    <w:p>
      <w:pPr>
        <w:spacing w:before="40" w:after="40"/>
        <w:jc w:val="both"/>
      </w:pPr>
      <w:r>
        <w:rPr>
          <w:rFonts w:ascii="Times New Roman" w:hAnsi="Times New Roman" w:eastAsia="宋体"/>
          <w:b w:val="0"/>
          <w:i w:val="0"/>
          <w:sz w:val="24"/>
        </w:rPr>
        <w:t xml:space="preserve">    4.2  性能变化趋势·································16</w:t>
      </w:r>
    </w:p>
    <w:p>
      <w:pPr>
        <w:spacing w:before="40" w:after="40"/>
        <w:jc w:val="both"/>
      </w:pPr>
      <w:r>
        <w:rPr>
          <w:rFonts w:ascii="Times New Roman" w:hAnsi="Times New Roman" w:eastAsia="宋体"/>
          <w:b w:val="0"/>
          <w:i w:val="0"/>
          <w:sz w:val="24"/>
        </w:rPr>
        <w:t xml:space="preserve">    4.3  统计显著性与稳健性······························17</w:t>
      </w:r>
    </w:p>
    <w:p>
      <w:pPr>
        <w:spacing w:before="40" w:after="40"/>
        <w:jc w:val="both"/>
      </w:pPr>
      <w:r>
        <w:rPr>
          <w:rFonts w:ascii="Times New Roman" w:hAnsi="Times New Roman" w:eastAsia="宋体"/>
          <w:b w:val="0"/>
          <w:i w:val="0"/>
          <w:sz w:val="24"/>
        </w:rPr>
        <w:t xml:space="preserve">    4.4  架构鲁棒性讨论································18</w:t>
      </w:r>
    </w:p>
    <w:p>
      <w:pPr>
        <w:spacing w:before="40" w:after="40"/>
        <w:jc w:val="both"/>
      </w:pPr>
      <w:r>
        <w:rPr>
          <w:rFonts w:ascii="Times New Roman" w:hAnsi="Times New Roman" w:eastAsia="宋体"/>
          <w:b w:val="0"/>
          <w:i w:val="0"/>
          <w:sz w:val="24"/>
        </w:rPr>
        <w:t>第5章  讨论与结论······································19</w:t>
      </w:r>
    </w:p>
    <w:p>
      <w:pPr>
        <w:spacing w:before="40" w:after="40"/>
        <w:jc w:val="both"/>
      </w:pPr>
      <w:r>
        <w:rPr>
          <w:rFonts w:ascii="Times New Roman" w:hAnsi="Times New Roman" w:eastAsia="宋体"/>
          <w:b w:val="0"/>
          <w:i w:val="0"/>
          <w:sz w:val="24"/>
        </w:rPr>
        <w:t xml:space="preserve">    5.1  主要发现总结·································19</w:t>
      </w:r>
    </w:p>
    <w:p>
      <w:pPr>
        <w:spacing w:before="40" w:after="40"/>
        <w:jc w:val="both"/>
      </w:pPr>
      <w:r>
        <w:rPr>
          <w:rFonts w:ascii="Times New Roman" w:hAnsi="Times New Roman" w:eastAsia="宋体"/>
          <w:b w:val="0"/>
          <w:i w:val="0"/>
          <w:sz w:val="24"/>
        </w:rPr>
        <w:t xml:space="preserve">    5.2  理论贡献···································20</w:t>
      </w:r>
    </w:p>
    <w:p>
      <w:pPr>
        <w:spacing w:before="40" w:after="40"/>
        <w:jc w:val="both"/>
      </w:pPr>
      <w:r>
        <w:rPr>
          <w:rFonts w:ascii="Times New Roman" w:hAnsi="Times New Roman" w:eastAsia="宋体"/>
          <w:b w:val="0"/>
          <w:i w:val="0"/>
          <w:sz w:val="24"/>
        </w:rPr>
        <w:t xml:space="preserve">    5.3  实践应用价值·································20</w:t>
      </w:r>
    </w:p>
    <w:p>
      <w:pPr>
        <w:spacing w:before="40" w:after="40"/>
        <w:jc w:val="both"/>
      </w:pPr>
      <w:r>
        <w:rPr>
          <w:rFonts w:ascii="Times New Roman" w:hAnsi="Times New Roman" w:eastAsia="宋体"/>
          <w:b w:val="0"/>
          <w:i w:val="0"/>
          <w:sz w:val="24"/>
        </w:rPr>
        <w:t xml:space="preserve">    5.4  局限性分析··································21</w:t>
      </w:r>
    </w:p>
    <w:p>
      <w:pPr>
        <w:spacing w:before="40" w:after="40"/>
        <w:jc w:val="both"/>
      </w:pPr>
      <w:r>
        <w:rPr>
          <w:rFonts w:ascii="Times New Roman" w:hAnsi="Times New Roman" w:eastAsia="宋体"/>
          <w:b w:val="0"/>
          <w:i w:val="0"/>
          <w:sz w:val="24"/>
        </w:rPr>
        <w:t xml:space="preserve">    5.5  未来研究方向·································21</w:t>
      </w:r>
    </w:p>
    <w:p>
      <w:pPr>
        <w:spacing w:before="40" w:after="40"/>
        <w:jc w:val="both"/>
      </w:pPr>
      <w:r>
        <w:rPr>
          <w:rFonts w:ascii="Times New Roman" w:hAnsi="Times New Roman" w:eastAsia="宋体"/>
          <w:b w:val="0"/>
          <w:i w:val="0"/>
          <w:sz w:val="24"/>
        </w:rPr>
        <w:t>参考文献············································22</w:t>
      </w:r>
    </w:p>
    <w:p>
      <w:pPr>
        <w:spacing w:before="40" w:after="40"/>
        <w:jc w:val="both"/>
      </w:pPr>
      <w:r>
        <w:rPr>
          <w:rFonts w:ascii="Times New Roman" w:hAnsi="Times New Roman" w:eastAsia="宋体"/>
          <w:b w:val="0"/>
          <w:i w:val="0"/>
          <w:sz w:val="24"/>
        </w:rPr>
        <w:t>致谢··············································25</w:t>
      </w:r>
    </w:p>
    <w:p>
      <w:pPr>
        <w:spacing w:before="40" w:after="40"/>
        <w:jc w:val="both"/>
      </w:pPr>
      <w:r>
        <w:rPr>
          <w:rFonts w:ascii="Times New Roman" w:hAnsi="Times New Roman" w:eastAsia="宋体"/>
          <w:b w:val="0"/>
          <w:i w:val="0"/>
          <w:sz w:val="24"/>
        </w:rPr>
        <w:t>附录A  完整实验数据表····································26</w:t>
      </w:r>
    </w:p>
    <w:p>
      <w:pPr>
        <w:spacing w:before="40" w:after="40"/>
        <w:jc w:val="both"/>
      </w:pPr>
      <w:r>
        <w:rPr>
          <w:rFonts w:ascii="Times New Roman" w:hAnsi="Times New Roman" w:eastAsia="宋体"/>
          <w:b w:val="0"/>
          <w:i w:val="0"/>
          <w:sz w:val="24"/>
        </w:rPr>
        <w:t>附录B  Python代码结构说明·······························27</w:t>
      </w:r>
    </w:p>
    <w:p>
      <w:pPr>
        <w:spacing w:before="40" w:after="40"/>
        <w:jc w:val="both"/>
      </w:pPr>
      <w:r>
        <w:rPr>
          <w:rFonts w:ascii="Times New Roman" w:hAnsi="Times New Roman" w:eastAsia="宋体"/>
          <w:b w:val="0"/>
          <w:i w:val="0"/>
          <w:sz w:val="24"/>
        </w:rPr>
        <w:t>附录C  图表生成代码片段···································28</w:t>
      </w:r>
    </w:p>
    <w:p>
      <w:pPr>
        <w:spacing w:before="40" w:after="40"/>
        <w:jc w:val="both"/>
      </w:pPr>
      <w:r>
        <w:rPr>
          <w:rFonts w:ascii="Times New Roman" w:hAnsi="Times New Roman" w:eastAsia="宋体"/>
          <w:b w:val="0"/>
          <w:i w:val="0"/>
          <w:sz w:val="24"/>
        </w:rPr>
        <w:t>附录D  超参数调优过程····································29</w:t>
      </w:r>
    </w:p>
    <w:p>
      <w:r>
        <w:br w:type="page"/>
      </w:r>
    </w:p>
    <w:p>
      <w:pPr>
        <w:spacing w:before="240" w:after="120"/>
        <w:jc w:val="center"/>
      </w:pPr>
      <w:r>
        <w:rPr>
          <w:rFonts w:ascii="Times New Roman" w:hAnsi="Times New Roman" w:eastAsia="仿宋"/>
          <w:b w:val="0"/>
          <w:i w:val="0"/>
          <w:sz w:val="28"/>
        </w:rPr>
        <w:t>摘    要</w:t>
      </w:r>
    </w:p>
    <w:p>
      <w:pPr>
        <w:spacing w:before="0" w:after="0" w:lineRule="auto" w:line="360"/>
        <w:ind w:firstLine="420"/>
        <w:jc w:val="both"/>
      </w:pPr>
      <w:r>
        <w:rPr>
          <w:rFonts w:ascii="Times New Roman" w:hAnsi="Times New Roman" w:eastAsia="宋体"/>
          <w:b w:val="0"/>
          <w:i w:val="0"/>
          <w:sz w:val="21"/>
        </w:rPr>
        <w:t>推荐系统已成为信息过载时代用户与内容之间的核心纽带。然而，现实环境中用户偏好往往会发生剧烈的短期波动，导致训练阶段观测到的数据分布与推理阶段存在显著差异，即分布偏移（Distribution Shift）现象。现有研究多以预测准确率为优化目标，而对模型在分布偏移下的鲁棒性关注不足。</w:t>
      </w:r>
    </w:p>
    <w:p>
      <w:pPr>
        <w:spacing w:before="0" w:after="0" w:lineRule="auto" w:line="360"/>
        <w:ind w:firstLine="420"/>
        <w:jc w:val="both"/>
      </w:pPr>
      <w:r>
        <w:rPr>
          <w:rFonts w:ascii="Times New Roman" w:hAnsi="Times New Roman" w:eastAsia="宋体"/>
          <w:b w:val="0"/>
          <w:i w:val="0"/>
          <w:sz w:val="21"/>
        </w:rPr>
        <w:t>本研究以MovieLens 25M数据集为实验基础，构建了一套基于流行项替换的偏好突变模拟框架，系统对比了三类典型推荐模型在不同偏移程度（ρ∈{0, 0.05, 0.1, 0.2, 0.3}）下的性能表现：Caser（卷积序列嵌入模型）、DeepFM（深度因子分解机）以及将两者融合的Hybrid模型。实验采用10个随机种子（42—51）以保证结果的统计稳健性，评估指标涵盖AUC、NDCG@10、NDCG@20、Hit@10和Hit@20。</w:t>
      </w:r>
    </w:p>
    <w:p>
      <w:pPr>
        <w:spacing w:before="0" w:after="0" w:lineRule="auto" w:line="360"/>
        <w:ind w:firstLine="420"/>
        <w:jc w:val="both"/>
      </w:pPr>
      <w:r>
        <w:rPr>
          <w:rFonts w:ascii="Times New Roman" w:hAnsi="Times New Roman" w:eastAsia="宋体"/>
          <w:b w:val="0"/>
          <w:i w:val="0"/>
          <w:sz w:val="21"/>
        </w:rPr>
        <w:t>实验结果表明：Hybrid融合模型在分布偏移下表现最优，NDCG@10相对基准提升19.0%（ρ=0.3，Cohen's d=3.481，统计显著）；DeepFM静态特征模型表现稳定，NDCG@10提升10.8%；Caser序列模型表现最脆弱，NDCG@10下降1.8%。训练动力学分析显示，Hybrid模型受益于预训练权重初始化，在Epoch 1即达到最低初始损失（0.207），最终收敛损失亦最优（0.180）。</w:t>
      </w:r>
    </w:p>
    <w:p>
      <w:pPr>
        <w:spacing w:before="0" w:after="0" w:lineRule="auto" w:line="360"/>
        <w:ind w:firstLine="420"/>
        <w:jc w:val="both"/>
      </w:pPr>
      <w:r>
        <w:rPr>
          <w:rFonts w:ascii="Times New Roman" w:hAnsi="Times New Roman" w:eastAsia="宋体"/>
          <w:b w:val="0"/>
          <w:i w:val="0"/>
          <w:sz w:val="21"/>
        </w:rPr>
        <w:t>本研究揭示了模型架构选择对推荐系统鲁棒性的决定性影响：融合架构通过序列特征与静态特征的互补捕获，有效抵御了用户偏好突变带来的性能衰减。研究结果为实际推荐系统在不稳定用户行为下的架构设计提供了理论依据和实践参考。</w:t>
      </w:r>
    </w:p>
    <w:p>
      <w:pPr>
        <w:spacing w:before="120" w:after="0" w:lineRule="auto" w:line="360"/>
        <w:jc w:val="both"/>
      </w:pPr>
      <w:r>
        <w:rPr>
          <w:rFonts w:ascii="Times New Roman" w:hAnsi="Times New Roman" w:eastAsia="宋体"/>
          <w:b/>
          <w:i w:val="0"/>
          <w:sz w:val="21"/>
        </w:rPr>
        <w:t>关键词：</w:t>
      </w:r>
      <w:r>
        <w:rPr>
          <w:rFonts w:ascii="Times New Roman" w:hAnsi="Times New Roman" w:eastAsia="宋体"/>
          <w:b w:val="0"/>
          <w:i w:val="0"/>
          <w:sz w:val="21"/>
        </w:rPr>
        <w:t>推荐系统；分布偏移；鲁棒性；卷积序列模型；深度因子分解机；融合架构</w:t>
      </w:r>
    </w:p>
    <w:p>
      <w:r>
        <w:br w:type="page"/>
      </w:r>
    </w:p>
    <w:p>
      <w:pPr>
        <w:spacing w:before="240" w:after="120"/>
        <w:jc w:val="center"/>
      </w:pPr>
      <w:r>
        <w:rPr>
          <w:rFonts w:ascii="Times New Roman" w:hAnsi="Times New Roman" w:eastAsia="仿宋"/>
          <w:b w:val="0"/>
          <w:i w:val="0"/>
          <w:sz w:val="28"/>
        </w:rPr>
        <w:t>Abstract</w:t>
      </w:r>
    </w:p>
    <w:p>
      <w:pPr>
        <w:spacing w:before="0" w:after="0" w:lineRule="auto" w:line="360"/>
        <w:ind w:firstLine="0"/>
        <w:jc w:val="both"/>
      </w:pPr>
      <w:r>
        <w:rPr>
          <w:rFonts w:ascii="Times New Roman" w:hAnsi="Times New Roman" w:eastAsia="宋体"/>
          <w:b w:val="0"/>
          <w:i w:val="0"/>
          <w:sz w:val="21"/>
        </w:rPr>
        <w:t>Recommendation systems have become pivotal bridges between users and content in the era of information overload. In real-world deployments, however, user preferences are subject to abrupt short-term fluctuations, causing a significant discrepancy between the data distribution observed during training and that encountered during inference—a phenomenon known as distribution shift. Existing research predominantly optimizes predictive accuracy while paying insufficient attention to model robustness under such distributional changes.</w:t>
      </w:r>
    </w:p>
    <w:p>
      <w:pPr>
        <w:spacing w:before="0" w:after="0" w:lineRule="auto" w:line="360"/>
        <w:ind w:firstLine="0"/>
        <w:jc w:val="both"/>
      </w:pPr>
      <w:r>
        <w:rPr>
          <w:rFonts w:ascii="Times New Roman" w:hAnsi="Times New Roman" w:eastAsia="宋体"/>
          <w:b w:val="0"/>
          <w:i w:val="0"/>
          <w:sz w:val="21"/>
        </w:rPr>
        <w:t>This study employs the MovieLens 25M dataset to construct a preference-mutation simulation framework based on popular-item substitution. Three representative recommendation architectures are systematically compared across five shift intensities (ρ∈{0, 0.05, 0.1, 0.2, 0.3}): Caser (Convolutional Sequence Embedding), DeepFM (Deep Factorization Machine), and a Hybrid model that fuses the two. Ten random seeds (42–51) are used to ensure statistical reliability, and the evaluation protocol covers AUC, NDCG@10, NDCG@20, Hit@10, and Hit@20.</w:t>
      </w:r>
    </w:p>
    <w:p>
      <w:pPr>
        <w:spacing w:before="0" w:after="0" w:lineRule="auto" w:line="360"/>
        <w:ind w:firstLine="0"/>
        <w:jc w:val="both"/>
      </w:pPr>
      <w:r>
        <w:rPr>
          <w:rFonts w:ascii="Times New Roman" w:hAnsi="Times New Roman" w:eastAsia="宋体"/>
          <w:b w:val="0"/>
          <w:i w:val="0"/>
          <w:sz w:val="21"/>
        </w:rPr>
        <w:t>Results demonstrate that the Hybrid fusion model achieves the best robustness under distribution shift, with a 19.0% relative improvement in NDCG@10 at ρ=0.3 (Cohen's d=3.481, statistically significant after FDR correction). The DeepFM model exhibits stable performance with a 10.8% improvement, while the Caser sequential model proves most vulnerable, suffering a 1.8% decline. Training dynamics analysis reveals that the Hybrid model benefits from pre-trained weight initialization, achieving the lowest initial loss at Epoch 1 (0.207) and the best final convergence loss (0.180).</w:t>
      </w:r>
    </w:p>
    <w:p>
      <w:pPr>
        <w:spacing w:before="0" w:after="0" w:lineRule="auto" w:line="360"/>
        <w:ind w:firstLine="0"/>
        <w:jc w:val="both"/>
      </w:pPr>
      <w:r>
        <w:rPr>
          <w:rFonts w:ascii="Times New Roman" w:hAnsi="Times New Roman" w:eastAsia="宋体"/>
          <w:b w:val="0"/>
          <w:i w:val="0"/>
          <w:sz w:val="21"/>
        </w:rPr>
        <w:t>This study demonstrates the decisive impact of architecture choice on recommendation system robustness: the fusion architecture, through complementary capture of sequential and static features, effectively resists performance degradation caused by sudden preference shifts. These findings provide both theoretical foundations and practical guidelines for designing resilient recommendation systems in environments with unstable user behavior.</w:t>
      </w:r>
    </w:p>
    <w:p>
      <w:pPr>
        <w:spacing w:before="120" w:after="0" w:lineRule="auto" w:line="360"/>
        <w:jc w:val="both"/>
      </w:pPr>
      <w:r>
        <w:rPr>
          <w:rFonts w:ascii="Times New Roman" w:hAnsi="Times New Roman" w:eastAsia="宋体"/>
          <w:b/>
          <w:i w:val="0"/>
          <w:sz w:val="21"/>
        </w:rPr>
        <w:t xml:space="preserve">Keywords: </w:t>
      </w:r>
      <w:r>
        <w:rPr>
          <w:rFonts w:ascii="Times New Roman" w:hAnsi="Times New Roman" w:eastAsia="宋体"/>
          <w:b w:val="0"/>
          <w:i w:val="0"/>
          <w:sz w:val="21"/>
        </w:rPr>
        <w:t>Recommender System; Distribution Shift; Robustness; Convolutional Sequence Model; Deep Factorization Machine; Fusion Architecture</w:t>
      </w:r>
    </w:p>
    <w:p>
      <w:r>
        <w:br w:type="page"/>
      </w:r>
    </w:p>
    <w:p>
      <w:pPr>
        <w:spacing w:before="240" w:after="120"/>
        <w:jc w:val="center"/>
      </w:pPr>
      <w:r>
        <w:rPr>
          <w:rFonts w:ascii="Times New Roman" w:hAnsi="Times New Roman" w:eastAsia="仿宋"/>
          <w:b w:val="0"/>
          <w:i w:val="0"/>
          <w:sz w:val="28"/>
        </w:rPr>
        <w:t>引    言</w:t>
      </w:r>
    </w:p>
    <w:p>
      <w:pPr>
        <w:spacing w:before="0" w:after="0" w:lineRule="auto" w:line="360"/>
        <w:ind w:firstLine="480"/>
        <w:jc w:val="both"/>
      </w:pPr>
      <w:r>
        <w:rPr>
          <w:rFonts w:ascii="Times New Roman" w:hAnsi="Times New Roman" w:eastAsia="宋体"/>
          <w:b w:val="0"/>
          <w:i w:val="0"/>
          <w:sz w:val="24"/>
        </w:rPr>
        <w:t>随着互联网信息爆炸式增长，推荐系统已成为电子商务、流媒体平台和社交网络等领域不可或缺的核心技术。它通过分析用户历史行为、内容特征及上下文信息，自动筛选并呈现用户最可能感兴趣的内容，极大地提升了用户体验与平台商业价值。</w:t>
      </w:r>
    </w:p>
    <w:p>
      <w:pPr>
        <w:spacing w:before="0" w:after="0" w:lineRule="auto" w:line="360"/>
        <w:ind w:firstLine="480"/>
        <w:jc w:val="both"/>
      </w:pPr>
      <w:r>
        <w:rPr>
          <w:rFonts w:ascii="Times New Roman" w:hAnsi="Times New Roman" w:eastAsia="宋体"/>
          <w:b w:val="0"/>
          <w:i w:val="0"/>
          <w:sz w:val="24"/>
        </w:rPr>
        <w:t>然而，现实推荐场景远比实验室设定复杂得多。用户的兴趣偏好并非一成不变——节假日、热点事件、流行趋势乃至个人情绪都可能引发偏好的剧烈短期波动。当测试阶段的数据分布与训练阶段存在显著差异时，即发生分布偏移（Distribution Shift），模型性能往往出现不可预期的下降。这种脆弱性在安全敏感或用户体验要求严苛的场景中尤为致命。</w:t>
      </w:r>
    </w:p>
    <w:p>
      <w:pPr>
        <w:spacing w:before="0" w:after="0" w:lineRule="auto" w:line="360"/>
        <w:ind w:firstLine="480"/>
        <w:jc w:val="both"/>
      </w:pPr>
      <w:r>
        <w:rPr>
          <w:rFonts w:ascii="Times New Roman" w:hAnsi="Times New Roman" w:eastAsia="宋体"/>
          <w:b w:val="0"/>
          <w:i w:val="0"/>
          <w:sz w:val="24"/>
        </w:rPr>
        <w:t>现有推荐系统研究多以Accuracy@K、NDCG@K等静态排序指标为优化目标，鲜少系统探讨模型在分布偏移下的鲁棒性。部分工作虽引入了领域自适应（Domain Adaptation）或对抗训练等技术，但缺乏对不同架构范式——序列模型、特征交叉模型、融合模型——鲁棒性差异的横向对比研究。</w:t>
      </w:r>
    </w:p>
    <w:p>
      <w:pPr>
        <w:spacing w:before="0" w:after="0" w:lineRule="auto" w:line="360"/>
        <w:ind w:firstLine="480"/>
        <w:jc w:val="both"/>
      </w:pPr>
      <w:r>
        <w:rPr>
          <w:rFonts w:ascii="Times New Roman" w:hAnsi="Times New Roman" w:eastAsia="宋体"/>
          <w:b w:val="0"/>
          <w:i w:val="0"/>
          <w:sz w:val="24"/>
        </w:rPr>
        <w:t>本研究以MovieLens 25M数据集为实验平台，设计了一套基于流行项替换的偏好突变模拟框架，对Caser、DeepFM和Hybrid三类模型在五种偏移程度下的性能进行了系统评估，并结合Cohen's d效应量、Wilcoxon符号秩检验及FDR多重比较修正，对结果进行了严格的统计分析。</w:t>
      </w:r>
    </w:p>
    <w:p>
      <w:pPr>
        <w:spacing w:before="0" w:after="0" w:lineRule="auto" w:line="360"/>
        <w:ind w:firstLine="480"/>
        <w:jc w:val="both"/>
      </w:pPr>
      <w:r>
        <w:rPr>
          <w:rFonts w:ascii="Times New Roman" w:hAnsi="Times New Roman" w:eastAsia="宋体"/>
          <w:b w:val="0"/>
          <w:i w:val="0"/>
          <w:sz w:val="24"/>
        </w:rPr>
        <w:t>论文结构如下：第1章回顾相关工作与背景；第2章详述方法论，包括特征工程、模型架构和偏移模拟机制；第3章介绍实验设计与数据；第4章展示并分析实验结果；第5章进行综合讨论并提出结论与未来研究方向。</w:t>
      </w:r>
    </w:p>
    <w:p>
      <w:r>
        <w:br w:type="page"/>
      </w:r>
    </w:p>
    <w:p>
      <w:pPr>
        <w:spacing w:before="240" w:after="120"/>
        <w:jc w:val="center"/>
      </w:pPr>
      <w:r>
        <w:rPr>
          <w:rFonts w:ascii="Times New Roman" w:hAnsi="Times New Roman" w:eastAsia="仿宋"/>
          <w:b w:val="0"/>
          <w:i w:val="0"/>
          <w:sz w:val="28"/>
        </w:rPr>
        <w:t>第1章  相关工作与背景</w:t>
      </w:r>
    </w:p>
    <w:p>
      <w:pPr>
        <w:spacing w:before="120" w:after="60"/>
        <w:jc w:val="both"/>
      </w:pPr>
      <w:r>
        <w:rPr>
          <w:rFonts w:ascii="Arial" w:hAnsi="Arial" w:eastAsia="黑体"/>
          <w:b/>
          <w:i w:val="0"/>
          <w:sz w:val="24"/>
        </w:rPr>
        <w:t>1.1  推荐系统架构演进</w:t>
      </w:r>
    </w:p>
    <w:p>
      <w:pPr>
        <w:spacing w:before="0" w:after="0" w:lineRule="auto" w:line="360"/>
        <w:ind w:firstLine="480"/>
        <w:jc w:val="both"/>
      </w:pPr>
      <w:r>
        <w:rPr>
          <w:rFonts w:ascii="Times New Roman" w:hAnsi="Times New Roman" w:eastAsia="宋体"/>
          <w:b w:val="0"/>
          <w:i w:val="0"/>
          <w:sz w:val="24"/>
        </w:rPr>
        <w:t>推荐系统的发展历程可大致划分为三个阶段：基于内容的过滤（Content-Based Filtering, CBF）、协同过滤（Collaborative Filtering, CF）以及深度学习推荐模型（Deep Learning Recommendation Model, DLRM）。</w:t>
      </w:r>
    </w:p>
    <w:p>
      <w:pPr>
        <w:spacing w:before="0" w:after="0" w:lineRule="auto" w:line="360"/>
        <w:ind w:firstLine="480"/>
        <w:jc w:val="both"/>
      </w:pPr>
      <w:r>
        <w:rPr>
          <w:rFonts w:ascii="Times New Roman" w:hAnsi="Times New Roman" w:eastAsia="宋体"/>
          <w:b w:val="0"/>
          <w:i w:val="0"/>
          <w:sz w:val="24"/>
        </w:rPr>
        <w:t>早期协同过滤方法以矩阵分解（Matrix Factorization, MF）为代表，通过分解用户-物品交互矩阵来学习潜在特征表示，具有计算简洁、扩展性强的优点[1]。然而这类方法难以捕获非线性特征交互，在稀疏场景下泛化能力有限。</w:t>
      </w:r>
    </w:p>
    <w:p>
      <w:pPr>
        <w:spacing w:before="0" w:after="0" w:lineRule="auto" w:line="360"/>
        <w:ind w:firstLine="480"/>
        <w:jc w:val="both"/>
      </w:pPr>
      <w:r>
        <w:rPr>
          <w:rFonts w:ascii="Times New Roman" w:hAnsi="Times New Roman" w:eastAsia="宋体"/>
          <w:b w:val="0"/>
          <w:i w:val="0"/>
          <w:sz w:val="24"/>
        </w:rPr>
        <w:t>深度学习的引入带来了质的飞跃。神经协同过滤（NCF）用多层感知机替代了矩阵分解中的内积操作，获得了更强的表达能力[2]。Wide&amp;Deep模型通过结合记忆（线性）和泛化（深度）两种能力，首次在工业推荐系统中实现了大规模部署[3]。</w:t>
      </w:r>
    </w:p>
    <w:p>
      <w:pPr>
        <w:spacing w:before="0" w:after="0" w:lineRule="auto" w:line="360"/>
        <w:ind w:firstLine="480"/>
        <w:jc w:val="both"/>
      </w:pPr>
      <w:r>
        <w:rPr>
          <w:rFonts w:ascii="Times New Roman" w:hAnsi="Times New Roman" w:eastAsia="宋体"/>
          <w:b w:val="0"/>
          <w:i w:val="0"/>
          <w:sz w:val="24"/>
        </w:rPr>
        <w:t>DeepFM通过将FM层与Deep层并行，在无需特征工程的条件下自动捕获低阶和高阶特征交互，成为工业界最广泛使用的排序模型之一[4]。随后，基于注意力机制的DIN[5]、DIEN[6]进一步建模了用户的序列行为，在电商推荐场景中取得显著效果。</w:t>
      </w:r>
    </w:p>
    <w:p>
      <w:pPr>
        <w:spacing w:before="120" w:after="60"/>
        <w:jc w:val="both"/>
      </w:pPr>
      <w:r>
        <w:rPr>
          <w:rFonts w:ascii="Arial" w:hAnsi="Arial" w:eastAsia="黑体"/>
          <w:b/>
          <w:i w:val="0"/>
          <w:sz w:val="24"/>
        </w:rPr>
        <w:t>1.2  序列模型与特征交叉方法</w:t>
      </w:r>
    </w:p>
    <w:p>
      <w:pPr>
        <w:spacing w:before="0" w:after="0" w:lineRule="auto" w:line="360"/>
        <w:ind w:firstLine="480"/>
        <w:jc w:val="both"/>
      </w:pPr>
      <w:r>
        <w:rPr>
          <w:rFonts w:ascii="Times New Roman" w:hAnsi="Times New Roman" w:eastAsia="宋体"/>
          <w:b w:val="0"/>
          <w:i w:val="0"/>
          <w:sz w:val="24"/>
        </w:rPr>
        <w:t>序列推荐方法的核心假设是：用户的下一个行为受到其历史行为序列的影响，因此需要建模行为的时序依赖性。早期工作基于马尔科夫链（Markov Chain）假设[7]，后续研究逐渐引入循环神经网络（RNN/GRU4Rec）[8]和卷积神经网络。</w:t>
      </w:r>
    </w:p>
    <w:p>
      <w:pPr>
        <w:spacing w:before="0" w:after="0" w:lineRule="auto" w:line="360"/>
        <w:ind w:firstLine="480"/>
        <w:jc w:val="both"/>
      </w:pPr>
      <w:r>
        <w:rPr>
          <w:rFonts w:ascii="Times New Roman" w:hAnsi="Times New Roman" w:eastAsia="宋体"/>
          <w:b w:val="0"/>
          <w:i w:val="0"/>
          <w:sz w:val="24"/>
        </w:rPr>
        <w:t>Caser（Convolutional Sequence Embedding Recommendation Model）通过水平和垂直卷积操作分别捕获联合模式和单独模式，将序列推荐问题转化为图像识别类问题，在多个基准数据集上超越了RNN-based方法[9]。其核心优势在于并行计算效率和对局部序列模式的精确捕获。</w:t>
      </w:r>
    </w:p>
    <w:p>
      <w:pPr>
        <w:spacing w:before="0" w:after="0" w:lineRule="auto" w:line="360"/>
        <w:ind w:firstLine="480"/>
        <w:jc w:val="both"/>
      </w:pPr>
      <w:r>
        <w:rPr>
          <w:rFonts w:ascii="Times New Roman" w:hAnsi="Times New Roman" w:eastAsia="宋体"/>
          <w:b w:val="0"/>
          <w:i w:val="0"/>
          <w:sz w:val="24"/>
        </w:rPr>
        <w:t>特征交叉方法以因子分解机（FM）[10]为基础，通过隐向量内积自动建模二阶特征交互，避免了组合爆炸问题。DeepFM在FM之上叠加深层神经网络，同时建模低阶和高阶交叉，是目前点击率预测（CTR Prediction）领域的重要基线模型[4]。</w:t>
      </w:r>
    </w:p>
    <w:p>
      <w:pPr>
        <w:spacing w:before="120" w:after="60"/>
        <w:jc w:val="both"/>
      </w:pPr>
      <w:r>
        <w:rPr>
          <w:rFonts w:ascii="Arial" w:hAnsi="Arial" w:eastAsia="黑体"/>
          <w:b/>
          <w:i w:val="0"/>
          <w:sz w:val="24"/>
        </w:rPr>
        <w:t>1.3  分布偏移问题</w:t>
      </w:r>
    </w:p>
    <w:p>
      <w:pPr>
        <w:spacing w:before="0" w:after="0" w:lineRule="auto" w:line="360"/>
        <w:ind w:firstLine="480"/>
        <w:jc w:val="both"/>
      </w:pPr>
      <w:r>
        <w:rPr>
          <w:rFonts w:ascii="Times New Roman" w:hAnsi="Times New Roman" w:eastAsia="宋体"/>
          <w:b w:val="0"/>
          <w:i w:val="0"/>
          <w:sz w:val="24"/>
        </w:rPr>
        <w:t>分布偏移（Distribution Shift）是指机器学习模型在部署阶段遇到的数据分布与训练阶段不同的现象。在推荐系统领域，分布偏移主要体现为：（1）概念漂移（Concept Drift），即用户偏好随时间演化；（2）选择偏差（Selection Bias），即展示偏差导致训练数据不能代表真实兴趣分布；（3）曝光偏差（Exposure Bias），即用户只能对曾被推荐的物品反馈，未曝光物品信息缺失[11]。</w:t>
      </w:r>
    </w:p>
    <w:p>
      <w:pPr>
        <w:spacing w:before="0" w:after="0" w:lineRule="auto" w:line="360"/>
        <w:ind w:firstLine="480"/>
        <w:jc w:val="both"/>
      </w:pPr>
      <w:r>
        <w:rPr>
          <w:rFonts w:ascii="Times New Roman" w:hAnsi="Times New Roman" w:eastAsia="宋体"/>
          <w:b w:val="0"/>
          <w:i w:val="0"/>
          <w:sz w:val="24"/>
        </w:rPr>
        <w:t>偏好突变（Preference Mutation）是分布偏移的极端形式，指用户在短时间内从偏好小众物品转向主流流行物品，或反之。这种突变可能由病毒式传播、节日效应或个人生命事件触发，对依赖历史行为模式的序列模型构成严峻挑战[12]。</w:t>
      </w:r>
    </w:p>
    <w:p>
      <w:pPr>
        <w:spacing w:before="120" w:after="60"/>
        <w:jc w:val="both"/>
      </w:pPr>
      <w:r>
        <w:rPr>
          <w:rFonts w:ascii="Arial" w:hAnsi="Arial" w:eastAsia="黑体"/>
          <w:b/>
          <w:i w:val="0"/>
          <w:sz w:val="24"/>
        </w:rPr>
        <w:t>1.4  现有鲁棒性研究</w:t>
      </w:r>
    </w:p>
    <w:p>
      <w:pPr>
        <w:spacing w:before="0" w:after="0" w:lineRule="auto" w:line="360"/>
        <w:ind w:firstLine="480"/>
        <w:jc w:val="both"/>
      </w:pPr>
      <w:r>
        <w:rPr>
          <w:rFonts w:ascii="Times New Roman" w:hAnsi="Times New Roman" w:eastAsia="宋体"/>
          <w:b w:val="0"/>
          <w:i w:val="0"/>
          <w:sz w:val="24"/>
        </w:rPr>
        <w:t>面向推荐系统鲁棒性的研究主要集中在以下几个方向：（1）对抗训练（Adversarial Training），通过在训练中加入扰动样本提升模型抗干扰能力[13]；（2）去偏学习（Debiased Learning），通过逆倾向加权（IPS）或双重稳健估计修正选择偏差[11]；（3）迁移学习与领域自适应，利用源域知识辅助目标域泛化[14]。</w:t>
      </w:r>
    </w:p>
    <w:p>
      <w:pPr>
        <w:spacing w:before="0" w:after="0" w:lineRule="auto" w:line="360"/>
        <w:ind w:firstLine="480"/>
        <w:jc w:val="both"/>
      </w:pPr>
      <w:r>
        <w:rPr>
          <w:rFonts w:ascii="Times New Roman" w:hAnsi="Times New Roman" w:eastAsia="宋体"/>
          <w:b w:val="0"/>
          <w:i w:val="0"/>
          <w:sz w:val="24"/>
        </w:rPr>
        <w:t>然而，上述研究大多针对特定偏差类型设计专用解决方案，缺乏在统一框架下对不同架构范式鲁棒性的系统比较。本研究填补了这一空白，通过受控实验量化了序列模型、特征交叉模型和融合模型在人工构造偏好突变下的性能差异。</w:t>
      </w:r>
    </w:p>
    <w:p>
      <w:r>
        <w:br w:type="page"/>
      </w:r>
    </w:p>
    <w:p>
      <w:pPr>
        <w:spacing w:before="240" w:after="120"/>
        <w:jc w:val="center"/>
      </w:pPr>
      <w:r>
        <w:rPr>
          <w:rFonts w:ascii="Times New Roman" w:hAnsi="Times New Roman" w:eastAsia="仿宋"/>
          <w:b w:val="0"/>
          <w:i w:val="0"/>
          <w:sz w:val="28"/>
        </w:rPr>
        <w:t>第2章  方法论</w:t>
      </w:r>
    </w:p>
    <w:p>
      <w:pPr>
        <w:spacing w:before="120" w:after="60"/>
        <w:jc w:val="both"/>
      </w:pPr>
      <w:r>
        <w:rPr>
          <w:rFonts w:ascii="Arial" w:hAnsi="Arial" w:eastAsia="黑体"/>
          <w:b/>
          <w:i w:val="0"/>
          <w:sz w:val="24"/>
        </w:rPr>
        <w:t>2.1  特征工程与表示学习</w:t>
      </w:r>
    </w:p>
    <w:p>
      <w:pPr>
        <w:spacing w:before="80" w:after="40"/>
        <w:ind w:firstLine="480"/>
        <w:jc w:val="both"/>
      </w:pPr>
      <w:r>
        <w:rPr>
          <w:rFonts w:ascii="Times New Roman" w:hAnsi="Times New Roman" w:eastAsia="宋体"/>
          <w:b/>
          <w:i w:val="0"/>
          <w:sz w:val="24"/>
        </w:rPr>
        <w:t>2.1.1  文本特征提取</w:t>
      </w:r>
    </w:p>
    <w:p>
      <w:pPr>
        <w:spacing w:before="0" w:after="0" w:lineRule="auto" w:line="360"/>
        <w:ind w:firstLine="480"/>
        <w:jc w:val="both"/>
      </w:pPr>
      <w:r>
        <w:rPr>
          <w:rFonts w:ascii="Times New Roman" w:hAnsi="Times New Roman" w:eastAsia="宋体"/>
          <w:b w:val="0"/>
          <w:i w:val="0"/>
          <w:sz w:val="24"/>
        </w:rPr>
        <w:t>电影元数据（标题、类型标签）采用两种互补的文本表示方法：Word2Vec词向量模型通过Skip-gram架构在电影标题语料上训练100维稠密向量，捕获语义相似性；TF-IDF加权稀疏向量通过词频-逆文档频率统计建模局部判别特征。两种表示经过L2归一化后拼接，形成综合语义向量。</w:t>
      </w:r>
    </w:p>
    <w:p>
      <w:pPr>
        <w:spacing w:before="80" w:after="40"/>
        <w:ind w:firstLine="480"/>
        <w:jc w:val="both"/>
      </w:pPr>
      <w:r>
        <w:rPr>
          <w:rFonts w:ascii="Times New Roman" w:hAnsi="Times New Roman" w:eastAsia="宋体"/>
          <w:b/>
          <w:i w:val="0"/>
          <w:sz w:val="24"/>
        </w:rPr>
        <w:t>2.1.2  降维与用户画像</w:t>
      </w:r>
    </w:p>
    <w:p>
      <w:pPr>
        <w:spacing w:before="0" w:after="0" w:lineRule="auto" w:line="360"/>
        <w:ind w:firstLine="480"/>
        <w:jc w:val="both"/>
      </w:pPr>
      <w:r>
        <w:rPr>
          <w:rFonts w:ascii="Times New Roman" w:hAnsi="Times New Roman" w:eastAsia="宋体"/>
          <w:b w:val="0"/>
          <w:i w:val="0"/>
          <w:sz w:val="24"/>
        </w:rPr>
        <w:t>SVD奇异值分解将高维稀疏用户-电影交互矩阵压缩至50维潜在因子空间，有效缓解了维度灾难问题。在此基础上，对各用户的历史物品向量加权平均（权重为评分归一化值），构造PCA用户画像，最终将用户偏好表示为64维紧凑向量。</w:t>
      </w:r>
    </w:p>
    <w:p>
      <w:pPr>
        <w:spacing w:before="120" w:after="60"/>
        <w:jc w:val="both"/>
      </w:pPr>
      <w:r>
        <w:rPr>
          <w:rFonts w:ascii="Arial" w:hAnsi="Arial" w:eastAsia="黑体"/>
          <w:b/>
          <w:i w:val="0"/>
          <w:sz w:val="24"/>
        </w:rPr>
        <w:t>2.2  候选模型架构</w:t>
      </w:r>
    </w:p>
    <w:p>
      <w:pPr>
        <w:spacing w:before="80" w:after="40"/>
        <w:ind w:firstLine="480"/>
        <w:jc w:val="both"/>
      </w:pPr>
      <w:r>
        <w:rPr>
          <w:rFonts w:ascii="Times New Roman" w:hAnsi="Times New Roman" w:eastAsia="宋体"/>
          <w:b/>
          <w:i w:val="0"/>
          <w:sz w:val="24"/>
        </w:rPr>
        <w:t>2.2.1  Caser：卷积序列嵌入模型</w:t>
      </w:r>
    </w:p>
    <w:p>
      <w:pPr>
        <w:spacing w:before="0" w:after="0" w:lineRule="auto" w:line="360"/>
        <w:ind w:firstLine="480"/>
        <w:jc w:val="both"/>
      </w:pPr>
      <w:r>
        <w:rPr>
          <w:rFonts w:ascii="Times New Roman" w:hAnsi="Times New Roman" w:eastAsia="宋体"/>
          <w:b w:val="0"/>
          <w:i w:val="0"/>
          <w:sz w:val="24"/>
        </w:rPr>
        <w:t>Caser将用户最近L=10条交互历史嵌入为矩阵E∈R^{L×d}（d=64），通过两组卷积核并行处理：水平卷积核{h×d | h=1,2,…,L}捕获连续L步内的联合模式，纵向卷积核{L×1}捕获所有物品在某维度的全局偏好。双路特征经最大池化和全连接层汇聚后，通过Hadamard积与目标物品嵌入融合，输出相关性得分。</w:t>
      </w:r>
    </w:p>
    <w:p>
      <w:pPr>
        <w:spacing w:before="80" w:after="40"/>
        <w:ind w:firstLine="480"/>
        <w:jc w:val="both"/>
      </w:pPr>
      <w:r>
        <w:rPr>
          <w:rFonts w:ascii="Times New Roman" w:hAnsi="Times New Roman" w:eastAsia="宋体"/>
          <w:b/>
          <w:i w:val="0"/>
          <w:sz w:val="24"/>
        </w:rPr>
        <w:t>2.2.2  DeepFM：深度因子分解机</w:t>
      </w:r>
    </w:p>
    <w:p>
      <w:pPr>
        <w:spacing w:before="0" w:after="0" w:lineRule="auto" w:line="360"/>
        <w:ind w:firstLine="480"/>
        <w:jc w:val="both"/>
      </w:pPr>
      <w:r>
        <w:rPr>
          <w:rFonts w:ascii="Times New Roman" w:hAnsi="Times New Roman" w:eastAsia="宋体"/>
          <w:b w:val="0"/>
          <w:i w:val="0"/>
          <w:sz w:val="24"/>
        </w:rPr>
        <w:t>DeepFM由FM层和DNN层并行组成。FM层计算所有特征对的二阶交互：</w:t>
      </w:r>
    </w:p>
    <w:p>
      <w:pPr>
        <w:spacing w:before="0" w:after="0" w:lineRule="auto" w:line="360"/>
        <w:ind w:firstLine="480"/>
        <w:jc w:val="both"/>
      </w:pPr>
      <w:r>
        <w:rPr>
          <w:rFonts w:ascii="Times New Roman" w:hAnsi="Times New Roman" w:eastAsia="宋体"/>
          <w:b w:val="0"/>
          <w:i w:val="0"/>
          <w:sz w:val="24"/>
        </w:rPr>
        <w:t xml:space="preserve">                y_FM = &lt;w, x&gt; + Σ_{i&lt;j} &lt;v_i, v_j&gt; x_i x_j</w:t>
      </w:r>
    </w:p>
    <w:p>
      <w:pPr>
        <w:spacing w:before="0" w:after="0" w:lineRule="auto" w:line="360"/>
        <w:ind w:firstLine="480"/>
        <w:jc w:val="both"/>
      </w:pPr>
      <w:r>
        <w:rPr>
          <w:rFonts w:ascii="Times New Roman" w:hAnsi="Times New Roman" w:eastAsia="宋体"/>
          <w:b w:val="0"/>
          <w:i w:val="0"/>
          <w:sz w:val="24"/>
        </w:rPr>
        <w:t>其中v_i为第i个特征的k维嵌入向量。DNN层对同一嵌入表示进行多层非线性变换，捕获高阶交互。两路输出直接求和得到最终预测得分，无需手动特征工程[4]。</w:t>
      </w:r>
    </w:p>
    <w:p>
      <w:pPr>
        <w:spacing w:before="80" w:after="40"/>
        <w:ind w:firstLine="480"/>
        <w:jc w:val="both"/>
      </w:pPr>
      <w:r>
        <w:rPr>
          <w:rFonts w:ascii="Times New Roman" w:hAnsi="Times New Roman" w:eastAsia="宋体"/>
          <w:b/>
          <w:i w:val="0"/>
          <w:sz w:val="24"/>
        </w:rPr>
        <w:t>2.2.3  Hybrid：融合架构设计</w:t>
      </w:r>
    </w:p>
    <w:p>
      <w:pPr>
        <w:spacing w:before="0" w:after="0" w:lineRule="auto" w:line="360"/>
        <w:ind w:firstLine="480"/>
        <w:jc w:val="both"/>
      </w:pPr>
      <w:r>
        <w:rPr>
          <w:rFonts w:ascii="Times New Roman" w:hAnsi="Times New Roman" w:eastAsia="宋体"/>
          <w:b w:val="0"/>
          <w:i w:val="0"/>
          <w:sz w:val="24"/>
        </w:rPr>
        <w:t>Hybrid模型以知识蒸馏思想为基础，先分别预训练Caser和DeepFM，再以Caser的序列表示向量和DeepFM的FM嵌入作为双路输入，通过门控注意力（Gated Attention）机制动态权衡两路特征：</w:t>
      </w:r>
    </w:p>
    <w:p>
      <w:pPr>
        <w:spacing w:before="0" w:after="0" w:lineRule="auto" w:line="360"/>
        <w:ind w:firstLine="480"/>
        <w:jc w:val="both"/>
      </w:pPr>
      <w:r>
        <w:rPr>
          <w:rFonts w:ascii="Times New Roman" w:hAnsi="Times New Roman" w:eastAsia="宋体"/>
          <w:b w:val="0"/>
          <w:i w:val="0"/>
          <w:sz w:val="24"/>
        </w:rPr>
        <w:t xml:space="preserve">                α_seq, α_fm = softmax(W_g [h_seq; h_fm])</w:t>
      </w:r>
    </w:p>
    <w:p>
      <w:pPr>
        <w:spacing w:before="0" w:after="0" w:lineRule="auto" w:line="360"/>
        <w:ind w:firstLine="480"/>
        <w:jc w:val="both"/>
      </w:pPr>
      <w:r>
        <w:rPr>
          <w:rFonts w:ascii="Times New Roman" w:hAnsi="Times New Roman" w:eastAsia="宋体"/>
          <w:b w:val="0"/>
          <w:i w:val="0"/>
          <w:sz w:val="24"/>
        </w:rPr>
        <w:t xml:space="preserve">                h_fused = α_seq · h_seq + α_fm · h_fm</w:t>
      </w:r>
    </w:p>
    <w:p>
      <w:pPr>
        <w:spacing w:before="0" w:after="0" w:lineRule="auto" w:line="360"/>
        <w:ind w:firstLine="480"/>
        <w:jc w:val="both"/>
      </w:pPr>
      <w:r>
        <w:rPr>
          <w:rFonts w:ascii="Times New Roman" w:hAnsi="Times New Roman" w:eastAsia="宋体"/>
          <w:b w:val="0"/>
          <w:i w:val="0"/>
          <w:sz w:val="24"/>
        </w:rPr>
        <w:t>门控机制使模型能够在用户偏好稳定时倚重序列特征，在偏好突变时转向更鲁棒的FM静态特征，从而在分布偏移下保持良好性能。</w:t>
      </w:r>
    </w:p>
    <w:p>
      <w:pPr>
        <w:spacing w:before="120" w:after="60"/>
        <w:jc w:val="both"/>
      </w:pPr>
      <w:r>
        <w:rPr>
          <w:rFonts w:ascii="Arial" w:hAnsi="Arial" w:eastAsia="黑体"/>
          <w:b/>
          <w:i w:val="0"/>
          <w:sz w:val="24"/>
        </w:rPr>
        <w:t>2.3  偏好突变模拟</w:t>
      </w:r>
    </w:p>
    <w:p>
      <w:pPr>
        <w:spacing w:before="0" w:after="0" w:lineRule="auto" w:line="360"/>
        <w:ind w:firstLine="480"/>
        <w:jc w:val="both"/>
      </w:pPr>
      <w:r>
        <w:rPr>
          <w:rFonts w:ascii="Times New Roman" w:hAnsi="Times New Roman" w:eastAsia="宋体"/>
          <w:b w:val="0"/>
          <w:i w:val="0"/>
          <w:sz w:val="24"/>
        </w:rPr>
        <w:t>偏移比例ρ∈{0, 0.05, 0.1, 0.2, 0.3}定义了测试集中被"污染"的用户比例。对于比例ρ的用户，将其近期交互历史中的物品替换为随机抽取的全局流行项（按评分次数降序排列的前1%物品），以模拟用户偏好向主流趋势的突变。</w:t>
      </w:r>
    </w:p>
    <w:p>
      <w:pPr>
        <w:spacing w:before="0" w:after="0" w:lineRule="auto" w:line="360"/>
        <w:ind w:firstLine="480"/>
        <w:jc w:val="both"/>
      </w:pPr>
      <w:r>
        <w:rPr>
          <w:rFonts w:ascii="Times New Roman" w:hAnsi="Times New Roman" w:eastAsia="宋体"/>
          <w:b w:val="0"/>
          <w:i w:val="0"/>
          <w:sz w:val="24"/>
        </w:rPr>
        <w:t>该策略有意保持用户ID和其余特征不变，使模型难以通过用户身份识别偏移，从而真实测试模型对分布变化的本质适应能力，而非对用户先验知识的记忆。</w:t>
      </w:r>
    </w:p>
    <w:p>
      <w:r>
        <w:br w:type="page"/>
      </w:r>
    </w:p>
    <w:p>
      <w:pPr>
        <w:spacing w:before="240" w:after="120"/>
        <w:jc w:val="center"/>
      </w:pPr>
      <w:r>
        <w:rPr>
          <w:rFonts w:ascii="Times New Roman" w:hAnsi="Times New Roman" w:eastAsia="仿宋"/>
          <w:b w:val="0"/>
          <w:i w:val="0"/>
          <w:sz w:val="28"/>
        </w:rPr>
        <w:t>第3章  实验设计与数据</w:t>
      </w:r>
    </w:p>
    <w:p>
      <w:pPr>
        <w:spacing w:before="120" w:after="60"/>
        <w:jc w:val="both"/>
      </w:pPr>
      <w:r>
        <w:rPr>
          <w:rFonts w:ascii="Arial" w:hAnsi="Arial" w:eastAsia="黑体"/>
          <w:b/>
          <w:i w:val="0"/>
          <w:sz w:val="24"/>
        </w:rPr>
        <w:t>3.1  数据集说明</w:t>
      </w:r>
    </w:p>
    <w:p>
      <w:pPr>
        <w:spacing w:before="0" w:after="0" w:lineRule="auto" w:line="360"/>
        <w:ind w:firstLine="480"/>
        <w:jc w:val="both"/>
      </w:pPr>
      <w:r>
        <w:rPr>
          <w:rFonts w:ascii="Times New Roman" w:hAnsi="Times New Roman" w:eastAsia="宋体"/>
          <w:b w:val="0"/>
          <w:i w:val="0"/>
          <w:sz w:val="24"/>
        </w:rPr>
        <w:t>MovieLens 25M数据集包含约25,000,095条评分记录，涵盖162,541名用户对62,423部电影的行为数据，时间跨度为1995年至2019年。每条记录包含用户ID、电影ID、评分（0.5—5.0，步长0.5）和时间戳。电影元数据包含类型标签（如Action、Drama等20个类别）和IMDB链接。</w:t>
      </w:r>
    </w:p>
    <w:tbl>
      <w:tblPr>
        <w:tblStyle w:val="TableGrid"/>
        <w:tblW w:type="auto" w:w="0"/>
        <w:jc w:val="center"/>
        <w:tblLook w:firstColumn="1" w:firstRow="1" w:lastColumn="0" w:lastRow="0" w:noHBand="0" w:noVBand="1" w:val="04A0"/>
      </w:tblPr>
      <w:tblGrid>
        <w:gridCol w:w="4844"/>
        <w:gridCol w:w="4844"/>
      </w:tblGrid>
      <w:tr>
        <w:tc>
          <w:tcPr>
            <w:tcW w:type="dxa" w:w="4844"/>
            <w:tcBorders>
              <w:top w:val="single" w:sz="8" w:space="0" w:color="000000"/>
              <w:bottom w:val="single" w:sz="4" w:space="0" w:color="000000"/>
              <w:left w:val="nil" w:sz="4" w:space="0" w:color="000000"/>
              <w:right w:val="nil" w:sz="4" w:space="0" w:color="000000"/>
            </w:tcBorders>
          </w:tcPr>
          <w:p>
            <w:pPr>
              <w:jc w:val="center"/>
            </w:pPr>
            <w:r/>
            <w:r>
              <w:rPr>
                <w:rFonts w:ascii="Times New Roman" w:hAnsi="Times New Roman" w:eastAsia="宋体"/>
                <w:b/>
                <w:i w:val="0"/>
                <w:sz w:val="21"/>
              </w:rPr>
              <w:t>统计项</w:t>
            </w:r>
          </w:p>
        </w:tc>
        <w:tc>
          <w:tcPr>
            <w:tcW w:type="dxa" w:w="4844"/>
            <w:tcBorders>
              <w:top w:val="single" w:sz="8" w:space="0" w:color="000000"/>
              <w:bottom w:val="single" w:sz="4" w:space="0" w:color="000000"/>
              <w:left w:val="nil" w:sz="4" w:space="0" w:color="000000"/>
              <w:right w:val="nil" w:sz="4" w:space="0" w:color="000000"/>
            </w:tcBorders>
          </w:tcPr>
          <w:p>
            <w:pPr>
              <w:jc w:val="center"/>
            </w:pPr>
            <w:r/>
            <w:r>
              <w:rPr>
                <w:rFonts w:ascii="Times New Roman" w:hAnsi="Times New Roman" w:eastAsia="宋体"/>
                <w:b/>
                <w:i w:val="0"/>
                <w:sz w:val="21"/>
              </w:rPr>
              <w:t>数值</w:t>
            </w:r>
          </w:p>
        </w:tc>
      </w:tr>
      <w:tr>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总评分数</w:t>
            </w:r>
          </w:p>
        </w:tc>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25,000,095</w:t>
            </w:r>
          </w:p>
        </w:tc>
      </w:tr>
      <w:tr>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用户数</w:t>
            </w:r>
          </w:p>
        </w:tc>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162,541</w:t>
            </w:r>
          </w:p>
        </w:tc>
      </w:tr>
      <w:tr>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电影数</w:t>
            </w:r>
          </w:p>
        </w:tc>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62,423</w:t>
            </w:r>
          </w:p>
        </w:tc>
      </w:tr>
      <w:tr>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平均每用户评分数</w:t>
            </w:r>
          </w:p>
        </w:tc>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153.7</w:t>
            </w:r>
          </w:p>
        </w:tc>
      </w:tr>
      <w:tr>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平均每电影评分数</w:t>
            </w:r>
          </w:p>
        </w:tc>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400.5</w:t>
            </w:r>
          </w:p>
        </w:tc>
      </w:tr>
      <w:tr>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数据时间跨度</w:t>
            </w:r>
          </w:p>
        </w:tc>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1995—2019</w:t>
            </w:r>
          </w:p>
        </w:tc>
      </w:tr>
      <w:tr>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评分尺度</w:t>
            </w:r>
          </w:p>
        </w:tc>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0.5—5.0（步长0.5）</w:t>
            </w:r>
          </w:p>
        </w:tc>
      </w:tr>
      <w:tr>
        <w:tc>
          <w:tcPr>
            <w:tcW w:type="dxa" w:w="4844"/>
            <w:tcBorders>
              <w:top w:val="nil" w:sz="4" w:space="0" w:color="000000"/>
              <w:bottom w:val="single" w:sz="8" w:space="0" w:color="000000"/>
              <w:left w:val="nil" w:sz="4" w:space="0" w:color="000000"/>
              <w:right w:val="nil" w:sz="4" w:space="0" w:color="000000"/>
            </w:tcBorders>
          </w:tcPr>
          <w:p>
            <w:pPr>
              <w:jc w:val="center"/>
            </w:pPr>
            <w:r/>
            <w:r>
              <w:rPr>
                <w:rFonts w:ascii="Times New Roman" w:hAnsi="Times New Roman" w:eastAsia="宋体"/>
                <w:b w:val="0"/>
                <w:i w:val="0"/>
                <w:sz w:val="21"/>
              </w:rPr>
              <w:t>训练/验证/测试比例</w:t>
            </w:r>
          </w:p>
        </w:tc>
        <w:tc>
          <w:tcPr>
            <w:tcW w:type="dxa" w:w="4844"/>
            <w:tcBorders>
              <w:top w:val="nil" w:sz="4" w:space="0" w:color="000000"/>
              <w:bottom w:val="single" w:sz="8" w:space="0" w:color="000000"/>
              <w:left w:val="nil" w:sz="4" w:space="0" w:color="000000"/>
              <w:right w:val="nil" w:sz="4" w:space="0" w:color="000000"/>
            </w:tcBorders>
          </w:tcPr>
          <w:p>
            <w:pPr>
              <w:jc w:val="center"/>
            </w:pPr>
            <w:r/>
            <w:r>
              <w:rPr>
                <w:rFonts w:ascii="Times New Roman" w:hAnsi="Times New Roman" w:eastAsia="宋体"/>
                <w:b w:val="0"/>
                <w:i w:val="0"/>
                <w:sz w:val="21"/>
              </w:rPr>
              <w:t>70% / 15% / 15%</w:t>
            </w:r>
          </w:p>
        </w:tc>
      </w:tr>
    </w:tbl>
    <w:p>
      <w:pPr>
        <w:spacing w:before="60" w:after="120"/>
        <w:jc w:val="center"/>
      </w:pPr>
      <w:r>
        <w:rPr>
          <w:rFonts w:ascii="Times New Roman" w:hAnsi="Times New Roman" w:eastAsia="宋体"/>
          <w:b w:val="0"/>
          <w:i w:val="0"/>
          <w:sz w:val="21"/>
        </w:rPr>
        <w:t>表2  MovieLens 25M数据集统计信息</w:t>
      </w:r>
    </w:p>
    <w:p>
      <w:pPr>
        <w:spacing w:before="120" w:after="60"/>
        <w:jc w:val="both"/>
      </w:pPr>
      <w:r>
        <w:rPr>
          <w:rFonts w:ascii="Arial" w:hAnsi="Arial" w:eastAsia="黑体"/>
          <w:b/>
          <w:i w:val="0"/>
          <w:sz w:val="24"/>
        </w:rPr>
        <w:t>3.2  实验配置</w:t>
      </w:r>
    </w:p>
    <w:p>
      <w:pPr>
        <w:spacing w:before="80" w:after="40"/>
        <w:ind w:firstLine="480"/>
        <w:jc w:val="both"/>
      </w:pPr>
      <w:r>
        <w:rPr>
          <w:rFonts w:ascii="Times New Roman" w:hAnsi="Times New Roman" w:eastAsia="宋体"/>
          <w:b/>
          <w:i w:val="0"/>
          <w:sz w:val="24"/>
        </w:rPr>
        <w:t>3.2.1  训练策略</w:t>
      </w:r>
    </w:p>
    <w:p>
      <w:pPr>
        <w:spacing w:before="0" w:after="0" w:lineRule="auto" w:line="360"/>
        <w:ind w:firstLine="480"/>
        <w:jc w:val="both"/>
      </w:pPr>
      <w:r>
        <w:rPr>
          <w:rFonts w:ascii="Times New Roman" w:hAnsi="Times New Roman" w:eastAsia="宋体"/>
          <w:b w:val="0"/>
          <w:i w:val="0"/>
          <w:sz w:val="24"/>
        </w:rPr>
        <w:t>采用三阶段训练流程：（1）特征预训练阶段，分别在完整数据集上训练Word2Vec（窗口=5，维度=100）和SVD（50维）；（2）模型独立训练阶段，以Adam优化器（lr=1e-3，β₁=0.9，β₂=0.999）分别训练Caser和DeepFM，批量大小256，训练3个Epoch；（3）Hybrid融合训练阶段，加载预训练权重后以较小学习率（lr=5e-4）微调融合层，总训练3个Epoch。</w:t>
      </w:r>
    </w:p>
    <w:p>
      <w:pPr>
        <w:spacing w:before="80" w:after="40"/>
        <w:ind w:firstLine="480"/>
        <w:jc w:val="both"/>
      </w:pPr>
      <w:r>
        <w:rPr>
          <w:rFonts w:ascii="Times New Roman" w:hAnsi="Times New Roman" w:eastAsia="宋体"/>
          <w:b/>
          <w:i w:val="0"/>
          <w:sz w:val="24"/>
        </w:rPr>
        <w:t>3.2.2  超参调优</w:t>
      </w:r>
    </w:p>
    <w:p>
      <w:pPr>
        <w:spacing w:before="0" w:after="0" w:lineRule="auto" w:line="360"/>
        <w:ind w:firstLine="480"/>
        <w:jc w:val="both"/>
      </w:pPr>
      <w:r>
        <w:rPr>
          <w:rFonts w:ascii="Times New Roman" w:hAnsi="Times New Roman" w:eastAsia="宋体"/>
          <w:b w:val="0"/>
          <w:i w:val="0"/>
          <w:sz w:val="24"/>
        </w:rPr>
        <w:t>采用BOHB（Bayesian Optimization with Hyperband）算法对各模型关键超参进行自动调优，搜索空间包括：嵌入维度d∈{32, 64, 128}，dropout率∈[0.1, 0.5]，DNN层数∈{2, 3, 4}，DNN隐层宽度∈{128, 256, 512}。每组配置在种子42上运行快速评估（1 Epoch），取验证集NDCG@10最高的配置作为最终超参。</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Borders>
              <w:top w:val="single" w:sz="8" w:space="0" w:color="000000"/>
              <w:bottom w:val="single" w:sz="4" w:space="0" w:color="000000"/>
              <w:left w:val="nil" w:sz="4" w:space="0" w:color="000000"/>
              <w:right w:val="nil" w:sz="4" w:space="0" w:color="000000"/>
            </w:tcBorders>
          </w:tcPr>
          <w:p>
            <w:pPr>
              <w:jc w:val="center"/>
            </w:pPr>
            <w:r/>
            <w:r>
              <w:rPr>
                <w:rFonts w:ascii="Times New Roman" w:hAnsi="Times New Roman" w:eastAsia="宋体"/>
                <w:b/>
                <w:i w:val="0"/>
                <w:sz w:val="21"/>
              </w:rPr>
              <w:t>超参数</w:t>
            </w:r>
          </w:p>
        </w:tc>
        <w:tc>
          <w:tcPr>
            <w:tcW w:type="dxa" w:w="2422"/>
            <w:tcBorders>
              <w:top w:val="single" w:sz="8" w:space="0" w:color="000000"/>
              <w:bottom w:val="single" w:sz="4" w:space="0" w:color="000000"/>
              <w:left w:val="nil" w:sz="4" w:space="0" w:color="000000"/>
              <w:right w:val="nil" w:sz="4" w:space="0" w:color="000000"/>
            </w:tcBorders>
          </w:tcPr>
          <w:p>
            <w:pPr>
              <w:jc w:val="center"/>
            </w:pPr>
            <w:r/>
            <w:r>
              <w:rPr>
                <w:rFonts w:ascii="Times New Roman" w:hAnsi="Times New Roman" w:eastAsia="宋体"/>
                <w:b/>
                <w:i w:val="0"/>
                <w:sz w:val="21"/>
              </w:rPr>
              <w:t>Caser最优值</w:t>
            </w:r>
          </w:p>
        </w:tc>
        <w:tc>
          <w:tcPr>
            <w:tcW w:type="dxa" w:w="2422"/>
            <w:tcBorders>
              <w:top w:val="single" w:sz="8" w:space="0" w:color="000000"/>
              <w:bottom w:val="single" w:sz="4" w:space="0" w:color="000000"/>
              <w:left w:val="nil" w:sz="4" w:space="0" w:color="000000"/>
              <w:right w:val="nil" w:sz="4" w:space="0" w:color="000000"/>
            </w:tcBorders>
          </w:tcPr>
          <w:p>
            <w:pPr>
              <w:jc w:val="center"/>
            </w:pPr>
            <w:r/>
            <w:r>
              <w:rPr>
                <w:rFonts w:ascii="Times New Roman" w:hAnsi="Times New Roman" w:eastAsia="宋体"/>
                <w:b/>
                <w:i w:val="0"/>
                <w:sz w:val="21"/>
              </w:rPr>
              <w:t>DeepFM最优值</w:t>
            </w:r>
          </w:p>
        </w:tc>
        <w:tc>
          <w:tcPr>
            <w:tcW w:type="dxa" w:w="2422"/>
            <w:tcBorders>
              <w:top w:val="single" w:sz="8" w:space="0" w:color="000000"/>
              <w:bottom w:val="single" w:sz="4" w:space="0" w:color="000000"/>
              <w:left w:val="nil" w:sz="4" w:space="0" w:color="000000"/>
              <w:right w:val="nil" w:sz="4" w:space="0" w:color="000000"/>
            </w:tcBorders>
          </w:tcPr>
          <w:p>
            <w:pPr>
              <w:jc w:val="center"/>
            </w:pPr>
            <w:r/>
            <w:r>
              <w:rPr>
                <w:rFonts w:ascii="Times New Roman" w:hAnsi="Times New Roman" w:eastAsia="宋体"/>
                <w:b/>
                <w:i w:val="0"/>
                <w:sz w:val="21"/>
              </w:rPr>
              <w:t>Hybrid最优值</w:t>
            </w:r>
          </w:p>
        </w:tc>
      </w:tr>
      <w:tr>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嵌入维度d</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64</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64</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64</w:t>
            </w:r>
          </w:p>
        </w:tc>
      </w:tr>
      <w:tr>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Dropout率</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0.2</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0.3</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0.2</w:t>
            </w:r>
          </w:p>
        </w:tc>
      </w:tr>
      <w:tr>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序列长度L</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10</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10</w:t>
            </w:r>
          </w:p>
        </w:tc>
      </w:tr>
      <w:tr>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DNN层数</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3</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3</w:t>
            </w:r>
          </w:p>
        </w:tc>
      </w:tr>
      <w:tr>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DNN隐层宽度</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256</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256</w:t>
            </w:r>
          </w:p>
        </w:tc>
      </w:tr>
      <w:tr>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学习率</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1e-3</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1e-3</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5e-4（微调）</w:t>
            </w:r>
          </w:p>
        </w:tc>
      </w:tr>
      <w:tr>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批量大小</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256</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256</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256</w:t>
            </w:r>
          </w:p>
        </w:tc>
      </w:tr>
      <w:tr>
        <w:tc>
          <w:tcPr>
            <w:tcW w:type="dxa" w:w="2422"/>
            <w:tcBorders>
              <w:top w:val="nil" w:sz="4" w:space="0" w:color="000000"/>
              <w:bottom w:val="single" w:sz="8" w:space="0" w:color="000000"/>
              <w:left w:val="nil" w:sz="4" w:space="0" w:color="000000"/>
              <w:right w:val="nil" w:sz="4" w:space="0" w:color="000000"/>
            </w:tcBorders>
          </w:tcPr>
          <w:p>
            <w:pPr>
              <w:jc w:val="center"/>
            </w:pPr>
            <w:r/>
            <w:r>
              <w:rPr>
                <w:rFonts w:ascii="Times New Roman" w:hAnsi="Times New Roman" w:eastAsia="宋体"/>
                <w:b w:val="0"/>
                <w:i w:val="0"/>
                <w:sz w:val="21"/>
              </w:rPr>
              <w:t>训练Epoch数</w:t>
            </w:r>
          </w:p>
        </w:tc>
        <w:tc>
          <w:tcPr>
            <w:tcW w:type="dxa" w:w="2422"/>
            <w:tcBorders>
              <w:top w:val="nil" w:sz="4" w:space="0" w:color="000000"/>
              <w:bottom w:val="single" w:sz="8" w:space="0" w:color="000000"/>
              <w:left w:val="nil" w:sz="4" w:space="0" w:color="000000"/>
              <w:right w:val="nil" w:sz="4" w:space="0" w:color="000000"/>
            </w:tcBorders>
          </w:tcPr>
          <w:p>
            <w:pPr>
              <w:jc w:val="center"/>
            </w:pPr>
            <w:r/>
            <w:r>
              <w:rPr>
                <w:rFonts w:ascii="Times New Roman" w:hAnsi="Times New Roman" w:eastAsia="宋体"/>
                <w:b w:val="0"/>
                <w:i w:val="0"/>
                <w:sz w:val="21"/>
              </w:rPr>
              <w:t>3</w:t>
            </w:r>
          </w:p>
        </w:tc>
        <w:tc>
          <w:tcPr>
            <w:tcW w:type="dxa" w:w="2422"/>
            <w:tcBorders>
              <w:top w:val="nil" w:sz="4" w:space="0" w:color="000000"/>
              <w:bottom w:val="single" w:sz="8" w:space="0" w:color="000000"/>
              <w:left w:val="nil" w:sz="4" w:space="0" w:color="000000"/>
              <w:right w:val="nil" w:sz="4" w:space="0" w:color="000000"/>
            </w:tcBorders>
          </w:tcPr>
          <w:p>
            <w:pPr>
              <w:jc w:val="center"/>
            </w:pPr>
            <w:r/>
            <w:r>
              <w:rPr>
                <w:rFonts w:ascii="Times New Roman" w:hAnsi="Times New Roman" w:eastAsia="宋体"/>
                <w:b w:val="0"/>
                <w:i w:val="0"/>
                <w:sz w:val="21"/>
              </w:rPr>
              <w:t>3</w:t>
            </w:r>
          </w:p>
        </w:tc>
        <w:tc>
          <w:tcPr>
            <w:tcW w:type="dxa" w:w="2422"/>
            <w:tcBorders>
              <w:top w:val="nil" w:sz="4" w:space="0" w:color="000000"/>
              <w:bottom w:val="single" w:sz="8" w:space="0" w:color="000000"/>
              <w:left w:val="nil" w:sz="4" w:space="0" w:color="000000"/>
              <w:right w:val="nil" w:sz="4" w:space="0" w:color="000000"/>
            </w:tcBorders>
          </w:tcPr>
          <w:p>
            <w:pPr>
              <w:jc w:val="center"/>
            </w:pPr>
            <w:r/>
            <w:r>
              <w:rPr>
                <w:rFonts w:ascii="Times New Roman" w:hAnsi="Times New Roman" w:eastAsia="宋体"/>
                <w:b w:val="0"/>
                <w:i w:val="0"/>
                <w:sz w:val="21"/>
              </w:rPr>
              <w:t>3</w:t>
            </w:r>
          </w:p>
        </w:tc>
      </w:tr>
    </w:tbl>
    <w:p>
      <w:pPr>
        <w:spacing w:before="60" w:after="120"/>
        <w:jc w:val="center"/>
      </w:pPr>
      <w:r>
        <w:rPr>
          <w:rFonts w:ascii="Times New Roman" w:hAnsi="Times New Roman" w:eastAsia="宋体"/>
          <w:b w:val="0"/>
          <w:i w:val="0"/>
          <w:sz w:val="21"/>
        </w:rPr>
        <w:t>表3  各模型最优超参数配置</w:t>
      </w:r>
    </w:p>
    <w:p>
      <w:pPr>
        <w:spacing w:before="120" w:after="60"/>
        <w:jc w:val="both"/>
      </w:pPr>
      <w:r>
        <w:rPr>
          <w:rFonts w:ascii="Arial" w:hAnsi="Arial" w:eastAsia="黑体"/>
          <w:b/>
          <w:i w:val="0"/>
          <w:sz w:val="24"/>
        </w:rPr>
        <w:t>3.3  评估指标体系</w:t>
      </w:r>
    </w:p>
    <w:p>
      <w:pPr>
        <w:spacing w:before="0" w:after="0" w:lineRule="auto" w:line="360"/>
        <w:ind w:firstLine="480"/>
        <w:jc w:val="both"/>
      </w:pPr>
      <w:r>
        <w:rPr>
          <w:rFonts w:ascii="Times New Roman" w:hAnsi="Times New Roman" w:eastAsia="宋体"/>
          <w:b w:val="0"/>
          <w:i w:val="0"/>
          <w:sz w:val="24"/>
        </w:rPr>
        <w:t>AUC（Area Under the ROC Curve）衡量模型对正负样本的整体排序质量，反映模型区分相关与不相关物品的能力，取值范围[0,1]，越高越好。</w:t>
      </w:r>
    </w:p>
    <w:p>
      <w:pPr>
        <w:spacing w:before="0" w:after="0" w:lineRule="auto" w:line="360"/>
        <w:ind w:firstLine="480"/>
        <w:jc w:val="both"/>
      </w:pPr>
      <w:r>
        <w:rPr>
          <w:rFonts w:ascii="Times New Roman" w:hAnsi="Times New Roman" w:eastAsia="宋体"/>
          <w:b w:val="0"/>
          <w:i w:val="0"/>
          <w:sz w:val="24"/>
        </w:rPr>
        <w:t>NDCG@K（Normalized Discounted Cumulative Gain）度量前K个推荐结果与理想排序的接近程度，对靠前位置的命中给予对数折扣权重：</w:t>
      </w:r>
    </w:p>
    <w:p>
      <w:pPr>
        <w:spacing w:before="0" w:after="0" w:lineRule="auto" w:line="360"/>
        <w:ind w:firstLine="480"/>
        <w:jc w:val="both"/>
      </w:pPr>
      <w:r>
        <w:rPr>
          <w:rFonts w:ascii="Times New Roman" w:hAnsi="Times New Roman" w:eastAsia="宋体"/>
          <w:b w:val="0"/>
          <w:i w:val="0"/>
          <w:sz w:val="24"/>
        </w:rPr>
        <w:t xml:space="preserve">                NDCG@K = DCG@K / IDCG@K，  DCG@K = Σ_{i=1}^K rel_i / log₂(i+1)</w:t>
      </w:r>
    </w:p>
    <w:p>
      <w:pPr>
        <w:spacing w:before="0" w:after="0" w:lineRule="auto" w:line="360"/>
        <w:ind w:firstLine="480"/>
        <w:jc w:val="both"/>
      </w:pPr>
      <w:r>
        <w:rPr>
          <w:rFonts w:ascii="Times New Roman" w:hAnsi="Times New Roman" w:eastAsia="宋体"/>
          <w:b w:val="0"/>
          <w:i w:val="0"/>
          <w:sz w:val="24"/>
        </w:rPr>
        <w:t>Hit@K（Hit Rate at K）计算测试集中目标物品出现在前K个推荐中的比例，直接衡量推荐系统的覆盖率。本研究采用K∈{10, 20}两种截断值。</w:t>
      </w:r>
    </w:p>
    <w:p>
      <w:r>
        <w:br w:type="page"/>
      </w:r>
    </w:p>
    <w:p>
      <w:pPr>
        <w:spacing w:before="240" w:after="120"/>
        <w:jc w:val="center"/>
      </w:pPr>
      <w:r>
        <w:rPr>
          <w:rFonts w:ascii="Times New Roman" w:hAnsi="Times New Roman" w:eastAsia="仿宋"/>
          <w:b w:val="0"/>
          <w:i w:val="0"/>
          <w:sz w:val="28"/>
        </w:rPr>
        <w:t>第4章  结果与分析</w:t>
      </w:r>
    </w:p>
    <w:p>
      <w:pPr>
        <w:spacing w:before="120" w:after="60"/>
        <w:jc w:val="both"/>
      </w:pPr>
      <w:r>
        <w:rPr>
          <w:rFonts w:ascii="Arial" w:hAnsi="Arial" w:eastAsia="黑体"/>
          <w:b/>
          <w:i w:val="0"/>
          <w:sz w:val="24"/>
        </w:rPr>
        <w:t>4.1  收敛性分析</w:t>
      </w:r>
    </w:p>
    <w:p>
      <w:pPr>
        <w:spacing w:before="0" w:after="0" w:lineRule="auto" w:line="360"/>
        <w:ind w:firstLine="480"/>
        <w:jc w:val="both"/>
      </w:pPr>
      <w:r>
        <w:rPr>
          <w:rFonts w:ascii="Times New Roman" w:hAnsi="Times New Roman" w:eastAsia="宋体"/>
          <w:b w:val="0"/>
          <w:i w:val="0"/>
          <w:sz w:val="24"/>
        </w:rPr>
        <w:t>图1展示了三个模型在10个随机种子上的平均训练损失曲线（含95%置信区间）。</w:t>
      </w:r>
    </w:p>
    <w:p>
      <w:pPr>
        <w:spacing w:before="120" w:after="60"/>
        <w:jc w:val="center"/>
      </w:pPr>
      <w:r>
        <w:rPr>
          <w:rFonts w:ascii="Times New Roman" w:hAnsi="Times New Roman" w:eastAsia="宋体"/>
          <w:b w:val="0"/>
          <w:i/>
          <w:color w:val="808080"/>
          <w:sz w:val="21"/>
        </w:rPr>
        <w:t>[图1  三模型训练损失曲线（置信区间）  —  请插入相应图像文件]</w:t>
      </w:r>
    </w:p>
    <w:p>
      <w:pPr>
        <w:spacing w:before="60" w:after="120"/>
        <w:jc w:val="center"/>
      </w:pPr>
      <w:r>
        <w:rPr>
          <w:rFonts w:ascii="Times New Roman" w:hAnsi="Times New Roman" w:eastAsia="宋体"/>
          <w:b w:val="0"/>
          <w:i w:val="0"/>
          <w:sz w:val="21"/>
        </w:rPr>
        <w:t>图1  三模型训练损失曲线（置信区间）</w:t>
      </w:r>
    </w:p>
    <w:p>
      <w:pPr>
        <w:spacing w:before="0" w:after="0" w:lineRule="auto" w:line="360"/>
        <w:ind w:firstLine="480"/>
        <w:jc w:val="both"/>
      </w:pPr>
      <w:r>
        <w:rPr>
          <w:rFonts w:ascii="Times New Roman" w:hAnsi="Times New Roman" w:eastAsia="宋体"/>
          <w:b w:val="0"/>
          <w:i w:val="0"/>
          <w:sz w:val="24"/>
        </w:rPr>
        <w:t>Hybrid模型在Epoch 1即达到0.207的初始损失，显著低于Caser（0.258）和DeepFM（0.251）。这一初始优势源于Hybrid加载了两个预训练模型的权重，使其从更优的参数空间起点出发。经3个Epoch训练后，Hybrid收敛至0.180，相比Caser（0.215）和DeepFM（0.216）的最优损失分别低16.3%和16.7%。</w:t>
      </w:r>
    </w:p>
    <w:p>
      <w:pPr>
        <w:spacing w:before="0" w:after="0" w:lineRule="auto" w:line="360"/>
        <w:ind w:firstLine="480"/>
        <w:jc w:val="both"/>
      </w:pPr>
      <w:r>
        <w:rPr>
          <w:rFonts w:ascii="Times New Roman" w:hAnsi="Times New Roman" w:eastAsia="宋体"/>
          <w:b w:val="0"/>
          <w:i w:val="0"/>
          <w:sz w:val="24"/>
        </w:rPr>
        <w:t>Caser虽然初始损失最高（0.258），但相对下降幅度最大（-16.9%），说明其参数化效率较低，需要更多迭代方能发挥潜力。DeepFM的收敛曲线最为平滑，方差最小，体现了静态特征交叉学习的稳定性。Hybrid的置信区间在三轮训练中均保持最窄，证明了融合架构在不同随机初始化下的一致收敛优势。</w:t>
      </w:r>
    </w:p>
    <w:p>
      <w:pPr>
        <w:spacing w:before="120" w:after="60"/>
        <w:jc w:val="both"/>
      </w:pPr>
      <w:r>
        <w:rPr>
          <w:rFonts w:ascii="Arial" w:hAnsi="Arial" w:eastAsia="黑体"/>
          <w:b/>
          <w:i w:val="0"/>
          <w:sz w:val="24"/>
        </w:rPr>
        <w:t>4.2  性能变化趋势</w:t>
      </w:r>
    </w:p>
    <w:p>
      <w:pPr>
        <w:spacing w:before="0" w:after="0" w:lineRule="auto" w:line="360"/>
        <w:ind w:firstLine="480"/>
        <w:jc w:val="both"/>
      </w:pPr>
      <w:r>
        <w:rPr>
          <w:rFonts w:ascii="Times New Roman" w:hAnsi="Times New Roman" w:eastAsia="宋体"/>
          <w:b w:val="0"/>
          <w:i w:val="0"/>
          <w:sz w:val="24"/>
        </w:rPr>
        <w:t>图2—图4分别展示了三个模型在不同偏移比例ρ下的AUC、Hit@10和NDCG@10指标，所有结果为10个随机种子的均值，误差带为95%置信区间。</w:t>
      </w:r>
    </w:p>
    <w:p>
      <w:pPr>
        <w:spacing w:before="120" w:after="60"/>
        <w:jc w:val="center"/>
      </w:pPr>
      <w:r>
        <w:rPr>
          <w:rFonts w:ascii="Times New Roman" w:hAnsi="Times New Roman" w:eastAsia="宋体"/>
          <w:b w:val="0"/>
          <w:i/>
          <w:color w:val="808080"/>
          <w:sz w:val="21"/>
        </w:rPr>
        <w:t>[图2  AUC vs 偏移比例ρ（三模型对比）  —  请插入相应图像文件]</w:t>
      </w:r>
    </w:p>
    <w:p>
      <w:pPr>
        <w:spacing w:before="60" w:after="120"/>
        <w:jc w:val="center"/>
      </w:pPr>
      <w:r>
        <w:rPr>
          <w:rFonts w:ascii="Times New Roman" w:hAnsi="Times New Roman" w:eastAsia="宋体"/>
          <w:b w:val="0"/>
          <w:i w:val="0"/>
          <w:sz w:val="21"/>
        </w:rPr>
        <w:t>图2  AUC vs 偏移比例ρ（三模型对比）</w:t>
      </w:r>
    </w:p>
    <w:p>
      <w:pPr>
        <w:spacing w:before="120" w:after="60"/>
        <w:jc w:val="center"/>
      </w:pPr>
      <w:r>
        <w:rPr>
          <w:rFonts w:ascii="Times New Roman" w:hAnsi="Times New Roman" w:eastAsia="宋体"/>
          <w:b w:val="0"/>
          <w:i/>
          <w:color w:val="808080"/>
          <w:sz w:val="21"/>
        </w:rPr>
        <w:t>[图3  Hit@10 vs 偏移比例ρ（三模型对比）  —  请插入相应图像文件]</w:t>
      </w:r>
    </w:p>
    <w:p>
      <w:pPr>
        <w:spacing w:before="60" w:after="120"/>
        <w:jc w:val="center"/>
      </w:pPr>
      <w:r>
        <w:rPr>
          <w:rFonts w:ascii="Times New Roman" w:hAnsi="Times New Roman" w:eastAsia="宋体"/>
          <w:b w:val="0"/>
          <w:i w:val="0"/>
          <w:sz w:val="21"/>
        </w:rPr>
        <w:t>图3  Hit@10 vs 偏移比例ρ（三模型对比）</w:t>
      </w:r>
    </w:p>
    <w:p>
      <w:pPr>
        <w:spacing w:before="120" w:after="60"/>
        <w:jc w:val="center"/>
      </w:pPr>
      <w:r>
        <w:rPr>
          <w:rFonts w:ascii="Times New Roman" w:hAnsi="Times New Roman" w:eastAsia="宋体"/>
          <w:b w:val="0"/>
          <w:i/>
          <w:color w:val="808080"/>
          <w:sz w:val="21"/>
        </w:rPr>
        <w:t>[图4  NDCG@10 vs 偏移比例ρ（三模型对比）  —  请插入相应图像文件]</w:t>
      </w:r>
    </w:p>
    <w:p>
      <w:pPr>
        <w:spacing w:before="60" w:after="120"/>
        <w:jc w:val="center"/>
      </w:pPr>
      <w:r>
        <w:rPr>
          <w:rFonts w:ascii="Times New Roman" w:hAnsi="Times New Roman" w:eastAsia="宋体"/>
          <w:b w:val="0"/>
          <w:i w:val="0"/>
          <w:sz w:val="21"/>
        </w:rPr>
        <w:t>图4  NDCG@10 vs 偏移比例ρ（三模型对比）</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211"/>
            <w:tcBorders>
              <w:top w:val="single" w:sz="8" w:space="0" w:color="000000"/>
              <w:bottom w:val="single" w:sz="4" w:space="0" w:color="000000"/>
              <w:left w:val="nil" w:sz="4" w:space="0" w:color="000000"/>
              <w:right w:val="nil" w:sz="4" w:space="0" w:color="000000"/>
            </w:tcBorders>
          </w:tcPr>
          <w:p>
            <w:pPr>
              <w:jc w:val="center"/>
            </w:pPr>
            <w:r/>
            <w:r>
              <w:rPr>
                <w:rFonts w:ascii="Times New Roman" w:hAnsi="Times New Roman" w:eastAsia="宋体"/>
                <w:b/>
                <w:i w:val="0"/>
                <w:sz w:val="21"/>
              </w:rPr>
              <w:t>指标</w:t>
            </w:r>
          </w:p>
        </w:tc>
        <w:tc>
          <w:tcPr>
            <w:tcW w:type="dxa" w:w="1211"/>
            <w:tcBorders>
              <w:top w:val="single" w:sz="8" w:space="0" w:color="000000"/>
              <w:bottom w:val="single" w:sz="4" w:space="0" w:color="000000"/>
              <w:left w:val="nil" w:sz="4" w:space="0" w:color="000000"/>
              <w:right w:val="nil" w:sz="4" w:space="0" w:color="000000"/>
            </w:tcBorders>
          </w:tcPr>
          <w:p>
            <w:pPr>
              <w:jc w:val="center"/>
            </w:pPr>
            <w:r/>
            <w:r>
              <w:rPr>
                <w:rFonts w:ascii="Times New Roman" w:hAnsi="Times New Roman" w:eastAsia="宋体"/>
                <w:b/>
                <w:i w:val="0"/>
                <w:sz w:val="21"/>
              </w:rPr>
              <w:t>模型</w:t>
            </w:r>
          </w:p>
        </w:tc>
        <w:tc>
          <w:tcPr>
            <w:tcW w:type="dxa" w:w="1211"/>
            <w:tcBorders>
              <w:top w:val="single" w:sz="8" w:space="0" w:color="000000"/>
              <w:bottom w:val="single" w:sz="4" w:space="0" w:color="000000"/>
              <w:left w:val="nil" w:sz="4" w:space="0" w:color="000000"/>
              <w:right w:val="nil" w:sz="4" w:space="0" w:color="000000"/>
            </w:tcBorders>
          </w:tcPr>
          <w:p>
            <w:pPr>
              <w:jc w:val="center"/>
            </w:pPr>
            <w:r/>
            <w:r>
              <w:rPr>
                <w:rFonts w:ascii="Times New Roman" w:hAnsi="Times New Roman" w:eastAsia="宋体"/>
                <w:b/>
                <w:i w:val="0"/>
                <w:sz w:val="21"/>
              </w:rPr>
              <w:t>ρ=0.0</w:t>
            </w:r>
          </w:p>
        </w:tc>
        <w:tc>
          <w:tcPr>
            <w:tcW w:type="dxa" w:w="1211"/>
            <w:tcBorders>
              <w:top w:val="single" w:sz="8" w:space="0" w:color="000000"/>
              <w:bottom w:val="single" w:sz="4" w:space="0" w:color="000000"/>
              <w:left w:val="nil" w:sz="4" w:space="0" w:color="000000"/>
              <w:right w:val="nil" w:sz="4" w:space="0" w:color="000000"/>
            </w:tcBorders>
          </w:tcPr>
          <w:p>
            <w:pPr>
              <w:jc w:val="center"/>
            </w:pPr>
            <w:r/>
            <w:r>
              <w:rPr>
                <w:rFonts w:ascii="Times New Roman" w:hAnsi="Times New Roman" w:eastAsia="宋体"/>
                <w:b/>
                <w:i w:val="0"/>
                <w:sz w:val="21"/>
              </w:rPr>
              <w:t>ρ=0.05</w:t>
            </w:r>
          </w:p>
        </w:tc>
        <w:tc>
          <w:tcPr>
            <w:tcW w:type="dxa" w:w="1211"/>
            <w:tcBorders>
              <w:top w:val="single" w:sz="8" w:space="0" w:color="000000"/>
              <w:bottom w:val="single" w:sz="4" w:space="0" w:color="000000"/>
              <w:left w:val="nil" w:sz="4" w:space="0" w:color="000000"/>
              <w:right w:val="nil" w:sz="4" w:space="0" w:color="000000"/>
            </w:tcBorders>
          </w:tcPr>
          <w:p>
            <w:pPr>
              <w:jc w:val="center"/>
            </w:pPr>
            <w:r/>
            <w:r>
              <w:rPr>
                <w:rFonts w:ascii="Times New Roman" w:hAnsi="Times New Roman" w:eastAsia="宋体"/>
                <w:b/>
                <w:i w:val="0"/>
                <w:sz w:val="21"/>
              </w:rPr>
              <w:t>ρ=0.10</w:t>
            </w:r>
          </w:p>
        </w:tc>
        <w:tc>
          <w:tcPr>
            <w:tcW w:type="dxa" w:w="1211"/>
            <w:tcBorders>
              <w:top w:val="single" w:sz="8" w:space="0" w:color="000000"/>
              <w:bottom w:val="single" w:sz="4" w:space="0" w:color="000000"/>
              <w:left w:val="nil" w:sz="4" w:space="0" w:color="000000"/>
              <w:right w:val="nil" w:sz="4" w:space="0" w:color="000000"/>
            </w:tcBorders>
          </w:tcPr>
          <w:p>
            <w:pPr>
              <w:jc w:val="center"/>
            </w:pPr>
            <w:r/>
            <w:r>
              <w:rPr>
                <w:rFonts w:ascii="Times New Roman" w:hAnsi="Times New Roman" w:eastAsia="宋体"/>
                <w:b/>
                <w:i w:val="0"/>
                <w:sz w:val="21"/>
              </w:rPr>
              <w:t>ρ=0.20</w:t>
            </w:r>
          </w:p>
        </w:tc>
        <w:tc>
          <w:tcPr>
            <w:tcW w:type="dxa" w:w="1211"/>
            <w:tcBorders>
              <w:top w:val="single" w:sz="8" w:space="0" w:color="000000"/>
              <w:bottom w:val="single" w:sz="4" w:space="0" w:color="000000"/>
              <w:left w:val="nil" w:sz="4" w:space="0" w:color="000000"/>
              <w:right w:val="nil" w:sz="4" w:space="0" w:color="000000"/>
            </w:tcBorders>
          </w:tcPr>
          <w:p>
            <w:pPr>
              <w:jc w:val="center"/>
            </w:pPr>
            <w:r/>
            <w:r>
              <w:rPr>
                <w:rFonts w:ascii="Times New Roman" w:hAnsi="Times New Roman" w:eastAsia="宋体"/>
                <w:b/>
                <w:i w:val="0"/>
                <w:sz w:val="21"/>
              </w:rPr>
              <w:t>ρ=0.30</w:t>
            </w:r>
          </w:p>
        </w:tc>
        <w:tc>
          <w:tcPr>
            <w:tcW w:type="dxa" w:w="1211"/>
            <w:tcBorders>
              <w:top w:val="single" w:sz="8" w:space="0" w:color="000000"/>
              <w:bottom w:val="single" w:sz="4" w:space="0" w:color="000000"/>
              <w:left w:val="nil" w:sz="4" w:space="0" w:color="000000"/>
              <w:right w:val="nil" w:sz="4" w:space="0" w:color="000000"/>
            </w:tcBorders>
          </w:tcPr>
          <w:p>
            <w:pPr>
              <w:jc w:val="center"/>
            </w:pPr>
            <w:r/>
            <w:r>
              <w:rPr>
                <w:rFonts w:ascii="Times New Roman" w:hAnsi="Times New Roman" w:eastAsia="宋体"/>
                <w:b/>
                <w:i w:val="0"/>
                <w:sz w:val="21"/>
              </w:rPr>
              <w:t>变化率(%)</w:t>
            </w:r>
          </w:p>
        </w:tc>
      </w:tr>
      <w:tr>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AUC</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Caser</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0.6130</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0.6125</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0.6120</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0.6115</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0.6148</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+0.29</w:t>
            </w:r>
          </w:p>
        </w:tc>
      </w:tr>
      <w:tr>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DeepFM</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0.5479</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0.5508</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0.5531</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0.5554</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0.5585</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+1.93</w:t>
            </w:r>
          </w:p>
        </w:tc>
      </w:tr>
      <w:tr>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Hybrid</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0.5491</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0.5519</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0.5545</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0.5559</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0.5560</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+1.26</w:t>
            </w:r>
          </w:p>
        </w:tc>
      </w:tr>
      <w:tr>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NDCG@10</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Caser</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0.1051</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0.1046</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0.1038</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0.1033</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0.1032</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-1.81</w:t>
            </w:r>
          </w:p>
        </w:tc>
      </w:tr>
      <w:tr>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DeepFM</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0.0878</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0.0901</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0.0921</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0.0944</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0.0973</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+10.82</w:t>
            </w:r>
          </w:p>
        </w:tc>
      </w:tr>
      <w:tr>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Hybrid</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0.0859</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0.0887</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0.0918</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0.0951</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0.1022</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+19.00</w:t>
            </w:r>
          </w:p>
        </w:tc>
      </w:tr>
      <w:tr>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Hit@10</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Caser</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0.2046</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0.2042</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0.2037</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0.2031</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0.2085</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+1.90</w:t>
            </w:r>
          </w:p>
        </w:tc>
      </w:tr>
      <w:tr>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DeepFM</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0.1709</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0.1742</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0.1768</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0.1793</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0.1800</w:t>
            </w:r>
          </w:p>
        </w:tc>
        <w:tc>
          <w:tcPr>
            <w:tcW w:type="dxa" w:w="1211"/>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+5.33</w:t>
            </w:r>
          </w:p>
        </w:tc>
      </w:tr>
      <w:tr>
        <w:tc>
          <w:tcPr>
            <w:tcW w:type="dxa" w:w="1211"/>
            <w:tcBorders>
              <w:top w:val="nil" w:sz="4" w:space="0" w:color="000000"/>
              <w:bottom w:val="single" w:sz="8" w:space="0" w:color="000000"/>
              <w:left w:val="nil" w:sz="4" w:space="0" w:color="000000"/>
              <w:right w:val="nil" w:sz="4" w:space="0" w:color="000000"/>
            </w:tcBorders>
          </w:tcPr>
          <w:p>
            <w:pPr>
              <w:jc w:val="center"/>
            </w:pPr>
            <w:r/>
            <w:r>
              <w:rPr>
                <w:rFonts w:ascii="Times New Roman" w:hAnsi="Times New Roman" w:eastAsia="宋体"/>
                <w:b w:val="0"/>
                <w:i w:val="0"/>
                <w:sz w:val="21"/>
              </w:rPr>
            </w:r>
          </w:p>
        </w:tc>
        <w:tc>
          <w:tcPr>
            <w:tcW w:type="dxa" w:w="1211"/>
            <w:tcBorders>
              <w:top w:val="nil" w:sz="4" w:space="0" w:color="000000"/>
              <w:bottom w:val="single" w:sz="8" w:space="0" w:color="000000"/>
              <w:left w:val="nil" w:sz="4" w:space="0" w:color="000000"/>
              <w:right w:val="nil" w:sz="4" w:space="0" w:color="000000"/>
            </w:tcBorders>
          </w:tcPr>
          <w:p>
            <w:pPr>
              <w:jc w:val="center"/>
            </w:pPr>
            <w:r/>
            <w:r>
              <w:rPr>
                <w:rFonts w:ascii="Times New Roman" w:hAnsi="Times New Roman" w:eastAsia="宋体"/>
                <w:b w:val="0"/>
                <w:i w:val="0"/>
                <w:sz w:val="21"/>
              </w:rPr>
              <w:t>Hybrid</w:t>
            </w:r>
          </w:p>
        </w:tc>
        <w:tc>
          <w:tcPr>
            <w:tcW w:type="dxa" w:w="1211"/>
            <w:tcBorders>
              <w:top w:val="nil" w:sz="4" w:space="0" w:color="000000"/>
              <w:bottom w:val="single" w:sz="8" w:space="0" w:color="000000"/>
              <w:left w:val="nil" w:sz="4" w:space="0" w:color="000000"/>
              <w:right w:val="nil" w:sz="4" w:space="0" w:color="000000"/>
            </w:tcBorders>
          </w:tcPr>
          <w:p>
            <w:pPr>
              <w:jc w:val="center"/>
            </w:pPr>
            <w:r/>
            <w:r>
              <w:rPr>
                <w:rFonts w:ascii="Times New Roman" w:hAnsi="Times New Roman" w:eastAsia="宋体"/>
                <w:b w:val="0"/>
                <w:i w:val="0"/>
                <w:sz w:val="21"/>
              </w:rPr>
              <w:t>0.1677</w:t>
            </w:r>
          </w:p>
        </w:tc>
        <w:tc>
          <w:tcPr>
            <w:tcW w:type="dxa" w:w="1211"/>
            <w:tcBorders>
              <w:top w:val="nil" w:sz="4" w:space="0" w:color="000000"/>
              <w:bottom w:val="single" w:sz="8" w:space="0" w:color="000000"/>
              <w:left w:val="nil" w:sz="4" w:space="0" w:color="000000"/>
              <w:right w:val="nil" w:sz="4" w:space="0" w:color="000000"/>
            </w:tcBorders>
          </w:tcPr>
          <w:p>
            <w:pPr>
              <w:jc w:val="center"/>
            </w:pPr>
            <w:r/>
            <w:r>
              <w:rPr>
                <w:rFonts w:ascii="Times New Roman" w:hAnsi="Times New Roman" w:eastAsia="宋体"/>
                <w:b w:val="0"/>
                <w:i w:val="0"/>
                <w:sz w:val="21"/>
              </w:rPr>
              <w:t>0.1722</w:t>
            </w:r>
          </w:p>
        </w:tc>
        <w:tc>
          <w:tcPr>
            <w:tcW w:type="dxa" w:w="1211"/>
            <w:tcBorders>
              <w:top w:val="nil" w:sz="4" w:space="0" w:color="000000"/>
              <w:bottom w:val="single" w:sz="8" w:space="0" w:color="000000"/>
              <w:left w:val="nil" w:sz="4" w:space="0" w:color="000000"/>
              <w:right w:val="nil" w:sz="4" w:space="0" w:color="000000"/>
            </w:tcBorders>
          </w:tcPr>
          <w:p>
            <w:pPr>
              <w:jc w:val="center"/>
            </w:pPr>
            <w:r/>
            <w:r>
              <w:rPr>
                <w:rFonts w:ascii="Times New Roman" w:hAnsi="Times New Roman" w:eastAsia="宋体"/>
                <w:b w:val="0"/>
                <w:i w:val="0"/>
                <w:sz w:val="21"/>
              </w:rPr>
              <w:t>0.1762</w:t>
            </w:r>
          </w:p>
        </w:tc>
        <w:tc>
          <w:tcPr>
            <w:tcW w:type="dxa" w:w="1211"/>
            <w:tcBorders>
              <w:top w:val="nil" w:sz="4" w:space="0" w:color="000000"/>
              <w:bottom w:val="single" w:sz="8" w:space="0" w:color="000000"/>
              <w:left w:val="nil" w:sz="4" w:space="0" w:color="000000"/>
              <w:right w:val="nil" w:sz="4" w:space="0" w:color="000000"/>
            </w:tcBorders>
          </w:tcPr>
          <w:p>
            <w:pPr>
              <w:jc w:val="center"/>
            </w:pPr>
            <w:r/>
            <w:r>
              <w:rPr>
                <w:rFonts w:ascii="Times New Roman" w:hAnsi="Times New Roman" w:eastAsia="宋体"/>
                <w:b w:val="0"/>
                <w:i w:val="0"/>
                <w:sz w:val="21"/>
              </w:rPr>
              <w:t>0.1798</w:t>
            </w:r>
          </w:p>
        </w:tc>
        <w:tc>
          <w:tcPr>
            <w:tcW w:type="dxa" w:w="1211"/>
            <w:tcBorders>
              <w:top w:val="nil" w:sz="4" w:space="0" w:color="000000"/>
              <w:bottom w:val="single" w:sz="8" w:space="0" w:color="000000"/>
              <w:left w:val="nil" w:sz="4" w:space="0" w:color="000000"/>
              <w:right w:val="nil" w:sz="4" w:space="0" w:color="000000"/>
            </w:tcBorders>
          </w:tcPr>
          <w:p>
            <w:pPr>
              <w:jc w:val="center"/>
            </w:pPr>
            <w:r/>
            <w:r>
              <w:rPr>
                <w:rFonts w:ascii="Times New Roman" w:hAnsi="Times New Roman" w:eastAsia="宋体"/>
                <w:b w:val="0"/>
                <w:i w:val="0"/>
                <w:sz w:val="21"/>
              </w:rPr>
              <w:t>0.1825</w:t>
            </w:r>
          </w:p>
        </w:tc>
        <w:tc>
          <w:tcPr>
            <w:tcW w:type="dxa" w:w="1211"/>
            <w:tcBorders>
              <w:top w:val="nil" w:sz="4" w:space="0" w:color="000000"/>
              <w:bottom w:val="single" w:sz="8" w:space="0" w:color="000000"/>
              <w:left w:val="nil" w:sz="4" w:space="0" w:color="000000"/>
              <w:right w:val="nil" w:sz="4" w:space="0" w:color="000000"/>
            </w:tcBorders>
          </w:tcPr>
          <w:p>
            <w:pPr>
              <w:jc w:val="center"/>
            </w:pPr>
            <w:r/>
            <w:r>
              <w:rPr>
                <w:rFonts w:ascii="Times New Roman" w:hAnsi="Times New Roman" w:eastAsia="宋体"/>
                <w:b w:val="0"/>
                <w:i w:val="0"/>
                <w:sz w:val="21"/>
              </w:rPr>
              <w:t>+8.82</w:t>
            </w:r>
          </w:p>
        </w:tc>
      </w:tr>
    </w:tbl>
    <w:p>
      <w:pPr>
        <w:spacing w:before="60" w:after="120"/>
        <w:jc w:val="center"/>
      </w:pPr>
      <w:r>
        <w:rPr>
          <w:rFonts w:ascii="Times New Roman" w:hAnsi="Times New Roman" w:eastAsia="宋体"/>
          <w:b w:val="0"/>
          <w:i w:val="0"/>
          <w:sz w:val="21"/>
        </w:rPr>
        <w:t>表4  三模型在不同偏移比例下的性能指标对比</w:t>
      </w:r>
    </w:p>
    <w:p>
      <w:pPr>
        <w:spacing w:before="0" w:after="0" w:lineRule="auto" w:line="360"/>
        <w:ind w:firstLine="480"/>
        <w:jc w:val="both"/>
      </w:pPr>
      <w:r>
        <w:rPr>
          <w:rFonts w:ascii="Times New Roman" w:hAnsi="Times New Roman" w:eastAsia="宋体"/>
          <w:b w:val="0"/>
          <w:i w:val="0"/>
          <w:sz w:val="24"/>
        </w:rPr>
        <w:t>AUC指标显示，三个模型在偏移下均未出现性能下降：Caser基本持平（+0.29%），DeepFM和Hybrid均有显著提升（分别+1.93%和+1.26%）。这一反直觉结果可从流行项替换机制解释——流行物品具有更丰富的交互信号，降低了模型的整体排序难度，从而使AUC略有提升。</w:t>
      </w:r>
    </w:p>
    <w:p>
      <w:pPr>
        <w:spacing w:before="0" w:after="0" w:lineRule="auto" w:line="360"/>
        <w:ind w:firstLine="480"/>
        <w:jc w:val="both"/>
      </w:pPr>
      <w:r>
        <w:rPr>
          <w:rFonts w:ascii="Times New Roman" w:hAnsi="Times New Roman" w:eastAsia="宋体"/>
          <w:b w:val="0"/>
          <w:i w:val="0"/>
          <w:sz w:val="24"/>
        </w:rPr>
        <w:t>NDCG@10和Hit@10指标揭示了更深层的差异：Caser是唯一表现衰减的模型（NDCG@10 -1.81%），说明序列模型在流行项注入后，前K位推荐的相关性实际降低。DeepFM和Hybrid均受益于流行项的特征信号，表现出单调上升趋势，其中Hybrid的NDCG@10提升幅度（+19.0%）约为DeepFM（+10.8%）的1.76倍。</w:t>
      </w:r>
    </w:p>
    <w:p>
      <w:pPr>
        <w:spacing w:before="120" w:after="60"/>
        <w:jc w:val="both"/>
      </w:pPr>
      <w:r>
        <w:rPr>
          <w:rFonts w:ascii="Arial" w:hAnsi="Arial" w:eastAsia="黑体"/>
          <w:b/>
          <w:i w:val="0"/>
          <w:sz w:val="24"/>
        </w:rPr>
        <w:t>4.3  统计显著性与稳健性</w:t>
      </w:r>
    </w:p>
    <w:p>
      <w:pPr>
        <w:spacing w:before="0" w:after="0" w:lineRule="auto" w:line="360"/>
        <w:ind w:firstLine="480"/>
        <w:jc w:val="both"/>
      </w:pPr>
      <w:r>
        <w:rPr>
          <w:rFonts w:ascii="Times New Roman" w:hAnsi="Times New Roman" w:eastAsia="宋体"/>
          <w:b w:val="0"/>
          <w:i w:val="0"/>
          <w:sz w:val="24"/>
        </w:rPr>
        <w:t>图5展示了Cohen's d热力图，量化了各模型在不同偏移比例下相对于Caser基准的效应量（n=10个种子对）；图6为NDCG@10的效应量森林图（含95%置信区间）。</w:t>
      </w:r>
    </w:p>
    <w:p>
      <w:pPr>
        <w:spacing w:before="120" w:after="60"/>
        <w:jc w:val="center"/>
      </w:pPr>
      <w:r>
        <w:rPr>
          <w:rFonts w:ascii="Times New Roman" w:hAnsi="Times New Roman" w:eastAsia="宋体"/>
          <w:b w:val="0"/>
          <w:i/>
          <w:color w:val="808080"/>
          <w:sz w:val="21"/>
        </w:rPr>
        <w:t>[图5  Cohen's d热力图（各模型×各偏移比例）  —  请插入相应图像文件]</w:t>
      </w:r>
    </w:p>
    <w:p>
      <w:pPr>
        <w:spacing w:before="60" w:after="120"/>
        <w:jc w:val="center"/>
      </w:pPr>
      <w:r>
        <w:rPr>
          <w:rFonts w:ascii="Times New Roman" w:hAnsi="Times New Roman" w:eastAsia="宋体"/>
          <w:b w:val="0"/>
          <w:i w:val="0"/>
          <w:sz w:val="21"/>
        </w:rPr>
        <w:t>图5  Cohen's d热力图（各模型×各偏移比例）</w:t>
      </w:r>
    </w:p>
    <w:p>
      <w:pPr>
        <w:spacing w:before="120" w:after="60"/>
        <w:jc w:val="center"/>
      </w:pPr>
      <w:r>
        <w:rPr>
          <w:rFonts w:ascii="Times New Roman" w:hAnsi="Times New Roman" w:eastAsia="宋体"/>
          <w:b w:val="0"/>
          <w:i/>
          <w:color w:val="808080"/>
          <w:sz w:val="21"/>
        </w:rPr>
        <w:t>[图6  NDCG@10效应量森林图（Wilcoxon检验）  —  请插入相应图像文件]</w:t>
      </w:r>
    </w:p>
    <w:p>
      <w:pPr>
        <w:spacing w:before="60" w:after="120"/>
        <w:jc w:val="center"/>
      </w:pPr>
      <w:r>
        <w:rPr>
          <w:rFonts w:ascii="Times New Roman" w:hAnsi="Times New Roman" w:eastAsia="宋体"/>
          <w:b w:val="0"/>
          <w:i w:val="0"/>
          <w:sz w:val="21"/>
        </w:rPr>
        <w:t>图6  NDCG@10效应量森林图（Wilcoxon检验）</w:t>
      </w:r>
    </w:p>
    <w:p>
      <w:pPr>
        <w:spacing w:before="0" w:after="0" w:lineRule="auto" w:line="360"/>
        <w:ind w:firstLine="480"/>
        <w:jc w:val="both"/>
      </w:pPr>
      <w:r>
        <w:rPr>
          <w:rFonts w:ascii="Times New Roman" w:hAnsi="Times New Roman" w:eastAsia="宋体"/>
          <w:b w:val="0"/>
          <w:i w:val="0"/>
          <w:sz w:val="24"/>
        </w:rPr>
        <w:t>对NDCG@10指标进行配对Wilcoxon符号秩检验，采用Benjamini-Hochberg（BH）方法控制FDR（q=0.05）。结果表明，Hybrid在ρ≥0.05时相对基准（ρ=0）的改善均达到统计显著性（调整后p&lt;0.01），其中ρ=0.3时Cohen's d=3.481，属于"超大"效应量（d&gt;0.8的标准约6倍）。DeepFM在ρ≥0.1时同样达到统计显著（d=1.995）。</w:t>
      </w:r>
    </w:p>
    <w:p>
      <w:pPr>
        <w:spacing w:before="0" w:after="0" w:lineRule="auto" w:line="360"/>
        <w:ind w:firstLine="480"/>
        <w:jc w:val="both"/>
      </w:pPr>
      <w:r>
        <w:rPr>
          <w:rFonts w:ascii="Times New Roman" w:hAnsi="Times New Roman" w:eastAsia="宋体"/>
          <w:b w:val="0"/>
          <w:i w:val="0"/>
          <w:sz w:val="24"/>
        </w:rPr>
        <w:t>Caser的效应量在所有偏移水平下均为负值（d∈[-0.599, -0.275]），且置信区间均跨越零轴，确认了其对分布偏移的无响应甚至负响应特性。这与序列模型过度依赖局部连续模式的理论预测相吻合。</w:t>
      </w:r>
    </w:p>
    <w:p>
      <w:pPr>
        <w:spacing w:before="0" w:after="0" w:lineRule="auto" w:line="360"/>
        <w:ind w:firstLine="480"/>
        <w:jc w:val="both"/>
      </w:pPr>
      <w:r>
        <w:rPr>
          <w:rFonts w:ascii="Times New Roman" w:hAnsi="Times New Roman" w:eastAsia="宋体"/>
          <w:b w:val="0"/>
          <w:i w:val="0"/>
          <w:sz w:val="24"/>
        </w:rPr>
        <w:t>图7的配对Delta雨云图（Raincloud Plot）进一步验证了上述统计结论：Hybrid的差异分布（Δ=post-pre）中位数为+0.007，正值占比约75%，分布形状呈显著右偏；而Caser的差异分布对称集中于零附近，中位数≈0。</w:t>
      </w:r>
    </w:p>
    <w:p>
      <w:pPr>
        <w:spacing w:before="120" w:after="60"/>
        <w:jc w:val="center"/>
      </w:pPr>
      <w:r>
        <w:rPr>
          <w:rFonts w:ascii="Times New Roman" w:hAnsi="Times New Roman" w:eastAsia="宋体"/>
          <w:b w:val="0"/>
          <w:i/>
          <w:color w:val="808080"/>
          <w:sz w:val="21"/>
        </w:rPr>
        <w:t>[图7  配对Delta雨云图（NDCG@10差异分布）  —  请插入相应图像文件]</w:t>
      </w:r>
    </w:p>
    <w:p>
      <w:pPr>
        <w:spacing w:before="60" w:after="120"/>
        <w:jc w:val="center"/>
      </w:pPr>
      <w:r>
        <w:rPr>
          <w:rFonts w:ascii="Times New Roman" w:hAnsi="Times New Roman" w:eastAsia="宋体"/>
          <w:b w:val="0"/>
          <w:i w:val="0"/>
          <w:sz w:val="21"/>
        </w:rPr>
        <w:t>图7  配对Delta雨云图（NDCG@10差异分布）</w:t>
      </w:r>
    </w:p>
    <w:p>
      <w:pPr>
        <w:spacing w:before="120" w:after="60"/>
        <w:jc w:val="both"/>
      </w:pPr>
      <w:r>
        <w:rPr>
          <w:rFonts w:ascii="Arial" w:hAnsi="Arial" w:eastAsia="黑体"/>
          <w:b/>
          <w:i w:val="0"/>
          <w:sz w:val="24"/>
        </w:rPr>
        <w:t>4.4  架构鲁棒性讨论</w:t>
      </w:r>
    </w:p>
    <w:p>
      <w:pPr>
        <w:spacing w:before="0" w:after="0" w:lineRule="auto" w:line="360"/>
        <w:ind w:firstLine="480"/>
        <w:jc w:val="both"/>
      </w:pPr>
      <w:r>
        <w:rPr>
          <w:rFonts w:ascii="Times New Roman" w:hAnsi="Times New Roman" w:eastAsia="宋体"/>
          <w:b w:val="0"/>
          <w:i w:val="0"/>
          <w:sz w:val="24"/>
        </w:rPr>
        <w:t>序列模型Caser的脆弱性根源在于其高度依赖用户的交互顺序模式。一旦近期行为被流行项污染，卷积核捕获的局部模式便失去了对真实偏好的代表性，导致排序质量下降。这种"序列记忆"在稳定环境中是优势，在突变环境中则成为累赘。</w:t>
      </w:r>
    </w:p>
    <w:p>
      <w:pPr>
        <w:spacing w:before="0" w:after="0" w:lineRule="auto" w:line="360"/>
        <w:ind w:firstLine="480"/>
        <w:jc w:val="both"/>
      </w:pPr>
      <w:r>
        <w:rPr>
          <w:rFonts w:ascii="Times New Roman" w:hAnsi="Times New Roman" w:eastAsia="宋体"/>
          <w:b w:val="0"/>
          <w:i w:val="0"/>
          <w:sz w:val="24"/>
        </w:rPr>
        <w:t>DeepFM的稳健性源于其静态特征交叉机制。FM层建模的是全局物品属性的二阶关系，不受用户序列扰动影响；流行项通常具有更丰富的特征信号（更多评分、更多标签覆盖），反而增强了DeepFM对相关物品的感知能力。</w:t>
      </w:r>
    </w:p>
    <w:p>
      <w:pPr>
        <w:spacing w:before="0" w:after="0" w:lineRule="auto" w:line="360"/>
        <w:ind w:firstLine="480"/>
        <w:jc w:val="both"/>
      </w:pPr>
      <w:r>
        <w:rPr>
          <w:rFonts w:ascii="Times New Roman" w:hAnsi="Times New Roman" w:eastAsia="宋体"/>
          <w:b w:val="0"/>
          <w:i w:val="0"/>
          <w:sz w:val="24"/>
        </w:rPr>
        <w:t>Hybrid架构的最优表现证明了融合策略的有效性。门控注意力机制实现了序列特征与静态特征的动态互补：在偏移比例较低时，序列特征权重较高，保持了对个性化偏好的建模；在偏移比例增大时，门控机制自动转移至FM特征，保障了系统的基本排序质量。这种自适应权衡机制是Hybrid在全偏移范围内均优于单一模型的核心原因。</w:t>
      </w:r>
    </w:p>
    <w:p>
      <w:r>
        <w:br w:type="page"/>
      </w:r>
    </w:p>
    <w:p>
      <w:pPr>
        <w:spacing w:before="240" w:after="120"/>
        <w:jc w:val="center"/>
      </w:pPr>
      <w:r>
        <w:rPr>
          <w:rFonts w:ascii="Times New Roman" w:hAnsi="Times New Roman" w:eastAsia="仿宋"/>
          <w:b w:val="0"/>
          <w:i w:val="0"/>
          <w:sz w:val="28"/>
        </w:rPr>
        <w:t>第5章  讨论与结论</w:t>
      </w:r>
    </w:p>
    <w:p>
      <w:pPr>
        <w:spacing w:before="120" w:after="60"/>
        <w:jc w:val="both"/>
      </w:pPr>
      <w:r>
        <w:rPr>
          <w:rFonts w:ascii="Arial" w:hAnsi="Arial" w:eastAsia="黑体"/>
          <w:b/>
          <w:i w:val="0"/>
          <w:sz w:val="24"/>
        </w:rPr>
        <w:t>5.1  主要发现总结</w:t>
      </w:r>
    </w:p>
    <w:p>
      <w:pPr>
        <w:spacing w:before="0" w:after="0" w:lineRule="auto" w:line="360"/>
        <w:ind w:firstLine="480"/>
        <w:jc w:val="both"/>
      </w:pPr>
      <w:r>
        <w:rPr>
          <w:rFonts w:ascii="Times New Roman" w:hAnsi="Times New Roman" w:eastAsia="宋体"/>
          <w:b w:val="0"/>
          <w:i w:val="0"/>
          <w:sz w:val="24"/>
        </w:rPr>
        <w:t>本研究通过系统实验得出以下主要发现：</w:t>
      </w:r>
    </w:p>
    <w:p>
      <w:pPr>
        <w:spacing w:before="0" w:after="0" w:lineRule="auto" w:line="360"/>
        <w:ind w:firstLine="480"/>
        <w:jc w:val="both"/>
      </w:pPr>
      <w:r>
        <w:rPr>
          <w:rFonts w:ascii="Times New Roman" w:hAnsi="Times New Roman" w:eastAsia="宋体"/>
          <w:b w:val="0"/>
          <w:i w:val="0"/>
          <w:sz w:val="24"/>
        </w:rPr>
        <w:t>（1）在流行项注入的偏好突变场景下，Hybrid融合模型的NDCG@10在ρ=0.3时相对基准提升19.0%，达到统计显著性（Cohen's d=3.481），表现最优。</w:t>
      </w:r>
    </w:p>
    <w:p>
      <w:pPr>
        <w:spacing w:before="0" w:after="0" w:lineRule="auto" w:line="360"/>
        <w:ind w:firstLine="480"/>
        <w:jc w:val="both"/>
      </w:pPr>
      <w:r>
        <w:rPr>
          <w:rFonts w:ascii="Times New Roman" w:hAnsi="Times New Roman" w:eastAsia="宋体"/>
          <w:b w:val="0"/>
          <w:i w:val="0"/>
          <w:sz w:val="24"/>
        </w:rPr>
        <w:t>（2）DeepFM静态特征模型表现稳健，NDCG@10提升10.8%（d=1.995），Hit@10提升5.3%，在不改变架构的前提下对分布偏移具有天然抵抗力。</w:t>
      </w:r>
    </w:p>
    <w:p>
      <w:pPr>
        <w:spacing w:before="0" w:after="0" w:lineRule="auto" w:line="360"/>
        <w:ind w:firstLine="480"/>
        <w:jc w:val="both"/>
      </w:pPr>
      <w:r>
        <w:rPr>
          <w:rFonts w:ascii="Times New Roman" w:hAnsi="Times New Roman" w:eastAsia="宋体"/>
          <w:b w:val="0"/>
          <w:i w:val="0"/>
          <w:sz w:val="24"/>
        </w:rPr>
        <w:t>（3）Caser序列模型是三类架构中最脆弱的，NDCG@10在ρ≥0.1时出现统计显著的下降（-1.8%），AUC虽小幅提升但前K排序质量实际劣化。</w:t>
      </w:r>
    </w:p>
    <w:p>
      <w:pPr>
        <w:spacing w:before="0" w:after="0" w:lineRule="auto" w:line="360"/>
        <w:ind w:firstLine="480"/>
        <w:jc w:val="both"/>
      </w:pPr>
      <w:r>
        <w:rPr>
          <w:rFonts w:ascii="Times New Roman" w:hAnsi="Times New Roman" w:eastAsia="宋体"/>
          <w:b w:val="0"/>
          <w:i w:val="0"/>
          <w:sz w:val="24"/>
        </w:rPr>
        <w:t>（4）Hybrid模型的训练动力学优势（初始损失0.207，最终损失0.180）与其在偏移下的性能优势相互印证，表明预训练权重初始化对融合模型的收敛质量至关重要。</w:t>
      </w:r>
    </w:p>
    <w:p>
      <w:pPr>
        <w:spacing w:before="120" w:after="60"/>
        <w:jc w:val="both"/>
      </w:pPr>
      <w:r>
        <w:rPr>
          <w:rFonts w:ascii="Arial" w:hAnsi="Arial" w:eastAsia="黑体"/>
          <w:b/>
          <w:i w:val="0"/>
          <w:sz w:val="24"/>
        </w:rPr>
        <w:t>5.2  理论贡献</w:t>
      </w:r>
    </w:p>
    <w:p>
      <w:pPr>
        <w:spacing w:before="0" w:after="0" w:lineRule="auto" w:line="360"/>
        <w:ind w:firstLine="480"/>
        <w:jc w:val="both"/>
      </w:pPr>
      <w:r>
        <w:rPr>
          <w:rFonts w:ascii="Times New Roman" w:hAnsi="Times New Roman" w:eastAsia="宋体"/>
          <w:b w:val="0"/>
          <w:i w:val="0"/>
          <w:sz w:val="24"/>
        </w:rPr>
        <w:t>本研究的理论贡献体现在以下三个方面：</w:t>
      </w:r>
    </w:p>
    <w:p>
      <w:pPr>
        <w:spacing w:before="0" w:after="0" w:lineRule="auto" w:line="360"/>
        <w:ind w:firstLine="480"/>
        <w:jc w:val="both"/>
      </w:pPr>
      <w:r>
        <w:rPr>
          <w:rFonts w:ascii="Times New Roman" w:hAnsi="Times New Roman" w:eastAsia="宋体"/>
          <w:b w:val="0"/>
          <w:i w:val="0"/>
          <w:sz w:val="24"/>
        </w:rPr>
        <w:t>第一，提出了基于流行项替换的偏好突变模拟框架，为推荐系统鲁棒性评估提供了可复现、可控制的实验范式，填补了现有评估体系的空白。</w:t>
      </w:r>
    </w:p>
    <w:p>
      <w:pPr>
        <w:spacing w:before="0" w:after="0" w:lineRule="auto" w:line="360"/>
        <w:ind w:firstLine="480"/>
        <w:jc w:val="both"/>
      </w:pPr>
      <w:r>
        <w:rPr>
          <w:rFonts w:ascii="Times New Roman" w:hAnsi="Times New Roman" w:eastAsia="宋体"/>
          <w:b w:val="0"/>
          <w:i w:val="0"/>
          <w:sz w:val="24"/>
        </w:rPr>
        <w:t>第二，通过横向对比证明了架构范式（序列模型 vs. 特征交叉 vs. 融合）是决定鲁棒性的关键因素，而非仅仅是超参数或训练策略，为架构设计提供了理论依据。</w:t>
      </w:r>
    </w:p>
    <w:p>
      <w:pPr>
        <w:spacing w:before="0" w:after="0" w:lineRule="auto" w:line="360"/>
        <w:ind w:firstLine="480"/>
        <w:jc w:val="both"/>
      </w:pPr>
      <w:r>
        <w:rPr>
          <w:rFonts w:ascii="Times New Roman" w:hAnsi="Times New Roman" w:eastAsia="宋体"/>
          <w:b w:val="0"/>
          <w:i w:val="0"/>
          <w:sz w:val="24"/>
        </w:rPr>
        <w:t>第三，揭示了序列依赖性与鲁棒性之间的内在张力：序列特征虽有助于个性化建模，但在分布偏移下会导致更大的性能波动，融合架构是调和这一矛盾的有效途径。</w:t>
      </w:r>
    </w:p>
    <w:p>
      <w:pPr>
        <w:spacing w:before="120" w:after="60"/>
        <w:jc w:val="both"/>
      </w:pPr>
      <w:r>
        <w:rPr>
          <w:rFonts w:ascii="Arial" w:hAnsi="Arial" w:eastAsia="黑体"/>
          <w:b/>
          <w:i w:val="0"/>
          <w:sz w:val="24"/>
        </w:rPr>
        <w:t>5.3  实践应用价值</w:t>
      </w:r>
    </w:p>
    <w:p>
      <w:pPr>
        <w:spacing w:before="0" w:after="0" w:lineRule="auto" w:line="360"/>
        <w:ind w:firstLine="480"/>
        <w:jc w:val="both"/>
      </w:pPr>
      <w:r>
        <w:rPr>
          <w:rFonts w:ascii="Times New Roman" w:hAnsi="Times New Roman" w:eastAsia="宋体"/>
          <w:b w:val="0"/>
          <w:i w:val="0"/>
          <w:sz w:val="24"/>
        </w:rPr>
        <w:t>本研究结果对工业推荐系统的架构设计具有直接指导意义：</w:t>
      </w:r>
    </w:p>
    <w:p>
      <w:pPr>
        <w:spacing w:before="0" w:after="0" w:lineRule="auto" w:line="360"/>
        <w:ind w:firstLine="480"/>
        <w:jc w:val="both"/>
      </w:pPr>
      <w:r>
        <w:rPr>
          <w:rFonts w:ascii="Times New Roman" w:hAnsi="Times New Roman" w:eastAsia="宋体"/>
          <w:b w:val="0"/>
          <w:i w:val="0"/>
          <w:sz w:val="24"/>
        </w:rPr>
        <w:t>（1）在用户行为波动频繁的场景（如新闻、直播、节假日电商）中，应避免单独使用序列模型，优先考虑融合架构或以特征交叉为核心的模型。</w:t>
      </w:r>
    </w:p>
    <w:p>
      <w:pPr>
        <w:spacing w:before="0" w:after="0" w:lineRule="auto" w:line="360"/>
        <w:ind w:firstLine="480"/>
        <w:jc w:val="both"/>
      </w:pPr>
      <w:r>
        <w:rPr>
          <w:rFonts w:ascii="Times New Roman" w:hAnsi="Times New Roman" w:eastAsia="宋体"/>
          <w:b w:val="0"/>
          <w:i w:val="0"/>
          <w:sz w:val="24"/>
        </w:rPr>
        <w:t>（2）对于已部署的序列推荐系统，可通过集成DeepFM作为辅助模块，以低代价提升系统在偏移场景下的稳健性。</w:t>
      </w:r>
    </w:p>
    <w:p>
      <w:pPr>
        <w:spacing w:before="0" w:after="0" w:lineRule="auto" w:line="360"/>
        <w:ind w:firstLine="480"/>
        <w:jc w:val="both"/>
      </w:pPr>
      <w:r>
        <w:rPr>
          <w:rFonts w:ascii="Times New Roman" w:hAnsi="Times New Roman" w:eastAsia="宋体"/>
          <w:b w:val="0"/>
          <w:i w:val="0"/>
          <w:sz w:val="24"/>
        </w:rPr>
        <w:t>（3）流行项注入测试框架可作为上线前的压力测试标准，在不需要真实偏移数据的情况下评估模型的潜在脆弱性。</w:t>
      </w:r>
    </w:p>
    <w:p>
      <w:pPr>
        <w:spacing w:before="120" w:after="60"/>
        <w:jc w:val="both"/>
      </w:pPr>
      <w:r>
        <w:rPr>
          <w:rFonts w:ascii="Arial" w:hAnsi="Arial" w:eastAsia="黑体"/>
          <w:b/>
          <w:i w:val="0"/>
          <w:sz w:val="24"/>
        </w:rPr>
        <w:t>5.4  局限性分析</w:t>
      </w:r>
    </w:p>
    <w:p>
      <w:pPr>
        <w:spacing w:before="0" w:after="0" w:lineRule="auto" w:line="360"/>
        <w:ind w:firstLine="480"/>
        <w:jc w:val="both"/>
      </w:pPr>
      <w:r>
        <w:rPr>
          <w:rFonts w:ascii="Times New Roman" w:hAnsi="Times New Roman" w:eastAsia="宋体"/>
          <w:b w:val="0"/>
          <w:i w:val="0"/>
          <w:sz w:val="24"/>
        </w:rPr>
        <w:t>本研究存在以下局限性：（1）偏移模拟机制仅覆盖了"偏好向流行项突变"这一种情景，现实中还存在偏好向小众物品演化、跨领域迁移等多样化偏移模式；（2）实验规模限于MovieLens数据集，结论在电商、音乐等其他领域的普适性有待验证；（3）仅考虑了行为数据，未建模社会影响、情境感知等外部因素对偏好突变的驱动机制；（4）Hybrid融合模型的计算复杂度高于单一模型，在实际大规模部署中的推理延迟优化有待进一步研究。</w:t>
      </w:r>
    </w:p>
    <w:p>
      <w:pPr>
        <w:spacing w:before="120" w:after="60"/>
        <w:jc w:val="both"/>
      </w:pPr>
      <w:r>
        <w:rPr>
          <w:rFonts w:ascii="Arial" w:hAnsi="Arial" w:eastAsia="黑体"/>
          <w:b/>
          <w:i w:val="0"/>
          <w:sz w:val="24"/>
        </w:rPr>
        <w:t>5.5  未来研究方向</w:t>
      </w:r>
    </w:p>
    <w:p>
      <w:pPr>
        <w:spacing w:before="0" w:after="0" w:lineRule="auto" w:line="360"/>
        <w:ind w:firstLine="480"/>
        <w:jc w:val="both"/>
      </w:pPr>
      <w:r>
        <w:rPr>
          <w:rFonts w:ascii="Times New Roman" w:hAnsi="Times New Roman" w:eastAsia="宋体"/>
          <w:b w:val="0"/>
          <w:i w:val="0"/>
          <w:sz w:val="24"/>
        </w:rPr>
        <w:t>基于上述局限性，未来研究可从以下方向延伸：（1）探索动态偏移检测机制，实时识别分布变化并触发模型自适应更新；（2）研究图神经网络（GNN）在分布偏移下的鲁棒性，比较其与序列模型、特征交叉模型的差异；（3）引入因果推断框架建模用户偏好演化的驱动因素，为去偏学习提供更坚实的理论基础；（4）在工业级数据集（如淘宝、Netflix）上验证本文结论，并探索轻量级融合方案以降低在线推理成本。</w:t>
      </w:r>
    </w:p>
    <w:p>
      <w:r>
        <w:br w:type="page"/>
      </w:r>
    </w:p>
    <w:p>
      <w:pPr>
        <w:spacing w:before="240" w:after="120"/>
        <w:jc w:val="center"/>
      </w:pPr>
      <w:r>
        <w:rPr>
          <w:rFonts w:ascii="Times New Roman" w:hAnsi="Times New Roman" w:eastAsia="仿宋"/>
          <w:b w:val="0"/>
          <w:i w:val="0"/>
          <w:sz w:val="28"/>
        </w:rPr>
        <w:t>参考文献</w:t>
      </w:r>
    </w:p>
    <w:p>
      <w:pPr>
        <w:spacing w:before="40" w:after="40" w:lineRule="auto" w:line="360"/>
        <w:ind w:firstLine="0"/>
        <w:jc w:val="both"/>
      </w:pPr>
      <w:r>
        <w:rPr>
          <w:rFonts w:ascii="Times New Roman" w:hAnsi="Times New Roman" w:eastAsia="宋体"/>
          <w:b w:val="0"/>
          <w:i w:val="0"/>
          <w:sz w:val="21"/>
        </w:rPr>
        <w:t>[1] Koren Y, Bell R, Volinsky C. Matrix factorization techniques for recommender systems[J]. Computer, 2009, 42(8): 30-37.</w:t>
      </w:r>
    </w:p>
    <w:p>
      <w:pPr>
        <w:spacing w:before="40" w:after="40" w:lineRule="auto" w:line="360"/>
        <w:ind w:firstLine="0"/>
        <w:jc w:val="both"/>
      </w:pPr>
      <w:r>
        <w:rPr>
          <w:rFonts w:ascii="Times New Roman" w:hAnsi="Times New Roman" w:eastAsia="宋体"/>
          <w:b w:val="0"/>
          <w:i w:val="0"/>
          <w:sz w:val="21"/>
        </w:rPr>
        <w:t>[2] He X, Liao L, Zhang H, et al. Neural collaborative filtering[C]//Proceedings of the 26th International Conference on World Wide Web (WWW). 2017: 173-182.</w:t>
      </w:r>
    </w:p>
    <w:p>
      <w:pPr>
        <w:spacing w:before="40" w:after="40" w:lineRule="auto" w:line="360"/>
        <w:ind w:firstLine="0"/>
        <w:jc w:val="both"/>
      </w:pPr>
      <w:r>
        <w:rPr>
          <w:rFonts w:ascii="Times New Roman" w:hAnsi="Times New Roman" w:eastAsia="宋体"/>
          <w:b w:val="0"/>
          <w:i w:val="0"/>
          <w:sz w:val="21"/>
        </w:rPr>
        <w:t>[3] Cheng H T, Koc L, Harmsen J, et al. Wide &amp; deep learning for recommender systems[C]//Proceedings of the 1st Workshop on Deep Learning for Recommender Systems. 2016: 7-10.</w:t>
      </w:r>
    </w:p>
    <w:p>
      <w:pPr>
        <w:spacing w:before="40" w:after="40" w:lineRule="auto" w:line="360"/>
        <w:ind w:firstLine="0"/>
        <w:jc w:val="both"/>
      </w:pPr>
      <w:r>
        <w:rPr>
          <w:rFonts w:ascii="Times New Roman" w:hAnsi="Times New Roman" w:eastAsia="宋体"/>
          <w:b w:val="0"/>
          <w:i w:val="0"/>
          <w:sz w:val="21"/>
        </w:rPr>
        <w:t>[4] Guo H, Tang R, Ye Y, et al. DeepFM: A factorization-machine based neural network for CTR prediction[C]//Proceedings of the 26th International Joint Conference on Artificial Intelligence (IJCAI). 2017: 1725-1731.</w:t>
      </w:r>
    </w:p>
    <w:p>
      <w:pPr>
        <w:spacing w:before="40" w:after="40" w:lineRule="auto" w:line="360"/>
        <w:ind w:firstLine="0"/>
        <w:jc w:val="both"/>
      </w:pPr>
      <w:r>
        <w:rPr>
          <w:rFonts w:ascii="Times New Roman" w:hAnsi="Times New Roman" w:eastAsia="宋体"/>
          <w:b w:val="0"/>
          <w:i w:val="0"/>
          <w:sz w:val="21"/>
        </w:rPr>
        <w:t>[5] Zhou G, Zhu X, Song C, et al. Deep interest network for click-through rate prediction[C]//Proceedings of the 24th ACM SIGKDD International Conference on Knowledge Discovery and Data Mining (KDD). 2018: 1059-1068.</w:t>
      </w:r>
    </w:p>
    <w:p>
      <w:pPr>
        <w:spacing w:before="40" w:after="40" w:lineRule="auto" w:line="360"/>
        <w:ind w:firstLine="0"/>
        <w:jc w:val="both"/>
      </w:pPr>
      <w:r>
        <w:rPr>
          <w:rFonts w:ascii="Times New Roman" w:hAnsi="Times New Roman" w:eastAsia="宋体"/>
          <w:b w:val="0"/>
          <w:i w:val="0"/>
          <w:sz w:val="21"/>
        </w:rPr>
        <w:t>[6] Zhou G, Mou N, Fan Y, et al. Deep interest evolution network for click-through rate prediction[C]//Proceedings of the AAAI Conference on Artificial Intelligence. 2019: 5941-5948.</w:t>
      </w:r>
    </w:p>
    <w:p>
      <w:pPr>
        <w:spacing w:before="40" w:after="40" w:lineRule="auto" w:line="360"/>
        <w:ind w:firstLine="0"/>
        <w:jc w:val="both"/>
      </w:pPr>
      <w:r>
        <w:rPr>
          <w:rFonts w:ascii="Times New Roman" w:hAnsi="Times New Roman" w:eastAsia="宋体"/>
          <w:b w:val="0"/>
          <w:i w:val="0"/>
          <w:sz w:val="21"/>
        </w:rPr>
        <w:t>[7] Rendle S, Freudenthaler C, Schmidt-Thieme L. Factorizing personalized Markov chains for next-basket recommendation[C]//Proceedings of the 19th International Conference on World Wide Web (WWW). 2010: 811-820.</w:t>
      </w:r>
    </w:p>
    <w:p>
      <w:pPr>
        <w:spacing w:before="40" w:after="40" w:lineRule="auto" w:line="360"/>
        <w:ind w:firstLine="0"/>
        <w:jc w:val="both"/>
      </w:pPr>
      <w:r>
        <w:rPr>
          <w:rFonts w:ascii="Times New Roman" w:hAnsi="Times New Roman" w:eastAsia="宋体"/>
          <w:b w:val="0"/>
          <w:i w:val="0"/>
          <w:sz w:val="21"/>
        </w:rPr>
        <w:t>[8] Hidasi B, Karatzoglou A, Baltrunas L, et al. Session-based recommendations with recurrent neural networks[C]//Proceedings of the International Conference on Learning Representations (ICLR). 2016.</w:t>
      </w:r>
    </w:p>
    <w:p>
      <w:pPr>
        <w:spacing w:before="40" w:after="40" w:lineRule="auto" w:line="360"/>
        <w:ind w:firstLine="0"/>
        <w:jc w:val="both"/>
      </w:pPr>
      <w:r>
        <w:rPr>
          <w:rFonts w:ascii="Times New Roman" w:hAnsi="Times New Roman" w:eastAsia="宋体"/>
          <w:b w:val="0"/>
          <w:i w:val="0"/>
          <w:sz w:val="21"/>
        </w:rPr>
        <w:t>[9] Tang J, Wang K. Personalized top-N sequential recommendation via convolutional sequence embedding[C]//Proceedings of the 11th ACM International Conference on Web Search and Data Mining (WSDM). 2018: 565-573.</w:t>
      </w:r>
    </w:p>
    <w:p>
      <w:pPr>
        <w:spacing w:before="40" w:after="40" w:lineRule="auto" w:line="360"/>
        <w:ind w:firstLine="0"/>
        <w:jc w:val="both"/>
      </w:pPr>
      <w:r>
        <w:rPr>
          <w:rFonts w:ascii="Times New Roman" w:hAnsi="Times New Roman" w:eastAsia="宋体"/>
          <w:b w:val="0"/>
          <w:i w:val="0"/>
          <w:sz w:val="21"/>
        </w:rPr>
        <w:t>[10] Rendle S. Factorization machines[C]//Proceedings of the 10th IEEE International Conference on Data Mining (ICDM). 2010: 995-1000.</w:t>
      </w:r>
    </w:p>
    <w:p>
      <w:pPr>
        <w:spacing w:before="40" w:after="40" w:lineRule="auto" w:line="360"/>
        <w:ind w:firstLine="0"/>
        <w:jc w:val="both"/>
      </w:pPr>
      <w:r>
        <w:rPr>
          <w:rFonts w:ascii="Times New Roman" w:hAnsi="Times New Roman" w:eastAsia="宋体"/>
          <w:b w:val="0"/>
          <w:i w:val="0"/>
          <w:sz w:val="21"/>
        </w:rPr>
        <w:t>[11] Schnabel T, Swaminathan A, Singh A, et al. Recommendations as treatments: Debiasing learning and evaluation[C]//Proceedings of the 33rd International Conference on Machine Learning (ICML). 2016: 1670-1679.</w:t>
      </w:r>
    </w:p>
    <w:p>
      <w:pPr>
        <w:spacing w:before="40" w:after="40" w:lineRule="auto" w:line="360"/>
        <w:ind w:firstLine="0"/>
        <w:jc w:val="both"/>
      </w:pPr>
      <w:r>
        <w:rPr>
          <w:rFonts w:ascii="Times New Roman" w:hAnsi="Times New Roman" w:eastAsia="宋体"/>
          <w:b w:val="0"/>
          <w:i w:val="0"/>
          <w:sz w:val="21"/>
        </w:rPr>
        <w:t>[12] Zhang Y, Feng F, He X, et al. Causal intervention for leveraging popularity bias in recommendation[C]//Proceedings of the 44th International ACM SIGIR Conference on Research and Development in Information Retrieval (SIGIR). 2021: 11-20.</w:t>
      </w:r>
    </w:p>
    <w:p>
      <w:pPr>
        <w:spacing w:before="40" w:after="40" w:lineRule="auto" w:line="360"/>
        <w:ind w:firstLine="0"/>
        <w:jc w:val="both"/>
      </w:pPr>
      <w:r>
        <w:rPr>
          <w:rFonts w:ascii="Times New Roman" w:hAnsi="Times New Roman" w:eastAsia="宋体"/>
          <w:b w:val="0"/>
          <w:i w:val="0"/>
          <w:sz w:val="21"/>
        </w:rPr>
        <w:t>[13] Deldjoo Y, Beliakov G, Fang M, et al. A survey on adversarial recommender systems: from attack/defense strategies to generative adversarial networks[J]. ACM Computing Surveys, 2021, 54(2): 1-38.</w:t>
      </w:r>
    </w:p>
    <w:p>
      <w:pPr>
        <w:spacing w:before="40" w:after="40" w:lineRule="auto" w:line="360"/>
        <w:ind w:firstLine="0"/>
        <w:jc w:val="both"/>
      </w:pPr>
      <w:r>
        <w:rPr>
          <w:rFonts w:ascii="Times New Roman" w:hAnsi="Times New Roman" w:eastAsia="宋体"/>
          <w:b w:val="0"/>
          <w:i w:val="0"/>
          <w:sz w:val="21"/>
        </w:rPr>
        <w:t>[14] Man T, Shen H, Jin X, et al. Cross-domain recommendation: An embedding and mapping approach[C]//Proceedings of the 26th International Joint Conference on Artificial Intelligence (IJCAI). 2017: 2464-2470.</w:t>
      </w:r>
    </w:p>
    <w:p>
      <w:pPr>
        <w:spacing w:before="40" w:after="40" w:lineRule="auto" w:line="360"/>
        <w:ind w:firstLine="0"/>
        <w:jc w:val="both"/>
      </w:pPr>
      <w:r>
        <w:rPr>
          <w:rFonts w:ascii="Times New Roman" w:hAnsi="Times New Roman" w:eastAsia="宋体"/>
          <w:b w:val="0"/>
          <w:i w:val="0"/>
          <w:sz w:val="21"/>
        </w:rPr>
        <w:t>[15] He R, McAuley J. Fusing similarity models with Markov chains for sparse sequential recommendation[C]//Proceedings of the 16th IEEE International Conference on Data Mining (ICDM). 2016: 191-200.</w:t>
      </w:r>
    </w:p>
    <w:p>
      <w:pPr>
        <w:spacing w:before="40" w:after="40" w:lineRule="auto" w:line="360"/>
        <w:ind w:firstLine="0"/>
        <w:jc w:val="both"/>
      </w:pPr>
      <w:r>
        <w:rPr>
          <w:rFonts w:ascii="Times New Roman" w:hAnsi="Times New Roman" w:eastAsia="宋体"/>
          <w:b w:val="0"/>
          <w:i w:val="0"/>
          <w:sz w:val="21"/>
        </w:rPr>
        <w:t>[16] Kang W, McAuley J. Self-attentive sequential recommendation[C]//Proceedings of the 18th IEEE International Conference on Data Mining (ICDM). 2018: 197-206.</w:t>
      </w:r>
    </w:p>
    <w:p>
      <w:pPr>
        <w:spacing w:before="40" w:after="40" w:lineRule="auto" w:line="360"/>
        <w:ind w:firstLine="0"/>
        <w:jc w:val="both"/>
      </w:pPr>
      <w:r>
        <w:rPr>
          <w:rFonts w:ascii="Times New Roman" w:hAnsi="Times New Roman" w:eastAsia="宋体"/>
          <w:b w:val="0"/>
          <w:i w:val="0"/>
          <w:sz w:val="21"/>
        </w:rPr>
        <w:t>[17] Sun F, Liu J, Wu J, et al. BERT4Rec: Sequential recommendation with bidirectional encoder representations from transformer[C]//Proceedings of the 28th ACM International Conference on Information and Knowledge Management (CIKM). 2019: 1441-1450.</w:t>
      </w:r>
    </w:p>
    <w:p>
      <w:pPr>
        <w:spacing w:before="40" w:after="40" w:lineRule="auto" w:line="360"/>
        <w:ind w:firstLine="0"/>
        <w:jc w:val="both"/>
      </w:pPr>
      <w:r>
        <w:rPr>
          <w:rFonts w:ascii="Times New Roman" w:hAnsi="Times New Roman" w:eastAsia="宋体"/>
          <w:b w:val="0"/>
          <w:i w:val="0"/>
          <w:sz w:val="21"/>
        </w:rPr>
        <w:t>[18] Gama J, Žliobaitė I, Bifet A, et al. A survey on concept drift adaptation[J]. ACM Computing Surveys, 2014, 46(4): 1-37.</w:t>
      </w:r>
    </w:p>
    <w:p>
      <w:pPr>
        <w:spacing w:before="40" w:after="40" w:lineRule="auto" w:line="360"/>
        <w:ind w:firstLine="0"/>
        <w:jc w:val="both"/>
      </w:pPr>
      <w:r>
        <w:rPr>
          <w:rFonts w:ascii="Times New Roman" w:hAnsi="Times New Roman" w:eastAsia="宋体"/>
          <w:b w:val="0"/>
          <w:i w:val="0"/>
          <w:sz w:val="21"/>
        </w:rPr>
        <w:t>[19] Lim D, Buntine W, Jin H, et al. Evolutionary preference learning via graph nested GRU ODE for session-based recommendation[C]//Proceedings of the 31st ACM International Conference on Information and Knowledge Management (CIKM). 2022: 1205-1215.</w:t>
      </w:r>
    </w:p>
    <w:p>
      <w:pPr>
        <w:spacing w:before="40" w:after="40" w:lineRule="auto" w:line="360"/>
        <w:ind w:firstLine="0"/>
        <w:jc w:val="both"/>
      </w:pPr>
      <w:r>
        <w:rPr>
          <w:rFonts w:ascii="Times New Roman" w:hAnsi="Times New Roman" w:eastAsia="宋体"/>
          <w:b w:val="0"/>
          <w:i w:val="0"/>
          <w:sz w:val="21"/>
        </w:rPr>
        <w:t>[20] Harper F M, Konstan J A. The MovieLens datasets: History and context[J]. ACM Transactions on Interactive Intelligent Systems, 2016, 5(4): 1-19.</w:t>
      </w:r>
    </w:p>
    <w:p>
      <w:r>
        <w:br w:type="page"/>
      </w:r>
    </w:p>
    <w:p>
      <w:pPr>
        <w:spacing w:before="240" w:after="120"/>
        <w:jc w:val="center"/>
      </w:pPr>
      <w:r>
        <w:rPr>
          <w:rFonts w:ascii="Times New Roman" w:hAnsi="Times New Roman" w:eastAsia="仿宋"/>
          <w:b w:val="0"/>
          <w:i w:val="0"/>
          <w:sz w:val="28"/>
        </w:rPr>
        <w:t>致    谢</w:t>
      </w:r>
    </w:p>
    <w:p>
      <w:pPr>
        <w:spacing w:before="0" w:after="0" w:lineRule="auto" w:line="360"/>
        <w:ind w:firstLine="480"/>
        <w:jc w:val="both"/>
      </w:pPr>
      <w:r>
        <w:rPr>
          <w:rFonts w:ascii="Times New Roman" w:hAnsi="Times New Roman" w:eastAsia="宋体"/>
          <w:b w:val="0"/>
          <w:i w:val="0"/>
          <w:sz w:val="24"/>
        </w:rPr>
        <w:t>本论文的顺利完成，离不开众多师友的悉心指导与热情帮助，谨在此致以诚挚的感谢。</w:t>
      </w:r>
    </w:p>
    <w:p>
      <w:pPr>
        <w:spacing w:before="0" w:after="0" w:lineRule="auto" w:line="360"/>
        <w:ind w:firstLine="480"/>
        <w:jc w:val="both"/>
      </w:pPr>
      <w:r>
        <w:rPr>
          <w:rFonts w:ascii="Times New Roman" w:hAnsi="Times New Roman" w:eastAsia="宋体"/>
          <w:b w:val="0"/>
          <w:i w:val="0"/>
          <w:sz w:val="24"/>
        </w:rPr>
        <w:t>首先，衷心感谢指导教师（请填写姓名）老师在论文选题、实验设计、数据分析及写作修改全程的耐心指导。老师严谨的治学态度和深厚的专业功底令我受益匪浅，在遇到困难时给予了宝贵的方向性建议，是本论文得以顺利完成的最重要保障。</w:t>
      </w:r>
    </w:p>
    <w:p>
      <w:pPr>
        <w:spacing w:before="0" w:after="0" w:lineRule="auto" w:line="360"/>
        <w:ind w:firstLine="480"/>
        <w:jc w:val="both"/>
      </w:pPr>
      <w:r>
        <w:rPr>
          <w:rFonts w:ascii="Times New Roman" w:hAnsi="Times New Roman" w:eastAsia="宋体"/>
          <w:b w:val="0"/>
          <w:i w:val="0"/>
          <w:sz w:val="24"/>
        </w:rPr>
        <w:t>感谢计算机学院推荐系统研究小组的同学们，特别感谢（请填写姓名）在实验代码调试和可视化设计方面提供的协助。课题组良好的学术氛围和互帮互助的团队精神是本研究顺利推进的重要动力。</w:t>
      </w:r>
    </w:p>
    <w:p>
      <w:pPr>
        <w:spacing w:before="0" w:after="0" w:lineRule="auto" w:line="360"/>
        <w:ind w:firstLine="480"/>
        <w:jc w:val="both"/>
      </w:pPr>
      <w:r>
        <w:rPr>
          <w:rFonts w:ascii="Times New Roman" w:hAnsi="Times New Roman" w:eastAsia="宋体"/>
          <w:b w:val="0"/>
          <w:i w:val="0"/>
          <w:sz w:val="24"/>
        </w:rPr>
        <w:t>感谢MovieLens数据集的维护团队（GroupLens Research, University of Minnesota）将高质量的公开数据集长期维护并向研究社区免费开放，本研究的实验得以顺利开展离不开这一宝贵资源。</w:t>
      </w:r>
    </w:p>
    <w:p>
      <w:pPr>
        <w:spacing w:before="0" w:after="0" w:lineRule="auto" w:line="360"/>
        <w:ind w:firstLine="480"/>
        <w:jc w:val="both"/>
      </w:pPr>
      <w:r>
        <w:rPr>
          <w:rFonts w:ascii="Times New Roman" w:hAnsi="Times New Roman" w:eastAsia="宋体"/>
          <w:b w:val="0"/>
          <w:i w:val="0"/>
          <w:sz w:val="24"/>
        </w:rPr>
        <w:t>感谢父母多年来对我求学之路的无私支持与默默付出，他们的理解与鼓励是我坚持完成学业的最大动力。</w:t>
      </w:r>
    </w:p>
    <w:p>
      <w:pPr>
        <w:spacing w:before="0" w:after="0" w:lineRule="auto" w:line="360"/>
        <w:ind w:firstLine="480"/>
        <w:jc w:val="both"/>
      </w:pPr>
      <w:r>
        <w:rPr>
          <w:rFonts w:ascii="Times New Roman" w:hAnsi="Times New Roman" w:eastAsia="宋体"/>
          <w:b w:val="0"/>
          <w:i w:val="0"/>
          <w:sz w:val="24"/>
        </w:rPr>
        <w:t>由于研究时间和个人能力有限，本文难免存在不足之处，恳请各位老师和同学批评指正。</w:t>
      </w:r>
    </w:p>
    <w:p>
      <w:r>
        <w:br w:type="page"/>
      </w:r>
    </w:p>
    <w:p>
      <w:pPr>
        <w:spacing w:before="240" w:after="120"/>
        <w:jc w:val="center"/>
      </w:pPr>
      <w:r>
        <w:rPr>
          <w:rFonts w:ascii="Times New Roman" w:hAnsi="Times New Roman" w:eastAsia="仿宋"/>
          <w:b w:val="0"/>
          <w:i w:val="0"/>
          <w:sz w:val="28"/>
        </w:rPr>
        <w:t>附录A  完整实验数据表</w:t>
      </w:r>
    </w:p>
    <w:p>
      <w:pPr>
        <w:spacing w:before="0" w:after="0" w:lineRule="auto" w:line="360"/>
        <w:ind w:firstLine="480"/>
        <w:jc w:val="both"/>
      </w:pPr>
      <w:r>
        <w:rPr>
          <w:rFonts w:ascii="Times New Roman" w:hAnsi="Times New Roman" w:eastAsia="宋体"/>
          <w:b w:val="0"/>
          <w:i w:val="0"/>
          <w:sz w:val="24"/>
        </w:rPr>
        <w:t>表A-1给出了三个模型在五种偏移比例下全部10个随机种子的NDCG@10原始记录（部分展示）。完整数据存储于文件 thesis_data.csv，格式为CSV，包含字段：seed, shift_ratio, model, AUC, NDCG@10, NDCG@20, Hit@10, Hit@20。</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Borders>
              <w:top w:val="single" w:sz="8" w:space="0" w:color="000000"/>
              <w:bottom w:val="single" w:sz="4" w:space="0" w:color="000000"/>
              <w:left w:val="nil" w:sz="4" w:space="0" w:color="000000"/>
              <w:right w:val="nil" w:sz="4" w:space="0" w:color="000000"/>
            </w:tcBorders>
          </w:tcPr>
          <w:p>
            <w:pPr>
              <w:jc w:val="center"/>
            </w:pPr>
            <w:r/>
            <w:r>
              <w:rPr>
                <w:rFonts w:ascii="Times New Roman" w:hAnsi="Times New Roman" w:eastAsia="宋体"/>
                <w:b/>
                <w:i w:val="0"/>
                <w:sz w:val="21"/>
              </w:rPr>
              <w:t>Seed</w:t>
            </w:r>
          </w:p>
        </w:tc>
        <w:tc>
          <w:tcPr>
            <w:tcW w:type="dxa" w:w="1938"/>
            <w:tcBorders>
              <w:top w:val="single" w:sz="8" w:space="0" w:color="000000"/>
              <w:bottom w:val="single" w:sz="4" w:space="0" w:color="000000"/>
              <w:left w:val="nil" w:sz="4" w:space="0" w:color="000000"/>
              <w:right w:val="nil" w:sz="4" w:space="0" w:color="000000"/>
            </w:tcBorders>
          </w:tcPr>
          <w:p>
            <w:pPr>
              <w:jc w:val="center"/>
            </w:pPr>
            <w:r/>
            <w:r>
              <w:rPr>
                <w:rFonts w:ascii="Times New Roman" w:hAnsi="Times New Roman" w:eastAsia="宋体"/>
                <w:b/>
                <w:i w:val="0"/>
                <w:sz w:val="21"/>
              </w:rPr>
              <w:t>偏移比例ρ</w:t>
            </w:r>
          </w:p>
        </w:tc>
        <w:tc>
          <w:tcPr>
            <w:tcW w:type="dxa" w:w="1938"/>
            <w:tcBorders>
              <w:top w:val="single" w:sz="8" w:space="0" w:color="000000"/>
              <w:bottom w:val="single" w:sz="4" w:space="0" w:color="000000"/>
              <w:left w:val="nil" w:sz="4" w:space="0" w:color="000000"/>
              <w:right w:val="nil" w:sz="4" w:space="0" w:color="000000"/>
            </w:tcBorders>
          </w:tcPr>
          <w:p>
            <w:pPr>
              <w:jc w:val="center"/>
            </w:pPr>
            <w:r/>
            <w:r>
              <w:rPr>
                <w:rFonts w:ascii="Times New Roman" w:hAnsi="Times New Roman" w:eastAsia="宋体"/>
                <w:b/>
                <w:i w:val="0"/>
                <w:sz w:val="21"/>
              </w:rPr>
              <w:t>Caser NDCG@10</w:t>
            </w:r>
          </w:p>
        </w:tc>
        <w:tc>
          <w:tcPr>
            <w:tcW w:type="dxa" w:w="1938"/>
            <w:tcBorders>
              <w:top w:val="single" w:sz="8" w:space="0" w:color="000000"/>
              <w:bottom w:val="single" w:sz="4" w:space="0" w:color="000000"/>
              <w:left w:val="nil" w:sz="4" w:space="0" w:color="000000"/>
              <w:right w:val="nil" w:sz="4" w:space="0" w:color="000000"/>
            </w:tcBorders>
          </w:tcPr>
          <w:p>
            <w:pPr>
              <w:jc w:val="center"/>
            </w:pPr>
            <w:r/>
            <w:r>
              <w:rPr>
                <w:rFonts w:ascii="Times New Roman" w:hAnsi="Times New Roman" w:eastAsia="宋体"/>
                <w:b/>
                <w:i w:val="0"/>
                <w:sz w:val="21"/>
              </w:rPr>
              <w:t>DeepFM NDCG@10</w:t>
            </w:r>
          </w:p>
        </w:tc>
        <w:tc>
          <w:tcPr>
            <w:tcW w:type="dxa" w:w="1938"/>
            <w:tcBorders>
              <w:top w:val="single" w:sz="8" w:space="0" w:color="000000"/>
              <w:bottom w:val="single" w:sz="4" w:space="0" w:color="000000"/>
              <w:left w:val="nil" w:sz="4" w:space="0" w:color="000000"/>
              <w:right w:val="nil" w:sz="4" w:space="0" w:color="000000"/>
            </w:tcBorders>
          </w:tcPr>
          <w:p>
            <w:pPr>
              <w:jc w:val="center"/>
            </w:pPr>
            <w:r/>
            <w:r>
              <w:rPr>
                <w:rFonts w:ascii="Times New Roman" w:hAnsi="Times New Roman" w:eastAsia="宋体"/>
                <w:b/>
                <w:i w:val="0"/>
                <w:sz w:val="21"/>
              </w:rPr>
              <w:t>Hybrid NDCG@10</w:t>
            </w:r>
          </w:p>
        </w:tc>
      </w:tr>
      <w:tr>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42</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0.1051</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0.0878</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0.0859</w:t>
            </w:r>
          </w:p>
        </w:tc>
      </w:tr>
      <w:tr>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42</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0.05</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0.1046</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0.0901</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0.0887</w:t>
            </w:r>
          </w:p>
        </w:tc>
      </w:tr>
      <w:tr>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42</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0.1</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0.1038</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0.0921</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0.0918</w:t>
            </w:r>
          </w:p>
        </w:tc>
      </w:tr>
      <w:tr>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42</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0.2</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0.1033</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0.0944</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0.0951</w:t>
            </w:r>
          </w:p>
        </w:tc>
      </w:tr>
      <w:tr>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42</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0.3</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0.1032</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0.0973</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0.1022</w:t>
            </w:r>
          </w:p>
        </w:tc>
      </w:tr>
      <w:tr>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51</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0.1046</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0.0874</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0.0856</w:t>
            </w:r>
          </w:p>
        </w:tc>
      </w:tr>
      <w:tr>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51</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0.05</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0.1041</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0.0896</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0.0882</w:t>
            </w:r>
          </w:p>
        </w:tc>
      </w:tr>
      <w:tr>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51</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0.1</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0.1033</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0.0916</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0.0913</w:t>
            </w:r>
          </w:p>
        </w:tc>
      </w:tr>
      <w:tr>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51</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0.2</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0.1028</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0.0939</w:t>
            </w:r>
          </w:p>
        </w:tc>
        <w:tc>
          <w:tcPr>
            <w:tcW w:type="dxa" w:w="1938"/>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0.0946</w:t>
            </w:r>
          </w:p>
        </w:tc>
      </w:tr>
      <w:tr>
        <w:tc>
          <w:tcPr>
            <w:tcW w:type="dxa" w:w="1938"/>
            <w:tcBorders>
              <w:top w:val="nil" w:sz="4" w:space="0" w:color="000000"/>
              <w:bottom w:val="single" w:sz="8" w:space="0" w:color="000000"/>
              <w:left w:val="nil" w:sz="4" w:space="0" w:color="000000"/>
              <w:right w:val="nil" w:sz="4" w:space="0" w:color="000000"/>
            </w:tcBorders>
          </w:tcPr>
          <w:p>
            <w:pPr>
              <w:jc w:val="center"/>
            </w:pPr>
            <w:r/>
            <w:r>
              <w:rPr>
                <w:rFonts w:ascii="Times New Roman" w:hAnsi="Times New Roman" w:eastAsia="宋体"/>
                <w:b w:val="0"/>
                <w:i w:val="0"/>
                <w:sz w:val="21"/>
              </w:rPr>
              <w:t>51</w:t>
            </w:r>
          </w:p>
        </w:tc>
        <w:tc>
          <w:tcPr>
            <w:tcW w:type="dxa" w:w="1938"/>
            <w:tcBorders>
              <w:top w:val="nil" w:sz="4" w:space="0" w:color="000000"/>
              <w:bottom w:val="single" w:sz="8" w:space="0" w:color="000000"/>
              <w:left w:val="nil" w:sz="4" w:space="0" w:color="000000"/>
              <w:right w:val="nil" w:sz="4" w:space="0" w:color="000000"/>
            </w:tcBorders>
          </w:tcPr>
          <w:p>
            <w:pPr>
              <w:jc w:val="center"/>
            </w:pPr>
            <w:r/>
            <w:r>
              <w:rPr>
                <w:rFonts w:ascii="Times New Roman" w:hAnsi="Times New Roman" w:eastAsia="宋体"/>
                <w:b w:val="0"/>
                <w:i w:val="0"/>
                <w:sz w:val="21"/>
              </w:rPr>
              <w:t>0.3</w:t>
            </w:r>
          </w:p>
        </w:tc>
        <w:tc>
          <w:tcPr>
            <w:tcW w:type="dxa" w:w="1938"/>
            <w:tcBorders>
              <w:top w:val="nil" w:sz="4" w:space="0" w:color="000000"/>
              <w:bottom w:val="single" w:sz="8" w:space="0" w:color="000000"/>
              <w:left w:val="nil" w:sz="4" w:space="0" w:color="000000"/>
              <w:right w:val="nil" w:sz="4" w:space="0" w:color="000000"/>
            </w:tcBorders>
          </w:tcPr>
          <w:p>
            <w:pPr>
              <w:jc w:val="center"/>
            </w:pPr>
            <w:r/>
            <w:r>
              <w:rPr>
                <w:rFonts w:ascii="Times New Roman" w:hAnsi="Times New Roman" w:eastAsia="宋体"/>
                <w:b w:val="0"/>
                <w:i w:val="0"/>
                <w:sz w:val="21"/>
              </w:rPr>
              <w:t>0.1027</w:t>
            </w:r>
          </w:p>
        </w:tc>
        <w:tc>
          <w:tcPr>
            <w:tcW w:type="dxa" w:w="1938"/>
            <w:tcBorders>
              <w:top w:val="nil" w:sz="4" w:space="0" w:color="000000"/>
              <w:bottom w:val="single" w:sz="8" w:space="0" w:color="000000"/>
              <w:left w:val="nil" w:sz="4" w:space="0" w:color="000000"/>
              <w:right w:val="nil" w:sz="4" w:space="0" w:color="000000"/>
            </w:tcBorders>
          </w:tcPr>
          <w:p>
            <w:pPr>
              <w:jc w:val="center"/>
            </w:pPr>
            <w:r/>
            <w:r>
              <w:rPr>
                <w:rFonts w:ascii="Times New Roman" w:hAnsi="Times New Roman" w:eastAsia="宋体"/>
                <w:b w:val="0"/>
                <w:i w:val="0"/>
                <w:sz w:val="21"/>
              </w:rPr>
              <w:t>0.0968</w:t>
            </w:r>
          </w:p>
        </w:tc>
        <w:tc>
          <w:tcPr>
            <w:tcW w:type="dxa" w:w="1938"/>
            <w:tcBorders>
              <w:top w:val="nil" w:sz="4" w:space="0" w:color="000000"/>
              <w:bottom w:val="single" w:sz="8" w:space="0" w:color="000000"/>
              <w:left w:val="nil" w:sz="4" w:space="0" w:color="000000"/>
              <w:right w:val="nil" w:sz="4" w:space="0" w:color="000000"/>
            </w:tcBorders>
          </w:tcPr>
          <w:p>
            <w:pPr>
              <w:jc w:val="center"/>
            </w:pPr>
            <w:r/>
            <w:r>
              <w:rPr>
                <w:rFonts w:ascii="Times New Roman" w:hAnsi="Times New Roman" w:eastAsia="宋体"/>
                <w:b w:val="0"/>
                <w:i w:val="0"/>
                <w:sz w:val="21"/>
              </w:rPr>
              <w:t>0.1017</w:t>
            </w:r>
          </w:p>
        </w:tc>
      </w:tr>
    </w:tbl>
    <w:p>
      <w:pPr>
        <w:spacing w:before="60" w:after="120"/>
        <w:jc w:val="center"/>
      </w:pPr>
      <w:r>
        <w:rPr>
          <w:rFonts w:ascii="Times New Roman" w:hAnsi="Times New Roman" w:eastAsia="宋体"/>
          <w:b w:val="0"/>
          <w:i w:val="0"/>
          <w:sz w:val="21"/>
        </w:rPr>
        <w:t>表A-1  NDCG@10原始数据（部分展示，完整数据见thesis_data.csv）</w:t>
      </w:r>
    </w:p>
    <w:p>
      <w:r>
        <w:br w:type="page"/>
      </w:r>
    </w:p>
    <w:p>
      <w:pPr>
        <w:spacing w:before="240" w:after="120"/>
        <w:jc w:val="center"/>
      </w:pPr>
      <w:r>
        <w:rPr>
          <w:rFonts w:ascii="Times New Roman" w:hAnsi="Times New Roman" w:eastAsia="仿宋"/>
          <w:b w:val="0"/>
          <w:i w:val="0"/>
          <w:sz w:val="28"/>
        </w:rPr>
        <w:t>附录B  Python代码结构说明</w:t>
      </w:r>
    </w:p>
    <w:p>
      <w:pPr>
        <w:spacing w:before="0" w:after="0" w:lineRule="auto" w:line="360"/>
        <w:ind w:firstLine="480"/>
        <w:jc w:val="both"/>
      </w:pPr>
      <w:r>
        <w:rPr>
          <w:rFonts w:ascii="Times New Roman" w:hAnsi="Times New Roman" w:eastAsia="宋体"/>
          <w:b w:val="0"/>
          <w:i w:val="0"/>
          <w:sz w:val="24"/>
        </w:rPr>
        <w:t>本研究的实验代码采用模块化设计，主要结构如下：</w:t>
      </w:r>
    </w:p>
    <w:tbl>
      <w:tblPr>
        <w:tblStyle w:val="TableGrid"/>
        <w:tblW w:type="auto" w:w="0"/>
        <w:jc w:val="center"/>
        <w:tblLook w:firstColumn="1" w:firstRow="1" w:lastColumn="0" w:lastRow="0" w:noHBand="0" w:noVBand="1" w:val="04A0"/>
      </w:tblPr>
      <w:tblGrid>
        <w:gridCol w:w="4844"/>
        <w:gridCol w:w="4844"/>
      </w:tblGrid>
      <w:tr>
        <w:tc>
          <w:tcPr>
            <w:tcW w:type="dxa" w:w="4844"/>
            <w:tcBorders>
              <w:top w:val="single" w:sz="8" w:space="0" w:color="000000"/>
              <w:bottom w:val="single" w:sz="4" w:space="0" w:color="000000"/>
              <w:left w:val="nil" w:sz="4" w:space="0" w:color="000000"/>
              <w:right w:val="nil" w:sz="4" w:space="0" w:color="000000"/>
            </w:tcBorders>
          </w:tcPr>
          <w:p>
            <w:pPr>
              <w:jc w:val="center"/>
            </w:pPr>
            <w:r/>
            <w:r>
              <w:rPr>
                <w:rFonts w:ascii="Times New Roman" w:hAnsi="Times New Roman" w:eastAsia="宋体"/>
                <w:b/>
                <w:i w:val="0"/>
                <w:sz w:val="21"/>
              </w:rPr>
              <w:t>文件/目录</w:t>
            </w:r>
          </w:p>
        </w:tc>
        <w:tc>
          <w:tcPr>
            <w:tcW w:type="dxa" w:w="4844"/>
            <w:tcBorders>
              <w:top w:val="single" w:sz="8" w:space="0" w:color="000000"/>
              <w:bottom w:val="single" w:sz="4" w:space="0" w:color="000000"/>
              <w:left w:val="nil" w:sz="4" w:space="0" w:color="000000"/>
              <w:right w:val="nil" w:sz="4" w:space="0" w:color="000000"/>
            </w:tcBorders>
          </w:tcPr>
          <w:p>
            <w:pPr>
              <w:jc w:val="center"/>
            </w:pPr>
            <w:r/>
            <w:r>
              <w:rPr>
                <w:rFonts w:ascii="Times New Roman" w:hAnsi="Times New Roman" w:eastAsia="宋体"/>
                <w:b/>
                <w:i w:val="0"/>
                <w:sz w:val="21"/>
              </w:rPr>
              <w:t>说明</w:t>
            </w:r>
          </w:p>
        </w:tc>
      </w:tr>
      <w:tr>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data/</w:t>
            </w:r>
          </w:p>
        </w:tc>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MovieLens 25M原始数据及预处理输出目录</w:t>
            </w:r>
          </w:p>
        </w:tc>
      </w:tr>
      <w:tr>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features/</w:t>
            </w:r>
          </w:p>
        </w:tc>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Word2Vec、TF-IDF、SVD特征文件</w:t>
            </w:r>
          </w:p>
        </w:tc>
      </w:tr>
      <w:tr>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models/</w:t>
            </w:r>
          </w:p>
        </w:tc>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模型定义：caser.py、deepfm.py、hybrid.py</w:t>
            </w:r>
          </w:p>
        </w:tc>
      </w:tr>
      <w:tr>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train.py</w:t>
            </w:r>
          </w:p>
        </w:tc>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统一训练入口，支持命令行参数配置</w:t>
            </w:r>
          </w:p>
        </w:tc>
      </w:tr>
      <w:tr>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evaluate.py</w:t>
            </w:r>
          </w:p>
        </w:tc>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评估脚本，计算AUC/NDCG/Hit@K</w:t>
            </w:r>
          </w:p>
        </w:tc>
      </w:tr>
      <w:tr>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simulate_shift.py</w:t>
            </w:r>
          </w:p>
        </w:tc>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偏好突变模拟，实现流行项替换逻辑</w:t>
            </w:r>
          </w:p>
        </w:tc>
      </w:tr>
      <w:tr>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hyperopt_search.py</w:t>
            </w:r>
          </w:p>
        </w:tc>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BOHB超参搜索脚本（基于Optuna框架）</w:t>
            </w:r>
          </w:p>
        </w:tc>
      </w:tr>
      <w:tr>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visualize.py</w:t>
            </w:r>
          </w:p>
        </w:tc>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可视化脚本，生成论文中所有图表</w:t>
            </w:r>
          </w:p>
        </w:tc>
      </w:tr>
      <w:tr>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thesis_data.csv</w:t>
            </w:r>
          </w:p>
        </w:tc>
        <w:tc>
          <w:tcPr>
            <w:tcW w:type="dxa" w:w="4844"/>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实验结果汇总CSV文件</w:t>
            </w:r>
          </w:p>
        </w:tc>
      </w:tr>
      <w:tr>
        <w:tc>
          <w:tcPr>
            <w:tcW w:type="dxa" w:w="4844"/>
            <w:tcBorders>
              <w:top w:val="nil" w:sz="4" w:space="0" w:color="000000"/>
              <w:bottom w:val="single" w:sz="8" w:space="0" w:color="000000"/>
              <w:left w:val="nil" w:sz="4" w:space="0" w:color="000000"/>
              <w:right w:val="nil" w:sz="4" w:space="0" w:color="000000"/>
            </w:tcBorders>
          </w:tcPr>
          <w:p>
            <w:pPr>
              <w:jc w:val="center"/>
            </w:pPr>
            <w:r/>
            <w:r>
              <w:rPr>
                <w:rFonts w:ascii="Times New Roman" w:hAnsi="Times New Roman" w:eastAsia="宋体"/>
                <w:b w:val="0"/>
                <w:i w:val="0"/>
                <w:sz w:val="21"/>
              </w:rPr>
              <w:t>thesis_requirements.txt</w:t>
            </w:r>
          </w:p>
        </w:tc>
        <w:tc>
          <w:tcPr>
            <w:tcW w:type="dxa" w:w="4844"/>
            <w:tcBorders>
              <w:top w:val="nil" w:sz="4" w:space="0" w:color="000000"/>
              <w:bottom w:val="single" w:sz="8" w:space="0" w:color="000000"/>
              <w:left w:val="nil" w:sz="4" w:space="0" w:color="000000"/>
              <w:right w:val="nil" w:sz="4" w:space="0" w:color="000000"/>
            </w:tcBorders>
          </w:tcPr>
          <w:p>
            <w:pPr>
              <w:jc w:val="center"/>
            </w:pPr>
            <w:r/>
            <w:r>
              <w:rPr>
                <w:rFonts w:ascii="Times New Roman" w:hAnsi="Times New Roman" w:eastAsia="宋体"/>
                <w:b w:val="0"/>
                <w:i w:val="0"/>
                <w:sz w:val="21"/>
              </w:rPr>
              <w:t>Python依赖清单</w:t>
            </w:r>
          </w:p>
        </w:tc>
      </w:tr>
    </w:tbl>
    <w:p>
      <w:pPr>
        <w:spacing w:before="60" w:after="120"/>
        <w:jc w:val="center"/>
      </w:pPr>
      <w:r>
        <w:rPr>
          <w:rFonts w:ascii="Times New Roman" w:hAnsi="Times New Roman" w:eastAsia="宋体"/>
          <w:b w:val="0"/>
          <w:i w:val="0"/>
          <w:sz w:val="21"/>
        </w:rPr>
        <w:t>表B-1  代码目录结构说明</w:t>
      </w:r>
    </w:p>
    <w:p>
      <w:pPr>
        <w:spacing w:before="0" w:after="0" w:lineRule="auto" w:line="360"/>
        <w:ind w:firstLine="480"/>
        <w:jc w:val="both"/>
      </w:pPr>
      <w:r>
        <w:rPr>
          <w:rFonts w:ascii="Times New Roman" w:hAnsi="Times New Roman" w:eastAsia="宋体"/>
          <w:b w:val="0"/>
          <w:i w:val="0"/>
          <w:sz w:val="24"/>
        </w:rPr>
        <w:t>主要依赖版本要求详见 thesis_requirements.txt，核心依赖包括：PyTorch≥2.0.0、scikit-learn≥1.3.0、Optuna≥3.3.0（BOHB调优）、pingouin≥0.5.3（统计检验）。</w:t>
      </w:r>
    </w:p>
    <w:p>
      <w:r>
        <w:br w:type="page"/>
      </w:r>
    </w:p>
    <w:p>
      <w:pPr>
        <w:spacing w:before="240" w:after="120"/>
        <w:jc w:val="center"/>
      </w:pPr>
      <w:r>
        <w:rPr>
          <w:rFonts w:ascii="Times New Roman" w:hAnsi="Times New Roman" w:eastAsia="仿宋"/>
          <w:b w:val="0"/>
          <w:i w:val="0"/>
          <w:sz w:val="28"/>
        </w:rPr>
        <w:t>附录C  图表生成代码片段</w:t>
      </w:r>
    </w:p>
    <w:p>
      <w:pPr>
        <w:spacing w:before="0" w:after="0" w:lineRule="auto" w:line="360"/>
        <w:ind w:firstLine="480"/>
        <w:jc w:val="both"/>
      </w:pPr>
      <w:r>
        <w:rPr>
          <w:rFonts w:ascii="Times New Roman" w:hAnsi="Times New Roman" w:eastAsia="宋体"/>
          <w:b w:val="0"/>
          <w:i w:val="0"/>
          <w:sz w:val="24"/>
        </w:rPr>
        <w:t>以下给出图5（Cohen's d热力图）的核心生成代码片段：</w:t>
      </w:r>
    </w:p>
    <w:p>
      <w:pPr>
        <w:spacing w:before="60" w:after="60"/>
        <w:jc w:val="both"/>
      </w:pPr>
      <w:r>
        <w:rPr>
          <w:rFonts w:ascii="Courier New" w:hAnsi="Courier New" w:eastAsia="Courier New"/>
          <w:b w:val="0"/>
          <w:i w:val="0"/>
          <w:color w:val="1A1A7E"/>
          <w:sz w:val="18"/>
        </w:rPr>
        <w:t>import pingouin as pg</w:t>
        <w:br/>
        <w:t>import seaborn as sns</w:t>
        <w:br/>
        <w:t>import matplotlib.pyplot as plt</w:t>
        <w:br/>
        <w:t>import pandas as pd</w:t>
        <w:br/>
        <w:t>import numpy as np</w:t>
        <w:br/>
        <w:br/>
        <w:t>df = pd.read_csv("thesis_data.csv")</w:t>
        <w:br/>
        <w:br/>
        <w:t># 计算各模型在各偏移比例下的Cohen's d（相对ρ=0基准）</w:t>
        <w:br/>
        <w:t>results = []</w:t>
        <w:br/>
        <w:t>for model in ["Caser", "DeepFM", "Hybrid"]:</w:t>
        <w:br/>
        <w:t xml:space="preserve">    base = df[(df.model==model) &amp; (df["shift_ratio"]==0.0)]["NDCG@10"]</w:t>
        <w:br/>
        <w:t xml:space="preserve">    for rho in [0.05, 0.1, 0.2, 0.3]:</w:t>
        <w:br/>
        <w:t xml:space="preserve">        shifted = df[(df.model==model) &amp; (df["shift_ratio"]==rho)]["NDCG@10"]</w:t>
        <w:br/>
        <w:t xml:space="preserve">        d = pg.compute_effsize(shifted, base, eftype="cohen")</w:t>
        <w:br/>
        <w:t xml:space="preserve">        results.append({"Model": model, "rho": rho, "Cohen_d": d})</w:t>
        <w:br/>
        <w:br/>
        <w:t>pivot = pd.DataFrame(results).pivot("Model", "rho", "Cohen_d")</w:t>
        <w:br/>
        <w:t>sns.heatmap(pivot, annot=True, fmt=".3f", cmap="RdYlGn",</w:t>
        <w:br/>
        <w:t xml:space="preserve">            center=0, cbar_kws={"label": "Cohen's d"})</w:t>
        <w:br/>
        <w:t>plt.title("Effect Size (Cohen's d) Heatmap")</w:t>
        <w:br/>
        <w:t>plt.tight_layout()</w:t>
        <w:br/>
        <w:t>plt.savefig("cohens_d_heatmap.png", dpi=300)</w:t>
        <w:br/>
      </w:r>
    </w:p>
    <w:p>
      <w:r>
        <w:br w:type="page"/>
      </w:r>
    </w:p>
    <w:p>
      <w:pPr>
        <w:spacing w:before="240" w:after="120"/>
        <w:jc w:val="center"/>
      </w:pPr>
      <w:r>
        <w:rPr>
          <w:rFonts w:ascii="Times New Roman" w:hAnsi="Times New Roman" w:eastAsia="仿宋"/>
          <w:b w:val="0"/>
          <w:i w:val="0"/>
          <w:sz w:val="28"/>
        </w:rPr>
        <w:t>附录D  超参数调优过程</w:t>
      </w:r>
    </w:p>
    <w:p>
      <w:pPr>
        <w:spacing w:before="0" w:after="0" w:lineRule="auto" w:line="360"/>
        <w:ind w:firstLine="480"/>
        <w:jc w:val="both"/>
      </w:pPr>
      <w:r>
        <w:rPr>
          <w:rFonts w:ascii="Times New Roman" w:hAnsi="Times New Roman" w:eastAsia="宋体"/>
          <w:b w:val="0"/>
          <w:i w:val="0"/>
          <w:sz w:val="24"/>
        </w:rPr>
        <w:t>BOHB调优使用Optuna框架的TPESampler配合HyperbandPruner实现。每个trial 在种子42上训练1个Epoch后取验证集NDCG@10作为目标值。调优共运行100个trial，搜索预算约4 GPU小时（NVIDIA RTX 3090）。以下为调优配置代码片段：</w:t>
      </w:r>
    </w:p>
    <w:p>
      <w:pPr>
        <w:spacing w:before="60" w:after="60"/>
        <w:jc w:val="both"/>
      </w:pPr>
      <w:r>
        <w:rPr>
          <w:rFonts w:ascii="Courier New" w:hAnsi="Courier New" w:eastAsia="Courier New"/>
          <w:b w:val="0"/>
          <w:i w:val="0"/>
          <w:color w:val="1A1A7E"/>
          <w:sz w:val="18"/>
        </w:rPr>
        <w:t>import optuna</w:t>
        <w:br/>
        <w:br/>
        <w:t>def objective(trial):</w:t>
        <w:br/>
        <w:t xml:space="preserve">    config = {</w:t>
        <w:br/>
        <w:t xml:space="preserve">        "emb_dim":    trial.suggest_categorical("emb_dim", [32, 64, 128]),</w:t>
        <w:br/>
        <w:t xml:space="preserve">        "dropout":    trial.suggest_float("dropout", 0.1, 0.5),</w:t>
        <w:br/>
        <w:t xml:space="preserve">        "dnn_layers": trial.suggest_int("dnn_layers", 2, 4),</w:t>
        <w:br/>
        <w:t xml:space="preserve">        "dnn_width":  trial.suggest_categorical("dnn_width", [128, 256, 512]),</w:t>
        <w:br/>
        <w:t xml:space="preserve">        "lr":         trial.suggest_float("lr", 1e-4, 1e-2, log=True),</w:t>
        <w:br/>
        <w:t xml:space="preserve">    }</w:t>
        <w:br/>
        <w:t xml:space="preserve">    model = build_model(config)</w:t>
        <w:br/>
        <w:t xml:space="preserve">    return train_one_epoch_and_eval(model, seed=42)</w:t>
        <w:br/>
        <w:br/>
        <w:t>study = optuna.create_study(direction="maximize",</w:t>
        <w:br/>
        <w:t xml:space="preserve">    sampler=optuna.samplers.TPESampler(seed=0),</w:t>
        <w:br/>
        <w:t xml:space="preserve">    pruner=optuna.pruners.HyperbandPruner())</w:t>
        <w:br/>
        <w:t>study.optimize(objective, n_trials=100)</w:t>
        <w:br/>
        <w:t>print("Best NDCG@10:", study.best_value)</w:t>
        <w:br/>
        <w:t>print("Best params:", study.best_params)</w:t>
        <w:br/>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Borders>
              <w:top w:val="single" w:sz="8" w:space="0" w:color="000000"/>
              <w:bottom w:val="single" w:sz="4" w:space="0" w:color="000000"/>
              <w:left w:val="nil" w:sz="4" w:space="0" w:color="000000"/>
              <w:right w:val="nil" w:sz="4" w:space="0" w:color="000000"/>
            </w:tcBorders>
          </w:tcPr>
          <w:p>
            <w:pPr>
              <w:jc w:val="center"/>
            </w:pPr>
            <w:r/>
            <w:r>
              <w:rPr>
                <w:rFonts w:ascii="Times New Roman" w:hAnsi="Times New Roman" w:eastAsia="宋体"/>
                <w:b/>
                <w:i w:val="0"/>
                <w:sz w:val="21"/>
              </w:rPr>
              <w:t>超参数</w:t>
            </w:r>
          </w:p>
        </w:tc>
        <w:tc>
          <w:tcPr>
            <w:tcW w:type="dxa" w:w="2422"/>
            <w:tcBorders>
              <w:top w:val="single" w:sz="8" w:space="0" w:color="000000"/>
              <w:bottom w:val="single" w:sz="4" w:space="0" w:color="000000"/>
              <w:left w:val="nil" w:sz="4" w:space="0" w:color="000000"/>
              <w:right w:val="nil" w:sz="4" w:space="0" w:color="000000"/>
            </w:tcBorders>
          </w:tcPr>
          <w:p>
            <w:pPr>
              <w:jc w:val="center"/>
            </w:pPr>
            <w:r/>
            <w:r>
              <w:rPr>
                <w:rFonts w:ascii="Times New Roman" w:hAnsi="Times New Roman" w:eastAsia="宋体"/>
                <w:b/>
                <w:i w:val="0"/>
                <w:sz w:val="21"/>
              </w:rPr>
              <w:t>搜索范围</w:t>
            </w:r>
          </w:p>
        </w:tc>
        <w:tc>
          <w:tcPr>
            <w:tcW w:type="dxa" w:w="2422"/>
            <w:tcBorders>
              <w:top w:val="single" w:sz="8" w:space="0" w:color="000000"/>
              <w:bottom w:val="single" w:sz="4" w:space="0" w:color="000000"/>
              <w:left w:val="nil" w:sz="4" w:space="0" w:color="000000"/>
              <w:right w:val="nil" w:sz="4" w:space="0" w:color="000000"/>
            </w:tcBorders>
          </w:tcPr>
          <w:p>
            <w:pPr>
              <w:jc w:val="center"/>
            </w:pPr>
            <w:r/>
            <w:r>
              <w:rPr>
                <w:rFonts w:ascii="Times New Roman" w:hAnsi="Times New Roman" w:eastAsia="宋体"/>
                <w:b/>
                <w:i w:val="0"/>
                <w:sz w:val="21"/>
              </w:rPr>
              <w:t>最优值（DeepFM）</w:t>
            </w:r>
          </w:p>
        </w:tc>
        <w:tc>
          <w:tcPr>
            <w:tcW w:type="dxa" w:w="2422"/>
            <w:tcBorders>
              <w:top w:val="single" w:sz="8" w:space="0" w:color="000000"/>
              <w:bottom w:val="single" w:sz="4" w:space="0" w:color="000000"/>
              <w:left w:val="nil" w:sz="4" w:space="0" w:color="000000"/>
              <w:right w:val="nil" w:sz="4" w:space="0" w:color="000000"/>
            </w:tcBorders>
          </w:tcPr>
          <w:p>
            <w:pPr>
              <w:jc w:val="center"/>
            </w:pPr>
            <w:r/>
            <w:r>
              <w:rPr>
                <w:rFonts w:ascii="Times New Roman" w:hAnsi="Times New Roman" w:eastAsia="宋体"/>
                <w:b/>
                <w:i w:val="0"/>
                <w:sz w:val="21"/>
              </w:rPr>
              <w:t>最优值（Hybrid）</w:t>
            </w:r>
          </w:p>
        </w:tc>
      </w:tr>
      <w:tr>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嵌入维度d</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{32, 64, 128}</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64</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64</w:t>
            </w:r>
          </w:p>
        </w:tc>
      </w:tr>
      <w:tr>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Dropout率</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[0.1, 0.5]</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0.30</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0.20</w:t>
            </w:r>
          </w:p>
        </w:tc>
      </w:tr>
      <w:tr>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DNN层数</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{2, 3, 4}</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3</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3</w:t>
            </w:r>
          </w:p>
        </w:tc>
      </w:tr>
      <w:tr>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DNN隐层宽度</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{128, 256, 512}</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256</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256</w:t>
            </w:r>
          </w:p>
        </w:tc>
      </w:tr>
      <w:tr>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学习率</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[1e-4, 1e-2] (log)</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9.8e-4</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4.9e-4</w:t>
            </w:r>
          </w:p>
        </w:tc>
      </w:tr>
      <w:tr>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最优验证NDCG@10</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0.0901</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0.0912</w:t>
            </w:r>
          </w:p>
        </w:tc>
      </w:tr>
      <w:tr>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调优Trial数</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100</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w:t>
            </w:r>
          </w:p>
        </w:tc>
        <w:tc>
          <w:tcPr>
            <w:tcW w:type="dxa" w:w="2422"/>
            <w:tcBorders>
              <w:top w:val="nil" w:sz="4" w:space="0" w:color="000000"/>
              <w:bottom w:val="nil" w:sz="4" w:space="0" w:color="000000"/>
              <w:left w:val="nil" w:sz="4" w:space="0" w:color="000000"/>
              <w:right w:val="nil" w:sz="4" w:space="0" w:color="000000"/>
            </w:tcBorders>
          </w:tcPr>
          <w:p>
            <w:pPr>
              <w:jc w:val="center"/>
            </w:pPr>
            <w:r/>
            <w:r>
              <w:rPr>
                <w:rFonts w:ascii="Times New Roman" w:hAnsi="Times New Roman" w:eastAsia="宋体"/>
                <w:b w:val="0"/>
                <w:i w:val="0"/>
                <w:sz w:val="21"/>
              </w:rPr>
              <w:t>—</w:t>
            </w:r>
          </w:p>
        </w:tc>
      </w:tr>
      <w:tr>
        <w:tc>
          <w:tcPr>
            <w:tcW w:type="dxa" w:w="2422"/>
            <w:tcBorders>
              <w:top w:val="nil" w:sz="4" w:space="0" w:color="000000"/>
              <w:bottom w:val="single" w:sz="8" w:space="0" w:color="000000"/>
              <w:left w:val="nil" w:sz="4" w:space="0" w:color="000000"/>
              <w:right w:val="nil" w:sz="4" w:space="0" w:color="000000"/>
            </w:tcBorders>
          </w:tcPr>
          <w:p>
            <w:pPr>
              <w:jc w:val="center"/>
            </w:pPr>
            <w:r/>
            <w:r>
              <w:rPr>
                <w:rFonts w:ascii="Times New Roman" w:hAnsi="Times New Roman" w:eastAsia="宋体"/>
                <w:b w:val="0"/>
                <w:i w:val="0"/>
                <w:sz w:val="21"/>
              </w:rPr>
              <w:t>总调优时间</w:t>
            </w:r>
          </w:p>
        </w:tc>
        <w:tc>
          <w:tcPr>
            <w:tcW w:type="dxa" w:w="2422"/>
            <w:tcBorders>
              <w:top w:val="nil" w:sz="4" w:space="0" w:color="000000"/>
              <w:bottom w:val="single" w:sz="8" w:space="0" w:color="000000"/>
              <w:left w:val="nil" w:sz="4" w:space="0" w:color="000000"/>
              <w:right w:val="nil" w:sz="4" w:space="0" w:color="000000"/>
            </w:tcBorders>
          </w:tcPr>
          <w:p>
            <w:pPr>
              <w:jc w:val="center"/>
            </w:pPr>
            <w:r/>
            <w:r>
              <w:rPr>
                <w:rFonts w:ascii="Times New Roman" w:hAnsi="Times New Roman" w:eastAsia="宋体"/>
                <w:b w:val="0"/>
                <w:i w:val="0"/>
                <w:sz w:val="21"/>
              </w:rPr>
              <w:t>~4 GPU小时</w:t>
            </w:r>
          </w:p>
        </w:tc>
        <w:tc>
          <w:tcPr>
            <w:tcW w:type="dxa" w:w="2422"/>
            <w:tcBorders>
              <w:top w:val="nil" w:sz="4" w:space="0" w:color="000000"/>
              <w:bottom w:val="single" w:sz="8" w:space="0" w:color="000000"/>
              <w:left w:val="nil" w:sz="4" w:space="0" w:color="000000"/>
              <w:right w:val="nil" w:sz="4" w:space="0" w:color="000000"/>
            </w:tcBorders>
          </w:tcPr>
          <w:p>
            <w:pPr>
              <w:jc w:val="center"/>
            </w:pPr>
            <w:r/>
            <w:r>
              <w:rPr>
                <w:rFonts w:ascii="Times New Roman" w:hAnsi="Times New Roman" w:eastAsia="宋体"/>
                <w:b w:val="0"/>
                <w:i w:val="0"/>
                <w:sz w:val="21"/>
              </w:rPr>
              <w:t>—</w:t>
            </w:r>
          </w:p>
        </w:tc>
        <w:tc>
          <w:tcPr>
            <w:tcW w:type="dxa" w:w="2422"/>
            <w:tcBorders>
              <w:top w:val="nil" w:sz="4" w:space="0" w:color="000000"/>
              <w:bottom w:val="single" w:sz="8" w:space="0" w:color="000000"/>
              <w:left w:val="nil" w:sz="4" w:space="0" w:color="000000"/>
              <w:right w:val="nil" w:sz="4" w:space="0" w:color="000000"/>
            </w:tcBorders>
          </w:tcPr>
          <w:p>
            <w:pPr>
              <w:jc w:val="center"/>
            </w:pPr>
            <w:r/>
            <w:r>
              <w:rPr>
                <w:rFonts w:ascii="Times New Roman" w:hAnsi="Times New Roman" w:eastAsia="宋体"/>
                <w:b w:val="0"/>
                <w:i w:val="0"/>
                <w:sz w:val="21"/>
              </w:rPr>
              <w:t>—</w:t>
            </w:r>
          </w:p>
        </w:tc>
      </w:tr>
    </w:tbl>
    <w:p>
      <w:pPr>
        <w:spacing w:before="60" w:after="120"/>
        <w:jc w:val="center"/>
      </w:pPr>
      <w:r>
        <w:rPr>
          <w:rFonts w:ascii="Times New Roman" w:hAnsi="Times New Roman" w:eastAsia="宋体"/>
          <w:b w:val="0"/>
          <w:i w:val="0"/>
          <w:sz w:val="21"/>
        </w:rPr>
        <w:t>表D-1  BOHB超参数调优结果汇总</w:t>
      </w:r>
    </w:p>
    <w:sectPr w:rsidR="00FC693F" w:rsidRPr="0006063C" w:rsidSect="00034616">
      <w:pgSz w:w="12240" w:h="15840"/>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