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Project 2: Centrifuge Anomaly Detection</w:t>
      </w:r>
    </w:p>
    <w:p>
      <w:pPr>
        <w:jc w:val="center"/>
      </w:pPr>
      <w:r>
        <w:rPr>
          <w:b/>
          <w:sz w:val="30"/>
        </w:rPr>
        <w:t>Equipment Health Digital Twin — Antigravity Implementation Specification</w:t>
      </w:r>
    </w:p>
    <w:p>
      <w:pPr>
        <w:jc w:val="center"/>
      </w:pPr>
      <w:r>
        <w:t>Real multisensor time series • Anomaly detection • Health score • Early warning • Streamlit + Plotly</w:t>
      </w:r>
    </w:p>
    <w:p>
      <w:r>
        <w:br w:type="page"/>
      </w:r>
    </w:p>
    <w:p>
      <w:pPr>
        <w:pStyle w:val="Heading1"/>
      </w:pPr>
      <w:r>
        <w:t>Purpose and Instructions for Antigravity</w:t>
      </w:r>
    </w:p>
    <w:p>
      <w:r>
        <w:t>Implement ONLY Project 2 from the supplied project brief: “Centrifuge Anomaly Detection and Equipment Health Digital Twin (Sulzer Dataset)”. Do not implement Project 1's Windarling iron-ore Fe grade prediction. Build a reliable, testable prototype using the actual Sulzer centrifuge dataset. Inspect the workspace first, reuse existing working files, and never invent data, model metrics, alarm events, or deployment status.</w:t>
      </w:r>
    </w:p>
    <w:p>
      <w:r>
        <w:t>If the dataset is not present, implement a clear data-ingestion workflow and explain how to download and place the verified dataset. Do not silently substitute synthetic data. Synthetic data may be used only in an explicitly labelled demo mode, separate from real-data analysis.</w:t>
      </w:r>
    </w:p>
    <w:p>
      <w:pPr>
        <w:pStyle w:val="Heading1"/>
      </w:pPr>
      <w:r>
        <w:t>1. Project Overview</w:t>
      </w:r>
    </w:p>
    <w:p>
      <w:r>
        <w:t>Project title: Centrifuge Anomaly Detection and Equipment Health Digital Twin using AI/ML.</w:t>
      </w:r>
    </w:p>
    <w:p>
      <w:r>
        <w:t>Objective: Analyse industrial centrifuge sensor readings to identify unusual behaviour, calculate an interpretable equipment health score, visualize sensor trends and anomalies, and investigate whether detections provide useful warning before plant alarm thresholds are crossed.</w:t>
      </w:r>
    </w:p>
    <w:p>
      <w:r>
        <w:t>This is a data-driven equipment-health prototype based on historical sensor records. It is not a certified safety system and must not automatically stop equipment or replace plant control systems.</w:t>
      </w:r>
    </w:p>
    <w:p>
      <w:pPr>
        <w:pStyle w:val="Heading1"/>
      </w:pPr>
      <w:r>
        <w:t>2. Data Source and Sensor Channels</w:t>
      </w:r>
    </w:p>
    <w:p>
      <w:pPr>
        <w:pStyle w:val="ListBullet"/>
      </w:pPr>
      <w:r>
        <w:t>Dataset name in the supplied brief: Multisensor Condition Monitoring Dataset from a Sulzer Industrial Centrifuge.</w:t>
      </w:r>
    </w:p>
    <w:p>
      <w:pPr>
        <w:pStyle w:val="ListBullet"/>
      </w:pPr>
      <w:r>
        <w:t>Collection location: Arab Potash Company (APC), Jordan.</w:t>
      </w:r>
    </w:p>
    <w:p>
      <w:pPr>
        <w:pStyle w:val="ListBullet"/>
      </w:pPr>
      <w:r>
        <w:t>Equipment: Sulzer CFG-42 industrial centrifuge used in a potash dehydration process.</w:t>
      </w:r>
    </w:p>
    <w:p>
      <w:pPr>
        <w:pStyle w:val="ListBullet"/>
      </w:pPr>
      <w:r>
        <w:t>Time range stated in the brief: September 2022 to August 2023 (approximately 12 months).</w:t>
      </w:r>
    </w:p>
    <w:p>
      <w:pPr>
        <w:pStyle w:val="ListBullet"/>
      </w:pPr>
      <w:r>
        <w:t>Sampling stated in the brief: one-minute intervals, approximately 525,600 records per channel.</w:t>
      </w:r>
    </w:p>
    <w:p>
      <w:pPr>
        <w:pStyle w:val="ListBullet"/>
      </w:pPr>
      <w:r>
        <w:t>Source link supplied in the brief: https://doi.org/10.5281/zenodo.17885723</w:t>
      </w:r>
    </w:p>
    <w:p>
      <w:pPr>
        <w:pStyle w:val="ListBullet"/>
      </w:pPr>
      <w:r>
        <w:t>Access/licence: the brief describes it as open access and following FAIR principles; verify the actual record's current licence and cite it in the app and README.</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B4C7E7"/>
          </w:tcPr>
          <w:p>
            <w:r>
              <w:rPr>
                <w:b/>
              </w:rPr>
              <w:t>Channel</w:t>
            </w:r>
          </w:p>
        </w:tc>
        <w:tc>
          <w:tcPr>
            <w:tcW w:type="dxa" w:w="2484"/>
            <w:shd w:fill="B4C7E7"/>
          </w:tcPr>
          <w:p>
            <w:r>
              <w:rPr>
                <w:b/>
              </w:rPr>
              <w:t>Unit</w:t>
            </w:r>
          </w:p>
        </w:tc>
        <w:tc>
          <w:tcPr>
            <w:tcW w:type="dxa" w:w="2484"/>
            <w:shd w:fill="B4C7E7"/>
          </w:tcPr>
          <w:p>
            <w:r>
              <w:rPr>
                <w:b/>
              </w:rPr>
              <w:t>Description</w:t>
            </w:r>
          </w:p>
        </w:tc>
        <w:tc>
          <w:tcPr>
            <w:tcW w:type="dxa" w:w="2484"/>
            <w:shd w:fill="B4C7E7"/>
          </w:tcPr>
          <w:p>
            <w:r>
              <w:rPr>
                <w:b/>
              </w:rPr>
              <w:t>Candidate threshold in source brief</w:t>
            </w:r>
          </w:p>
        </w:tc>
      </w:tr>
      <w:tr>
        <w:tc>
          <w:tcPr>
            <w:tcW w:type="dxa" w:w="2484"/>
          </w:tcPr>
          <w:p>
            <w:r>
              <w:t>Torque</w:t>
            </w:r>
          </w:p>
        </w:tc>
        <w:tc>
          <w:tcPr>
            <w:tcW w:type="dxa" w:w="2484"/>
          </w:tcPr>
          <w:p>
            <w:r>
              <w:t>% of rated load</w:t>
            </w:r>
          </w:p>
        </w:tc>
        <w:tc>
          <w:tcPr>
            <w:tcW w:type="dxa" w:w="2484"/>
          </w:tcPr>
          <w:p>
            <w:r>
              <w:t>Gear output shaft torque</w:t>
            </w:r>
          </w:p>
        </w:tc>
        <w:tc>
          <w:tcPr>
            <w:tcW w:type="dxa" w:w="2484"/>
          </w:tcPr>
          <w:p>
            <w:r>
              <w:t>≥ 85%</w:t>
            </w:r>
          </w:p>
        </w:tc>
      </w:tr>
      <w:tr>
        <w:tc>
          <w:tcPr>
            <w:tcW w:type="dxa" w:w="2484"/>
          </w:tcPr>
          <w:p>
            <w:r>
              <w:t>Vibration velocity</w:t>
            </w:r>
          </w:p>
        </w:tc>
        <w:tc>
          <w:tcPr>
            <w:tcW w:type="dxa" w:w="2484"/>
          </w:tcPr>
          <w:p>
            <w:r>
              <w:t>mm/s RMS</w:t>
            </w:r>
          </w:p>
        </w:tc>
        <w:tc>
          <w:tcPr>
            <w:tcW w:type="dxa" w:w="2484"/>
          </w:tcPr>
          <w:p>
            <w:r>
              <w:t>Rotor housing radial vibration</w:t>
            </w:r>
          </w:p>
        </w:tc>
        <w:tc>
          <w:tcPr>
            <w:tcW w:type="dxa" w:w="2484"/>
          </w:tcPr>
          <w:p>
            <w:r>
              <w:t>≥ 12 mm/s</w:t>
            </w:r>
          </w:p>
        </w:tc>
      </w:tr>
      <w:tr>
        <w:tc>
          <w:tcPr>
            <w:tcW w:type="dxa" w:w="2484"/>
          </w:tcPr>
          <w:p>
            <w:r>
              <w:t>Bearing temperature — solid end</w:t>
            </w:r>
          </w:p>
        </w:tc>
        <w:tc>
          <w:tcPr>
            <w:tcW w:type="dxa" w:w="2484"/>
          </w:tcPr>
          <w:p>
            <w:r>
              <w:t>°C</w:t>
            </w:r>
          </w:p>
        </w:tc>
        <w:tc>
          <w:tcPr>
            <w:tcW w:type="dxa" w:w="2484"/>
          </w:tcPr>
          <w:p>
            <w:r>
              <w:t>Drive-side bearing housing</w:t>
            </w:r>
          </w:p>
        </w:tc>
        <w:tc>
          <w:tcPr>
            <w:tcW w:type="dxa" w:w="2484"/>
          </w:tcPr>
          <w:p>
            <w:r>
              <w:t>≥ 85°C</w:t>
            </w:r>
          </w:p>
        </w:tc>
      </w:tr>
      <w:tr>
        <w:tc>
          <w:tcPr>
            <w:tcW w:type="dxa" w:w="2484"/>
          </w:tcPr>
          <w:p>
            <w:r>
              <w:t>Bearing temperature — liquid end</w:t>
            </w:r>
          </w:p>
        </w:tc>
        <w:tc>
          <w:tcPr>
            <w:tcW w:type="dxa" w:w="2484"/>
          </w:tcPr>
          <w:p>
            <w:r>
              <w:t>°C</w:t>
            </w:r>
          </w:p>
        </w:tc>
        <w:tc>
          <w:tcPr>
            <w:tcW w:type="dxa" w:w="2484"/>
          </w:tcPr>
          <w:p>
            <w:r>
              <w:t>Hydraulic clutch-side bearing housing</w:t>
            </w:r>
          </w:p>
        </w:tc>
        <w:tc>
          <w:tcPr>
            <w:tcW w:type="dxa" w:w="2484"/>
          </w:tcPr>
          <w:p>
            <w:r>
              <w:t>≥ 85°C</w:t>
            </w:r>
          </w:p>
        </w:tc>
      </w:tr>
    </w:tbl>
    <w:p>
      <w:r>
        <w:t>The thresholds above are plant-specific values reported in the supplied brief, not universal limits or validated shutdown thresholds. The data contains readings over thresholds; preserve them as candidate anomaly examples rather than deleting them.</w:t>
      </w:r>
    </w:p>
    <w:p>
      <w:pPr>
        <w:pStyle w:val="Heading1"/>
      </w:pPr>
      <w:r>
        <w:t>3. Data Acquisition and Validation</w:t>
      </w:r>
    </w:p>
    <w:p>
      <w:pPr>
        <w:pStyle w:val="ListNumber"/>
      </w:pPr>
      <w:r>
        <w:t>Locate the actual downloaded dataset in the workspace. The brief names CFG_42_EDS_Data.xlsx or a CSV equivalent; verify the exact available filename and column names.</w:t>
      </w:r>
    </w:p>
    <w:p>
      <w:pPr>
        <w:pStyle w:val="ListNumber"/>
      </w:pPr>
      <w:r>
        <w:t>If missing, guide the user to download the dataset from the DOI link and place it in data/raw/.</w:t>
      </w:r>
    </w:p>
    <w:p>
      <w:pPr>
        <w:pStyle w:val="ListNumber"/>
      </w:pPr>
      <w:r>
        <w:t>Load with Pandas and parse the timestamp column using explicit validation.</w:t>
      </w:r>
    </w:p>
    <w:p>
      <w:pPr>
        <w:pStyle w:val="ListNumber"/>
      </w:pPr>
      <w:r>
        <w:t>Check data dimensions, timestamp range, duplicates, missing values, numeric types, units, gaps and sampling frequency.</w:t>
      </w:r>
    </w:p>
    <w:p>
      <w:pPr>
        <w:pStyle w:val="ListNumber"/>
      </w:pPr>
      <w:r>
        <w:t>Verify whether timestamps are continuous at one-minute intervals. The source brief says data has already undergone synchronization and short-gap linear interpolation, but this must be rechecked.</w:t>
      </w:r>
    </w:p>
    <w:p>
      <w:pPr>
        <w:pStyle w:val="ListNumber"/>
      </w:pPr>
      <w:r>
        <w:t>Preserve original data and source values. Do not overwrite the source file.</w:t>
      </w:r>
    </w:p>
    <w:p>
      <w:pPr>
        <w:pStyle w:val="ListNumber"/>
      </w:pPr>
      <w:r>
        <w:t>Create a data quality report and record any cleaning or filtering decisions.</w:t>
      </w:r>
    </w:p>
    <w:p>
      <w:pPr>
        <w:pStyle w:val="Heading1"/>
      </w:pPr>
      <w:r>
        <w:t>4. Preprocessing and Feature Engineering</w:t>
      </w:r>
    </w:p>
    <w:p>
      <w:pPr>
        <w:pStyle w:val="Heading2"/>
      </w:pPr>
      <w:r>
        <w:t>4.1 Candidate anomaly labels</w:t>
      </w:r>
    </w:p>
    <w:p>
      <w:pPr>
        <w:pStyle w:val="ListBullet"/>
      </w:pPr>
      <w:r>
        <w:t>Strong rule-based label: label a record as a candidate anomaly if any channel exceeds its documented threshold.</w:t>
      </w:r>
    </w:p>
    <w:p>
      <w:pPr>
        <w:pStyle w:val="ListBullet"/>
      </w:pPr>
      <w:r>
        <w:t>Weak-label option: vibration ≥ 12 mm/s as the primary indicator, with torque and temperature exceedances as auxiliary indicators.</w:t>
      </w:r>
    </w:p>
    <w:p>
      <w:pPr>
        <w:pStyle w:val="ListBullet"/>
      </w:pPr>
      <w:r>
        <w:t>Clearly name these labels “threshold-derived candidate anomalies” or “weak labels”; they are not confirmed equipment failures.</w:t>
      </w:r>
    </w:p>
    <w:p>
      <w:pPr>
        <w:pStyle w:val="ListBullet"/>
      </w:pPr>
      <w:r>
        <w:t>Count positive and negative records and quantify class imbalance. The source brief expects anomalies to be rare, potentially below 0.5%, but verify the actual rate.</w:t>
      </w:r>
    </w:p>
    <w:p>
      <w:pPr>
        <w:pStyle w:val="Heading2"/>
      </w:pPr>
      <w:r>
        <w:t>4.2 Time-series features</w:t>
      </w:r>
    </w:p>
    <w:p>
      <w:pPr>
        <w:pStyle w:val="ListBullet"/>
      </w:pPr>
      <w:r>
        <w:t>Rolling mean over 5, 15 and 60 minutes.</w:t>
      </w:r>
    </w:p>
    <w:p>
      <w:pPr>
        <w:pStyle w:val="ListBullet"/>
      </w:pPr>
      <w:r>
        <w:t>Rolling standard deviation over 5, 15 and 60 minutes.</w:t>
      </w:r>
    </w:p>
    <w:p>
      <w:pPr>
        <w:pStyle w:val="ListBullet"/>
      </w:pPr>
      <w:r>
        <w:t>Rolling minimum and maximum where useful.</w:t>
      </w:r>
    </w:p>
    <w:p>
      <w:pPr>
        <w:pStyle w:val="ListBullet"/>
      </w:pPr>
      <w:r>
        <w:t>Rate of change / first difference for each channel.</w:t>
      </w:r>
    </w:p>
    <w:p>
      <w:pPr>
        <w:pStyle w:val="ListBullet"/>
      </w:pPr>
      <w:r>
        <w:t>Optional cross-channel features such as vibration × temperature and torque/vibration ratio; guard against division by zero and document units.</w:t>
      </w:r>
    </w:p>
    <w:p>
      <w:pPr>
        <w:pStyle w:val="ListBullet"/>
      </w:pPr>
      <w:r>
        <w:t>Handle rolling-window warm-up rows and missing values consistently.</w:t>
      </w:r>
    </w:p>
    <w:p>
      <w:pPr>
        <w:pStyle w:val="Heading2"/>
      </w:pPr>
      <w:r>
        <w:t>4.3 Leakage prevention and split</w:t>
      </w:r>
    </w:p>
    <w:p>
      <w:pPr>
        <w:pStyle w:val="ListBullet"/>
      </w:pPr>
      <w:r>
        <w:t>Use chronological splitting rather than random shuffling. The recommended example is the first nine months for training and the final three months for testing, if the actual timestamp coverage supports it.</w:t>
      </w:r>
    </w:p>
    <w:p>
      <w:pPr>
        <w:pStyle w:val="ListBullet"/>
      </w:pPr>
      <w:r>
        <w:t>Fit scalers, imputers, feature selection and learned thresholds using training data only where applicable.</w:t>
      </w:r>
    </w:p>
    <w:p>
      <w:pPr>
        <w:pStyle w:val="ListBullet"/>
      </w:pPr>
      <w:r>
        <w:t>Do not use future observations to create features for a current-time prediction. Rolling features must be causal (past/current observations only).</w:t>
      </w:r>
    </w:p>
    <w:p>
      <w:pPr>
        <w:pStyle w:val="ListBullet"/>
      </w:pPr>
      <w:r>
        <w:t>Keep contiguous anomaly events together for event-level evaluation and clearly define event merging rules.</w:t>
      </w:r>
    </w:p>
    <w:p>
      <w:pPr>
        <w:pStyle w:val="ListBullet"/>
      </w:pPr>
      <w:r>
        <w:t>Use class_weight='balanced' or a carefully applied training-only resampling method if supervised learning is used. Do not apply SMOTE before splitting or across time boundaries.</w:t>
      </w:r>
    </w:p>
    <w:p>
      <w:pPr>
        <w:pStyle w:val="Heading1"/>
      </w:pPr>
      <w:r>
        <w:t>5. Anomaly Detection Methods</w:t>
      </w:r>
    </w:p>
    <w:p>
      <w:pPr>
        <w:pStyle w:val="Heading2"/>
      </w:pPr>
      <w:r>
        <w:t>Route A — Unsupervised (recommended starting route)</w:t>
      </w:r>
    </w:p>
    <w:p>
      <w:pPr>
        <w:pStyle w:val="ListBullet"/>
      </w:pPr>
      <w:r>
        <w:t>Isolation Forest: input the four sensor channels plus selected rolling features. Configure contamination using training data and documented assumptions; compare multiple settings rather than treating 0.01–0.02 as guaranteed correct.</w:t>
      </w:r>
    </w:p>
    <w:p>
      <w:pPr>
        <w:pStyle w:val="ListBullet"/>
      </w:pPr>
      <w:r>
        <w:t>Autoencoder (optional advanced model): suggested architecture 4 → 16 → 8 → 4 bottleneck → 8 → 16 → 4, trained only on a carefully selected healthy training period.</w:t>
      </w:r>
    </w:p>
    <w:p>
      <w:pPr>
        <w:pStyle w:val="ListBullet"/>
      </w:pPr>
      <w:r>
        <w:t>The source brief suggests healthy-period thresholds of vibration &lt; 8 mm/s, torque &lt; 70%, and temperature &lt; 75°C. Verify these against the actual data and clearly mark them as conservative training-selection rules, not universal limits.</w:t>
      </w:r>
    </w:p>
    <w:p>
      <w:pPr>
        <w:pStyle w:val="ListBullet"/>
      </w:pPr>
      <w:r>
        <w:t>For an autoencoder, calculate reconstruction error and set an alert threshold from the 99th percentile of reconstruction error on a separate normal validation period.</w:t>
      </w:r>
    </w:p>
    <w:p>
      <w:pPr>
        <w:pStyle w:val="Heading2"/>
      </w:pPr>
      <w:r>
        <w:t>Route B — Supervised weak-label model</w:t>
      </w:r>
    </w:p>
    <w:p>
      <w:pPr>
        <w:pStyle w:val="ListBullet"/>
      </w:pPr>
      <w:r>
        <w:t>Use XGBoost Classifier on sensor and rolling-window features, with labels derived from the documented DCS thresholds.</w:t>
      </w:r>
    </w:p>
    <w:p>
      <w:pPr>
        <w:pStyle w:val="ListBullet"/>
      </w:pPr>
      <w:r>
        <w:t>Because the labels are threshold-derived, the model learns to approximate these rules and is not proof of true mechanical failure.</w:t>
      </w:r>
    </w:p>
    <w:p>
      <w:pPr>
        <w:pStyle w:val="ListBullet"/>
      </w:pPr>
      <w:r>
        <w:t>Prioritize Precision, Recall, F1 and Precision-Recall AUC rather than Accuracy due to severe class imbalance.</w:t>
      </w:r>
    </w:p>
    <w:p>
      <w:pPr>
        <w:pStyle w:val="ListBullet"/>
      </w:pPr>
      <w:r>
        <w:t>Use a time-based split. Avoid random train/test splitting that leaks future operating regimes into training.</w:t>
      </w:r>
    </w:p>
    <w:p>
      <w:r>
        <w:t>Implement Isolation Forest first as the baseline. Add the autoencoder or XGBoost route only after the end-to-end pipeline and evaluation are working.</w:t>
      </w:r>
    </w:p>
    <w:p>
      <w:pPr>
        <w:pStyle w:val="Heading1"/>
      </w:pPr>
      <w:r>
        <w:t>6. Evaluation Metrics</w:t>
      </w:r>
    </w:p>
    <w:p>
      <w:pPr>
        <w:pStyle w:val="ListBullet"/>
      </w:pPr>
      <w:r>
        <w:t>Point-wise metrics: precision, recall, F1 and Precision-Recall AUC when suitable reference/weak labels exist.</w:t>
      </w:r>
    </w:p>
    <w:p>
      <w:pPr>
        <w:pStyle w:val="ListBullet"/>
      </w:pPr>
      <w:r>
        <w:t>Confusion matrix at the chosen alert threshold.</w:t>
      </w:r>
    </w:p>
    <w:p>
      <w:pPr>
        <w:pStyle w:val="ListBullet"/>
      </w:pPr>
      <w:r>
        <w:t>Event-level evaluation: merge consecutive anomaly points into anomaly events using a documented gap rule.</w:t>
      </w:r>
    </w:p>
    <w:p>
      <w:pPr>
        <w:pStyle w:val="ListBullet"/>
      </w:pPr>
      <w:r>
        <w:t>Early-warning lead time: measure minutes between first model detection and the relevant threshold alarm, only for events where the chronology and definition support this calculation.</w:t>
      </w:r>
    </w:p>
    <w:p>
      <w:pPr>
        <w:pStyle w:val="ListBullet"/>
      </w:pPr>
      <w:r>
        <w:t>False alarm rate: false alarms per week, with the event definition and time coverage reported.</w:t>
      </w:r>
    </w:p>
    <w:p>
      <w:pPr>
        <w:pStyle w:val="ListBullet"/>
      </w:pPr>
      <w:r>
        <w:t>Show performance separately for each method and threshold configuration; never fabricate metrics.</w:t>
      </w:r>
    </w:p>
    <w:p>
      <w:pPr>
        <w:pStyle w:val="Heading1"/>
      </w:pPr>
      <w:r>
        <w:t>7. Equipment Health Digital Twin</w:t>
      </w:r>
    </w:p>
    <w:p>
      <w:pPr>
        <w:pStyle w:val="Heading2"/>
      </w:pPr>
      <w:r>
        <w:t>7.1 Health score</w:t>
      </w:r>
    </w:p>
    <w:p>
      <w:r>
        <w:t>Implement an interpretable 0–100 health indicator using normalized sensor values:</w:t>
      </w:r>
    </w:p>
    <w:p>
      <w:pPr>
        <w:ind w:left="360"/>
      </w:pPr>
      <w:r>
        <w:rPr>
          <w:rFonts w:ascii="Consolas" w:hAnsi="Consolas"/>
          <w:sz w:val="18"/>
        </w:rPr>
        <w:t>health = 100 × (1 - w1 × norm(vibration) - w2 × norm(torque) - w3 × norm(temp_max))</w:t>
      </w:r>
    </w:p>
    <w:p>
      <w:r>
        <w:t>Normalize sensor values to [0,1] using historical training percentiles, clamp or handle values outside the range explicitly, and document the formula. The source brief suggests weights such as vibration 0.5, torque 0.3 and maximum temperature 0.2. Make weights configurable and ensure the output is bounded between 0 and 100. This is a prototype indicator, not an engineering-certified health score.</w:t>
      </w:r>
    </w:p>
    <w:p>
      <w:pPr>
        <w:pStyle w:val="Heading2"/>
      </w:pPr>
      <w:r>
        <w:t>7.2 State machine</w:t>
      </w:r>
    </w:p>
    <w:tbl>
      <w:tblPr>
        <w:tblStyle w:val="TableGrid"/>
        <w:tblW w:type="auto" w:w="0"/>
        <w:tblLook w:firstColumn="1" w:firstRow="1" w:lastColumn="0" w:lastRow="0" w:noHBand="0" w:noVBand="1" w:val="04A0"/>
      </w:tblPr>
      <w:tblGrid>
        <w:gridCol w:w="3312"/>
        <w:gridCol w:w="3312"/>
        <w:gridCol w:w="3312"/>
      </w:tblGrid>
      <w:tr>
        <w:tc>
          <w:tcPr>
            <w:tcW w:type="dxa" w:w="3312"/>
            <w:shd w:fill="B4C7E7"/>
          </w:tcPr>
          <w:p>
            <w:r>
              <w:rPr>
                <w:b/>
              </w:rPr>
              <w:t>Health score</w:t>
            </w:r>
          </w:p>
        </w:tc>
        <w:tc>
          <w:tcPr>
            <w:tcW w:type="dxa" w:w="3312"/>
            <w:shd w:fill="B4C7E7"/>
          </w:tcPr>
          <w:p>
            <w:r>
              <w:rPr>
                <w:b/>
              </w:rPr>
              <w:t>Prototype state</w:t>
            </w:r>
          </w:p>
        </w:tc>
        <w:tc>
          <w:tcPr>
            <w:tcW w:type="dxa" w:w="3312"/>
            <w:shd w:fill="B4C7E7"/>
          </w:tcPr>
          <w:p>
            <w:r>
              <w:rPr>
                <w:b/>
              </w:rPr>
              <w:t>Suggested dashboard interpretation</w:t>
            </w:r>
          </w:p>
        </w:tc>
      </w:tr>
      <w:tr>
        <w:tc>
          <w:tcPr>
            <w:tcW w:type="dxa" w:w="3312"/>
          </w:tcPr>
          <w:p>
            <w:r>
              <w:t>&gt; 70</w:t>
            </w:r>
          </w:p>
        </w:tc>
        <w:tc>
          <w:tcPr>
            <w:tcW w:type="dxa" w:w="3312"/>
          </w:tcPr>
          <w:p>
            <w:r>
              <w:t>Healthy</w:t>
            </w:r>
          </w:p>
        </w:tc>
        <w:tc>
          <w:tcPr>
            <w:tcW w:type="dxa" w:w="3312"/>
          </w:tcPr>
          <w:p>
            <w:r>
              <w:t>Normal trend monitoring</w:t>
            </w:r>
          </w:p>
        </w:tc>
      </w:tr>
      <w:tr>
        <w:tc>
          <w:tcPr>
            <w:tcW w:type="dxa" w:w="3312"/>
          </w:tcPr>
          <w:p>
            <w:r>
              <w:t>40–70</w:t>
            </w:r>
          </w:p>
        </w:tc>
        <w:tc>
          <w:tcPr>
            <w:tcW w:type="dxa" w:w="3312"/>
          </w:tcPr>
          <w:p>
            <w:r>
              <w:t>Attention</w:t>
            </w:r>
          </w:p>
        </w:tc>
        <w:tc>
          <w:tcPr>
            <w:tcW w:type="dxa" w:w="3312"/>
          </w:tcPr>
          <w:p>
            <w:r>
              <w:t>Increase monitoring / review trend</w:t>
            </w:r>
          </w:p>
        </w:tc>
      </w:tr>
      <w:tr>
        <w:tc>
          <w:tcPr>
            <w:tcW w:type="dxa" w:w="3312"/>
          </w:tcPr>
          <w:p>
            <w:r>
              <w:t>20–40</w:t>
            </w:r>
          </w:p>
        </w:tc>
        <w:tc>
          <w:tcPr>
            <w:tcW w:type="dxa" w:w="3312"/>
          </w:tcPr>
          <w:p>
            <w:r>
              <w:t>Warning</w:t>
            </w:r>
          </w:p>
        </w:tc>
        <w:tc>
          <w:tcPr>
            <w:tcW w:type="dxa" w:w="3312"/>
          </w:tcPr>
          <w:p>
            <w:r>
              <w:t>Maintenance review recommended</w:t>
            </w:r>
          </w:p>
        </w:tc>
      </w:tr>
      <w:tr>
        <w:tc>
          <w:tcPr>
            <w:tcW w:type="dxa" w:w="3312"/>
          </w:tcPr>
          <w:p>
            <w:r>
              <w:t>&lt; 20</w:t>
            </w:r>
          </w:p>
        </w:tc>
        <w:tc>
          <w:tcPr>
            <w:tcW w:type="dxa" w:w="3312"/>
          </w:tcPr>
          <w:p>
            <w:r>
              <w:t>Critical</w:t>
            </w:r>
          </w:p>
        </w:tc>
        <w:tc>
          <w:tcPr>
            <w:tcW w:type="dxa" w:w="3312"/>
          </w:tcPr>
          <w:p>
            <w:r>
              <w:t>Urgent human inspection / follow plant procedure</w:t>
            </w:r>
          </w:p>
        </w:tc>
      </w:tr>
    </w:tbl>
    <w:p>
      <w:r>
        <w:t>These bands come from the supplied brief and are demonstration thresholds only. Do not issue automated shutdown commands. Display a clear warning that plant procedures and engineering review govern real operations.</w:t>
      </w:r>
    </w:p>
    <w:p>
      <w:pPr>
        <w:pStyle w:val="Heading2"/>
      </w:pPr>
      <w:r>
        <w:t>7.3 Trend prediction</w:t>
      </w:r>
    </w:p>
    <w:p>
      <w:pPr>
        <w:pStyle w:val="ListBullet"/>
      </w:pPr>
      <w:r>
        <w:t>Optionally forecast the health score trend for the next 24 hours using a simple linear extrapolation or Prophet.</w:t>
      </w:r>
    </w:p>
    <w:p>
      <w:pPr>
        <w:pStyle w:val="ListBullet"/>
      </w:pPr>
      <w:r>
        <w:t>Show the forecast as an estimate, include uncertainty where available, and avoid claiming reliable future failure prediction without validation.</w:t>
      </w:r>
    </w:p>
    <w:p>
      <w:pPr>
        <w:pStyle w:val="Heading1"/>
      </w:pPr>
      <w:r>
        <w:t>8. Streamlit + Plotly Dashboard</w:t>
      </w:r>
    </w:p>
    <w:p>
      <w:pPr>
        <w:pStyle w:val="ListBullet"/>
      </w:pPr>
      <w:r>
        <w:rPr>
          <w:b/>
        </w:rPr>
        <w:t xml:space="preserve">Page 1 — Real-time-style Health Monitor: </w:t>
      </w:r>
      <w:r>
        <w:t>Large health-score gauge; Healthy/Attention/Warning/Critical state; four sensor trend charts for vibration, torque, solid-end temperature and liquid-end temperature over the last 24 hours; detected anomaly markers.</w:t>
      </w:r>
    </w:p>
    <w:p>
      <w:pPr>
        <w:pStyle w:val="ListBullet"/>
      </w:pPr>
      <w:r>
        <w:rPr>
          <w:b/>
        </w:rPr>
        <w:t xml:space="preserve">Page 2 — Anomaly Detection Results: </w:t>
      </w:r>
      <w:r>
        <w:t>Precision-Recall curve where labels support it; anomaly-score time series; DCS threshold lines; compare model alerts against threshold-derived candidate anomalies; event-level lead-time histogram where valid.</w:t>
      </w:r>
    </w:p>
    <w:p>
      <w:pPr>
        <w:pStyle w:val="ListBullet"/>
      </w:pPr>
      <w:r>
        <w:rPr>
          <w:b/>
        </w:rPr>
        <w:t xml:space="preserve">Page 3 — Historical Replay: </w:t>
      </w:r>
      <w:r>
        <w:t>Select a timestamp range with a date/time control; replay recorded sensor values; show health-score variation and detected anomaly events. Clearly label this as historical playback, not live hardware telemetry.</w:t>
      </w:r>
    </w:p>
    <w:p>
      <w:pPr>
        <w:pStyle w:val="ListBullet"/>
      </w:pPr>
      <w:r>
        <w:rPr>
          <w:b/>
        </w:rPr>
        <w:t xml:space="preserve">Page 4 — Feature Importance / Model Explanation: </w:t>
      </w:r>
      <w:r>
        <w:t>For the supervised XGBoost route, provide SHAP summary and local explanations when available. For unsupervised methods, show sensor values and contributions/diagnostics that are supported by the model; do not fabricate SHAP results.</w:t>
      </w:r>
    </w:p>
    <w:p>
      <w:r>
        <w:t>Primary stack specified in the source brief: Streamlit + Plotly. Python, Pandas, NumPy, scikit-learn, and optional XGBoost/TensorFlow/Prophet/SHAP may be used.</w:t>
      </w:r>
    </w:p>
    <w:p>
      <w:pPr>
        <w:pStyle w:val="Heading1"/>
      </w:pPr>
      <w:r>
        <w:t>9. Optional Digital Twin Upgrade: Torque–Temperature Residual</w:t>
      </w:r>
    </w:p>
    <w:p>
      <w:pPr>
        <w:pStyle w:val="ListBullet"/>
      </w:pPr>
      <w:r>
        <w:t>Build a simple baseline model for expected bearing temperature as a function of torque and, only if available, ambient temperature.</w:t>
      </w:r>
    </w:p>
    <w:p>
      <w:pPr>
        <w:pStyle w:val="ListBullet"/>
      </w:pPr>
      <w:r>
        <w:t>Calculate residual = actual bearing temperature − expected bearing temperature.</w:t>
      </w:r>
    </w:p>
    <w:p>
      <w:pPr>
        <w:pStyle w:val="ListBullet"/>
      </w:pPr>
      <w:r>
        <w:t>Flag persistent positive residuals as a condition worth investigating, because they may indicate changing thermal behaviour.</w:t>
      </w:r>
    </w:p>
    <w:p>
      <w:pPr>
        <w:pStyle w:val="ListBullet"/>
      </w:pPr>
      <w:r>
        <w:t>Do not assert that this proves bearing degradation or poor lubrication; those are possible interpretations requiring plant validation.</w:t>
      </w:r>
    </w:p>
    <w:p>
      <w:pPr>
        <w:pStyle w:val="ListBullet"/>
      </w:pPr>
      <w:r>
        <w:t>Compare this residual-based signal with existing anomaly detections and document whether it adds value.</w:t>
      </w:r>
    </w:p>
    <w:p>
      <w:pPr>
        <w:pStyle w:val="Heading1"/>
      </w:pPr>
      <w:r>
        <w:t>10. Recommended Project Structure</w:t>
      </w:r>
    </w:p>
    <w:p>
      <w:pPr>
        <w:ind w:left="360"/>
      </w:pPr>
      <w:r>
        <w:rPr>
          <w:rFonts w:ascii="Consolas" w:hAnsi="Consolas"/>
          <w:sz w:val="18"/>
        </w:rPr>
        <w:t>centrifuge-health-digital-twin/</w:t>
        <w:br/>
        <w:t>├── app.py</w:t>
        <w:br/>
        <w:t>├── requirements.txt</w:t>
        <w:br/>
        <w:t>├── README.md</w:t>
        <w:br/>
        <w:t>├── data/</w:t>
        <w:br/>
        <w:t>│   └── raw/                    # original downloaded dataset</w:t>
        <w:br/>
        <w:t>├── src/</w:t>
        <w:br/>
        <w:t>│   ├── data_loader.py</w:t>
        <w:br/>
        <w:t>│   ├── validation.py</w:t>
        <w:br/>
        <w:t>│   ├── preprocessing.py</w:t>
        <w:br/>
        <w:t>│   ├── features.py</w:t>
        <w:br/>
        <w:t>│   ├── train_isolation_forest.py</w:t>
        <w:br/>
        <w:t>│   ├── train_autoencoder.py     # optional</w:t>
        <w:br/>
        <w:t>│   ├── train_classifier.py     # optional</w:t>
        <w:br/>
        <w:t>│   ├── health_score.py</w:t>
        <w:br/>
        <w:t>│   ├── event_evaluation.py</w:t>
        <w:br/>
        <w:t>│   └── historical_replay.py</w:t>
        <w:br/>
        <w:t>├── models/</w:t>
        <w:br/>
        <w:t>├── reports/</w:t>
        <w:br/>
        <w:t>│   ├── figures/</w:t>
        <w:br/>
        <w:t>│   └── metrics/</w:t>
        <w:br/>
        <w:t>└── tests/</w:t>
      </w:r>
    </w:p>
    <w:p>
      <w:pPr>
        <w:pStyle w:val="Heading1"/>
      </w:pPr>
      <w:r>
        <w:t>11. Technology and Deployment</w:t>
      </w:r>
    </w:p>
    <w:tbl>
      <w:tblPr>
        <w:tblStyle w:val="TableGrid"/>
        <w:tblW w:type="auto" w:w="0"/>
        <w:tblLook w:firstColumn="1" w:firstRow="1" w:lastColumn="0" w:lastRow="0" w:noHBand="0" w:noVBand="1" w:val="04A0"/>
      </w:tblPr>
      <w:tblGrid>
        <w:gridCol w:w="4968"/>
        <w:gridCol w:w="4968"/>
      </w:tblGrid>
      <w:tr>
        <w:tc>
          <w:tcPr>
            <w:tcW w:type="dxa" w:w="4968"/>
            <w:shd w:fill="B4C7E7"/>
          </w:tcPr>
          <w:p>
            <w:r>
              <w:rPr>
                <w:b/>
              </w:rPr>
              <w:t>Layer</w:t>
            </w:r>
          </w:p>
        </w:tc>
        <w:tc>
          <w:tcPr>
            <w:tcW w:type="dxa" w:w="4968"/>
            <w:shd w:fill="B4C7E7"/>
          </w:tcPr>
          <w:p>
            <w:r>
              <w:rPr>
                <w:b/>
              </w:rPr>
              <w:t>Technology / requirement</w:t>
            </w:r>
          </w:p>
        </w:tc>
      </w:tr>
      <w:tr>
        <w:tc>
          <w:tcPr>
            <w:tcW w:type="dxa" w:w="4968"/>
          </w:tcPr>
          <w:p>
            <w:r>
              <w:t>Language</w:t>
            </w:r>
          </w:p>
        </w:tc>
        <w:tc>
          <w:tcPr>
            <w:tcW w:type="dxa" w:w="4968"/>
          </w:tcPr>
          <w:p>
            <w:r>
              <w:t>Python 3.10 or 3.11 recommended for package compatibility</w:t>
            </w:r>
          </w:p>
        </w:tc>
      </w:tr>
      <w:tr>
        <w:tc>
          <w:tcPr>
            <w:tcW w:type="dxa" w:w="4968"/>
          </w:tcPr>
          <w:p>
            <w:r>
              <w:t>Data processing</w:t>
            </w:r>
          </w:p>
        </w:tc>
        <w:tc>
          <w:tcPr>
            <w:tcW w:type="dxa" w:w="4968"/>
          </w:tcPr>
          <w:p>
            <w:r>
              <w:t>Pandas, NumPy</w:t>
            </w:r>
          </w:p>
        </w:tc>
      </w:tr>
      <w:tr>
        <w:tc>
          <w:tcPr>
            <w:tcW w:type="dxa" w:w="4968"/>
          </w:tcPr>
          <w:p>
            <w:r>
              <w:t>Anomaly detection</w:t>
            </w:r>
          </w:p>
        </w:tc>
        <w:tc>
          <w:tcPr>
            <w:tcW w:type="dxa" w:w="4968"/>
          </w:tcPr>
          <w:p>
            <w:r>
              <w:t>scikit-learn Isolation Forest</w:t>
            </w:r>
          </w:p>
        </w:tc>
      </w:tr>
      <w:tr>
        <w:tc>
          <w:tcPr>
            <w:tcW w:type="dxa" w:w="4968"/>
          </w:tcPr>
          <w:p>
            <w:r>
              <w:t>Optional models</w:t>
            </w:r>
          </w:p>
        </w:tc>
        <w:tc>
          <w:tcPr>
            <w:tcW w:type="dxa" w:w="4968"/>
          </w:tcPr>
          <w:p>
            <w:r>
              <w:t>TensorFlow/Keras Autoencoder; XGBoost Classifier</w:t>
            </w:r>
          </w:p>
        </w:tc>
      </w:tr>
      <w:tr>
        <w:tc>
          <w:tcPr>
            <w:tcW w:type="dxa" w:w="4968"/>
          </w:tcPr>
          <w:p>
            <w:r>
              <w:t>Visualizations</w:t>
            </w:r>
          </w:p>
        </w:tc>
        <w:tc>
          <w:tcPr>
            <w:tcW w:type="dxa" w:w="4968"/>
          </w:tcPr>
          <w:p>
            <w:r>
              <w:t>Streamlit + Plotly</w:t>
            </w:r>
          </w:p>
        </w:tc>
      </w:tr>
      <w:tr>
        <w:tc>
          <w:tcPr>
            <w:tcW w:type="dxa" w:w="4968"/>
          </w:tcPr>
          <w:p>
            <w:r>
              <w:t>Optional forecast</w:t>
            </w:r>
          </w:p>
        </w:tc>
        <w:tc>
          <w:tcPr>
            <w:tcW w:type="dxa" w:w="4968"/>
          </w:tcPr>
          <w:p>
            <w:r>
              <w:t>Prophet or simple linear extrapolation</w:t>
            </w:r>
          </w:p>
        </w:tc>
      </w:tr>
      <w:tr>
        <w:tc>
          <w:tcPr>
            <w:tcW w:type="dxa" w:w="4968"/>
          </w:tcPr>
          <w:p>
            <w:r>
              <w:t>Model persistence</w:t>
            </w:r>
          </w:p>
        </w:tc>
        <w:tc>
          <w:tcPr>
            <w:tcW w:type="dxa" w:w="4968"/>
          </w:tcPr>
          <w:p>
            <w:r>
              <w:t>joblib or supported model format; save preprocessing and metadata</w:t>
            </w:r>
          </w:p>
        </w:tc>
      </w:tr>
      <w:tr>
        <w:tc>
          <w:tcPr>
            <w:tcW w:type="dxa" w:w="4968"/>
          </w:tcPr>
          <w:p>
            <w:r>
              <w:t>Version control</w:t>
            </w:r>
          </w:p>
        </w:tc>
        <w:tc>
          <w:tcPr>
            <w:tcW w:type="dxa" w:w="4968"/>
          </w:tcPr>
          <w:p>
            <w:r>
              <w:t>Git and GitHub</w:t>
            </w:r>
          </w:p>
        </w:tc>
      </w:tr>
      <w:tr>
        <w:tc>
          <w:tcPr>
            <w:tcW w:type="dxa" w:w="4968"/>
          </w:tcPr>
          <w:p>
            <w:r>
              <w:t>Deployment</w:t>
            </w:r>
          </w:p>
        </w:tc>
        <w:tc>
          <w:tcPr>
            <w:tcW w:type="dxa" w:w="4968"/>
          </w:tcPr>
          <w:p>
            <w:r>
              <w:t>Streamlit Community Cloud or Render; verify current platform limits and dependency compatibility</w:t>
            </w:r>
          </w:p>
        </w:tc>
      </w:tr>
    </w:tbl>
    <w:p>
      <w:pPr>
        <w:pStyle w:val="ListBullet"/>
      </w:pPr>
      <w:r>
        <w:t>Provide a local setup and run guide.</w:t>
      </w:r>
    </w:p>
    <w:p>
      <w:pPr>
        <w:pStyle w:val="ListBullet"/>
      </w:pPr>
      <w:r>
        <w:t>Pin tested package versions in requirements.txt.</w:t>
      </w:r>
    </w:p>
    <w:p>
      <w:pPr>
        <w:pStyle w:val="ListBullet"/>
      </w:pPr>
      <w:r>
        <w:t>Do not commit secrets or oversized raw data if the dataset licence or hosting limits prohibit it.</w:t>
      </w:r>
    </w:p>
    <w:p>
      <w:pPr>
        <w:pStyle w:val="ListBullet"/>
      </w:pPr>
      <w:r>
        <w:t>If deploying, include data file availability and storage persistence considerations; do not assume an ephemeral hosting filesystem is permanent.</w:t>
      </w:r>
    </w:p>
    <w:p>
      <w:pPr>
        <w:pStyle w:val="ListBullet"/>
      </w:pPr>
      <w:r>
        <w:t>Do not claim deployment succeeded unless the application is actually deployed and checked.</w:t>
      </w:r>
    </w:p>
    <w:p>
      <w:pPr>
        <w:pStyle w:val="Heading1"/>
      </w:pPr>
      <w:r>
        <w:t>12. Testing and Acceptance Criteria</w:t>
      </w:r>
    </w:p>
    <w:p>
      <w:pPr>
        <w:pStyle w:val="ListBullet"/>
      </w:pPr>
      <w:r>
        <w:t>Dataset loads and timestamp validation gives a clear report.</w:t>
      </w:r>
    </w:p>
    <w:p>
      <w:pPr>
        <w:pStyle w:val="ListBullet"/>
      </w:pPr>
      <w:r>
        <w:t>Time-based split is chronological and reproducible.</w:t>
      </w:r>
    </w:p>
    <w:p>
      <w:pPr>
        <w:pStyle w:val="ListBullet"/>
      </w:pPr>
      <w:r>
        <w:t>Rolling features do not use future data.</w:t>
      </w:r>
    </w:p>
    <w:p>
      <w:pPr>
        <w:pStyle w:val="ListBullet"/>
      </w:pPr>
      <w:r>
        <w:t>Anomaly scoring runs on the held-out time period.</w:t>
      </w:r>
    </w:p>
    <w:p>
      <w:pPr>
        <w:pStyle w:val="ListBullet"/>
      </w:pPr>
      <w:r>
        <w:t>Health score is finite and bounded from 0 to 100, including edge cases.</w:t>
      </w:r>
    </w:p>
    <w:p>
      <w:pPr>
        <w:pStyle w:val="ListBullet"/>
      </w:pPr>
      <w:r>
        <w:t>Dashboard displays sensor charts, thresholds, anomaly markers and historical replay correctly.</w:t>
      </w:r>
    </w:p>
    <w:p>
      <w:pPr>
        <w:pStyle w:val="ListBullet"/>
      </w:pPr>
      <w:r>
        <w:t>Metric calculations handle class imbalance and cases with no predicted positives.</w:t>
      </w:r>
    </w:p>
    <w:p>
      <w:pPr>
        <w:pStyle w:val="ListBullet"/>
      </w:pPr>
      <w:r>
        <w:t>Missing optional packages produce a clear message rather than a crash.</w:t>
      </w:r>
    </w:p>
    <w:p>
      <w:pPr>
        <w:pStyle w:val="ListBullet"/>
      </w:pPr>
      <w:r>
        <w:t>All charts and alerts distinguish observed readings, threshold-derived labels, model detections and forecasts.</w:t>
      </w:r>
    </w:p>
    <w:p>
      <w:pPr>
        <w:pStyle w:val="ListBullet"/>
      </w:pPr>
      <w:r>
        <w:t>Tests run successfully and README contains exact commands.</w:t>
      </w:r>
    </w:p>
    <w:p>
      <w:pPr>
        <w:pStyle w:val="Heading1"/>
      </w:pPr>
      <w:r>
        <w:t>13. Limitations and Pitfalls</w:t>
      </w:r>
    </w:p>
    <w:p>
      <w:pPr>
        <w:pStyle w:val="ListBullet"/>
      </w:pPr>
      <w:r>
        <w:t>Anomaly labels derived from DCS thresholds are weak labels, not confirmed fault diagnoses.</w:t>
      </w:r>
    </w:p>
    <w:p>
      <w:pPr>
        <w:pStyle w:val="ListBullet"/>
      </w:pPr>
      <w:r>
        <w:t>Do not use Accuracy as the primary metric for highly imbalanced data.</w:t>
      </w:r>
    </w:p>
    <w:p>
      <w:pPr>
        <w:pStyle w:val="ListBullet"/>
      </w:pPr>
      <w:r>
        <w:t>Do not randomly shuffle time-series data for evaluation.</w:t>
      </w:r>
    </w:p>
    <w:p>
      <w:pPr>
        <w:pStyle w:val="ListBullet"/>
      </w:pPr>
      <w:r>
        <w:t>DCS thresholds are plant-specific and must not be presented as universal safety standards.</w:t>
      </w:r>
    </w:p>
    <w:p>
      <w:pPr>
        <w:pStyle w:val="ListBullet"/>
      </w:pPr>
      <w:r>
        <w:t>The proposed health score and state boundaries are prototype rules and need validation before operational use.</w:t>
      </w:r>
    </w:p>
    <w:p>
      <w:pPr>
        <w:pStyle w:val="ListBullet"/>
      </w:pPr>
      <w:r>
        <w:t>A historical dashboard is not a live Digital Twin unless connected to an actual data source.</w:t>
      </w:r>
    </w:p>
    <w:p>
      <w:pPr>
        <w:pStyle w:val="ListBullet"/>
      </w:pPr>
      <w:r>
        <w:t>The prototype is for decision support and demonstration, not safety-critical control.</w:t>
      </w:r>
    </w:p>
    <w:p>
      <w:pPr>
        <w:pStyle w:val="Heading1"/>
      </w:pPr>
      <w:r>
        <w:t>14. Final Instruction to Antigravity</w:t>
      </w:r>
    </w:p>
    <w:p>
      <w:r>
        <w:t>Build ONLY Project 2 from this document. Start by inspecting the workspace and verifying the real Sulzer CFG-42 dataset. Complete data validation, time-aware preprocessing, Isolation Forest baseline, health score, event evaluation and Streamlit dashboard first. Then add optional models and the torque–temperature residual upgrade if feasible. Preserve the raw dataset, prevent time-series leakage, run tests, and report the actual results, files created, commands to run locally, limitations, and deployment steps. Do not fabricate results or imply real-time hardware integration.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Project 2 — Centrifuge Anomaly Detection &amp; Equipment Health Digital Twin</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