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B8EA6B">
      <w:pPr>
        <w:spacing w:line="440" w:lineRule="exact"/>
        <w:rPr>
          <w:rFonts w:hint="eastAsia" w:asciiTheme="minorEastAsia" w:hAnsiTheme="minorEastAsia" w:eastAsiaTheme="minorEastAsia"/>
          <w:sz w:val="24"/>
        </w:rPr>
      </w:pPr>
      <w:r/>
    </w:p>
    <w:p w14:paraId="7705ED66">
      <w:pPr>
        <w:jc w:val="center"/>
        <w:rPr>
          <w:rFonts w:hint="eastAsia" w:asciiTheme="minorEastAsia" w:hAnsiTheme="minorEastAsia" w:eastAsiaTheme="minorEastAsia"/>
          <w:sz w:val="24"/>
        </w:rPr>
      </w:pPr>
      <w:r>
        <w:drawing>
          <wp:inline distT="0" distB="0" distL="0" distR="0">
            <wp:extent cx="3256280" cy="472440"/>
            <wp:effectExtent l="0" t="0" r="1270" b="381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3284586" cy="476500"/>
                    </a:xfrm>
                    <a:prstGeom prst="rect">
                      <a:avLst/>
                    </a:prstGeom>
                  </pic:spPr>
                </pic:pic>
              </a:graphicData>
            </a:graphic>
          </wp:inline>
        </w:drawing>
      </w:r>
    </w:p>
    <w:p w14:paraId="39715CCA">
      <w:pPr>
        <w:spacing w:line="440" w:lineRule="exact"/>
        <w:rPr>
          <w:rFonts w:hint="eastAsia" w:asciiTheme="minorEastAsia" w:hAnsiTheme="minorEastAsia" w:eastAsiaTheme="minorEastAsia"/>
          <w:sz w:val="24"/>
        </w:rPr>
      </w:pPr>
    </w:p>
    <w:p w14:paraId="4D01793D">
      <w:pPr>
        <w:jc w:val="center"/>
        <w:rPr>
          <w:rFonts w:hint="eastAsia" w:ascii="黑体" w:hAnsi="黑体" w:eastAsia="黑体"/>
          <w:b/>
          <w:sz w:val="52"/>
          <w:szCs w:val="52"/>
        </w:rPr>
      </w:pPr>
      <w:r>
        <w:rPr>
          <w:rFonts w:hint="eastAsia" w:ascii="黑体" w:hAnsi="黑体" w:eastAsia="黑体"/>
          <w:b/>
          <w:sz w:val="52"/>
          <w:szCs w:val="52"/>
        </w:rPr>
        <w:t>系统分析与设计</w:t>
      </w:r>
    </w:p>
    <w:p w14:paraId="355976B3">
      <w:pPr>
        <w:jc w:val="center"/>
        <w:rPr>
          <w:rFonts w:hint="eastAsia" w:ascii="黑体" w:hAnsi="黑体" w:eastAsia="黑体"/>
          <w:b/>
          <w:sz w:val="52"/>
          <w:szCs w:val="52"/>
          <w:lang w:eastAsia="zh-CN"/>
        </w:rPr>
      </w:pPr>
      <w:r>
        <w:rPr>
          <w:rFonts w:hint="eastAsia" w:ascii="黑体" w:hAnsi="黑体" w:eastAsia="黑体"/>
          <w:b/>
          <w:sz w:val="52"/>
          <w:szCs w:val="52"/>
        </w:rPr>
        <w:t>课程</w:t>
      </w:r>
      <w:r>
        <w:rPr>
          <w:rFonts w:hint="eastAsia" w:ascii="黑体" w:hAnsi="黑体" w:eastAsia="黑体"/>
          <w:b/>
          <w:sz w:val="52"/>
          <w:szCs w:val="52"/>
          <w:lang w:val="en-US" w:eastAsia="zh-CN"/>
        </w:rPr>
        <w:t>报告</w:t>
      </w:r>
    </w:p>
    <w:p w14:paraId="4C94FA6B">
      <w:pPr>
        <w:spacing w:line="440" w:lineRule="exact"/>
        <w:rPr>
          <w:rFonts w:hint="eastAsia" w:asciiTheme="minorEastAsia" w:hAnsiTheme="minorEastAsia" w:eastAsiaTheme="minorEastAsia"/>
          <w:sz w:val="24"/>
        </w:rPr>
      </w:pPr>
    </w:p>
    <w:p w14:paraId="0A57ABDF">
      <w:pPr>
        <w:jc w:val="center"/>
        <w:rPr>
          <w:rFonts w:hint="eastAsia" w:asciiTheme="minorEastAsia" w:hAnsiTheme="minorEastAsia" w:eastAsiaTheme="minorEastAsia"/>
          <w:sz w:val="24"/>
        </w:rPr>
      </w:pPr>
      <w:r>
        <w:drawing>
          <wp:inline distT="0" distB="0" distL="0" distR="0">
            <wp:extent cx="1799590" cy="179959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1" cstate="print">
                      <a:extLst>
                        <a:ext uri="{28A0092B-C50C-407E-A947-70E740481C1C}">
                          <a14:useLocalDpi xmlns:a14="http://schemas.microsoft.com/office/drawing/2010/main" val="0"/>
                        </a:ext>
                      </a:extLst>
                    </a:blip>
                    <a:srcRect l="96" r="96"/>
                    <a:stretch>
                      <a:fillRect/>
                    </a:stretch>
                  </pic:blipFill>
                  <pic:spPr>
                    <a:xfrm>
                      <a:off x="0" y="0"/>
                      <a:ext cx="1800000" cy="1800000"/>
                    </a:xfrm>
                    <a:prstGeom prst="rect">
                      <a:avLst/>
                    </a:prstGeom>
                    <a:noFill/>
                    <a:ln>
                      <a:noFill/>
                    </a:ln>
                  </pic:spPr>
                </pic:pic>
              </a:graphicData>
            </a:graphic>
          </wp:inline>
        </w:drawing>
      </w:r>
    </w:p>
    <w:p w14:paraId="60694B0C">
      <w:pPr>
        <w:spacing w:line="440" w:lineRule="exact"/>
        <w:rPr>
          <w:rFonts w:hint="eastAsia" w:asciiTheme="minorEastAsia" w:hAnsiTheme="minorEastAsia" w:eastAsiaTheme="minorEastAsia"/>
          <w:sz w:val="24"/>
        </w:rPr>
      </w:pPr>
    </w:p>
    <w:p w14:paraId="4270FEAD">
      <w:pPr>
        <w:spacing w:line="440" w:lineRule="exact"/>
        <w:jc w:val="center"/>
        <w:rPr>
          <w:rFonts w:hint="eastAsia" w:asciiTheme="majorEastAsia" w:hAnsiTheme="majorEastAsia" w:eastAsiaTheme="majorEastAsia"/>
          <w:sz w:val="32"/>
          <w:szCs w:val="32"/>
        </w:rPr>
      </w:pPr>
      <w:bookmarkStart w:id="0" w:name="_Toc421737391"/>
      <w:r>
        <w:rPr>
          <w:rFonts w:hint="eastAsia" w:asciiTheme="majorEastAsia" w:hAnsiTheme="majorEastAsia" w:eastAsiaTheme="majorEastAsia"/>
          <w:sz w:val="32"/>
          <w:szCs w:val="32"/>
        </w:rPr>
        <w:t>基于 Spring Boot 与工作流编排的 OYY学院后端管理平台的设计与实现</w:t>
      </w:r>
      <w:bookmarkEnd w:id="0"/>
      <w:r>
        <w:rPr>
          <w:rFonts w:hint="eastAsia" w:asciiTheme="majorEastAsia" w:hAnsiTheme="majorEastAsia" w:eastAsiaTheme="majorEastAsia"/>
          <w:sz w:val="32"/>
          <w:szCs w:val="32"/>
        </w:rPr>
      </w:r>
    </w:p>
    <w:p w14:paraId="03E6FB3B">
      <w:pPr>
        <w:spacing w:line="440" w:lineRule="exact"/>
        <w:rPr>
          <w:rFonts w:hint="eastAsia" w:asciiTheme="minorEastAsia" w:hAnsiTheme="minorEastAsia" w:eastAsiaTheme="minorEastAsia"/>
          <w:sz w:val="24"/>
        </w:rPr>
      </w:pPr>
    </w:p>
    <w:p w14:paraId="4F40CBBE">
      <w:pPr>
        <w:spacing w:line="440" w:lineRule="exact"/>
        <w:rPr>
          <w:rFonts w:hint="eastAsia" w:asciiTheme="minorEastAsia" w:hAnsiTheme="minorEastAsia" w:eastAsiaTheme="minorEastAsia"/>
          <w:sz w:val="24"/>
        </w:rPr>
      </w:pPr>
    </w:p>
    <w:p w14:paraId="03D5128A">
      <w:pPr>
        <w:spacing w:line="440" w:lineRule="exact"/>
        <w:rPr>
          <w:rFonts w:hint="eastAsia" w:asciiTheme="minorEastAsia" w:hAnsiTheme="minorEastAsia" w:eastAsiaTheme="minorEastAsia"/>
          <w:sz w:val="24"/>
        </w:rPr>
      </w:pPr>
    </w:p>
    <w:p w14:paraId="2034FBCC">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学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院：软件学院</w:t>
      </w:r>
    </w:p>
    <w:p w14:paraId="2BAC7569">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 xml:space="preserve">专 </w:t>
      </w:r>
      <w:r>
        <w:rPr>
          <w:rFonts w:asciiTheme="minorEastAsia" w:hAnsiTheme="minorEastAsia" w:eastAsiaTheme="minorEastAsia"/>
          <w:sz w:val="30"/>
          <w:szCs w:val="30"/>
        </w:rPr>
        <w:t xml:space="preserve">   </w:t>
      </w:r>
      <w:r>
        <w:rPr>
          <w:rFonts w:hint="eastAsia" w:asciiTheme="minorEastAsia" w:hAnsiTheme="minorEastAsia" w:eastAsiaTheme="minorEastAsia"/>
          <w:sz w:val="30"/>
          <w:szCs w:val="30"/>
        </w:rPr>
        <w:t>业：计算机科学与技术</w:t>
      </w:r>
    </w:p>
    <w:p w14:paraId="12210EBF">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学生姓名：XXX</w:t>
      </w:r>
    </w:p>
    <w:p w14:paraId="193F6172">
      <w:pPr>
        <w:spacing w:line="480" w:lineRule="auto"/>
        <w:ind w:firstLine="2700" w:firstLineChars="900"/>
        <w:rPr>
          <w:rFonts w:hint="eastAsia" w:asciiTheme="minorEastAsia" w:hAnsiTheme="minorEastAsia" w:eastAsiaTheme="minorEastAsia"/>
          <w:sz w:val="30"/>
          <w:szCs w:val="30"/>
        </w:rPr>
      </w:pPr>
      <w:r>
        <w:rPr>
          <w:rFonts w:hint="eastAsia" w:asciiTheme="minorEastAsia" w:hAnsiTheme="minorEastAsia" w:eastAsiaTheme="minorEastAsia"/>
          <w:sz w:val="30"/>
          <w:szCs w:val="30"/>
        </w:rPr>
        <w:t>学生学号：XXXXXX</w:t>
      </w:r>
    </w:p>
    <w:p w14:paraId="2F8A24C3">
      <w:pPr>
        <w:spacing w:line="480" w:lineRule="auto"/>
        <w:ind w:firstLine="2700" w:firstLineChars="900"/>
        <w:rPr>
          <w:rFonts w:hint="eastAsia" w:asciiTheme="minorEastAsia" w:hAnsiTheme="minorEastAsia" w:eastAsiaTheme="minorEastAsia"/>
          <w:sz w:val="32"/>
          <w:szCs w:val="32"/>
        </w:rPr>
        <w:sectPr>
          <w:pgSz w:w="11906" w:h="16838"/>
          <w:pgMar w:top="1418" w:right="1418" w:bottom="1418" w:left="1418" w:header="851" w:footer="567" w:gutter="284"/>
          <w:cols w:space="425" w:num="1"/>
          <w:docGrid w:type="lines" w:linePitch="312" w:charSpace="0"/>
        </w:sectPr>
      </w:pPr>
      <w:r>
        <w:rPr>
          <w:rFonts w:hint="eastAsia" w:asciiTheme="minorEastAsia" w:hAnsiTheme="minorEastAsia" w:eastAsiaTheme="minorEastAsia"/>
          <w:sz w:val="30"/>
          <w:szCs w:val="30"/>
        </w:rPr>
        <w:t>任课教师：XXX</w:t>
      </w:r>
    </w:p>
    <w:sdt>
      <w:sdtPr>
        <w:rPr>
          <w:rFonts w:ascii="Times New Roman" w:hAnsi="Times New Roman" w:eastAsia="宋体" w:cs="Times New Roman"/>
          <w:color w:val="auto"/>
          <w:kern w:val="2"/>
          <w:sz w:val="21"/>
          <w:szCs w:val="24"/>
          <w:lang w:val="zh-CN"/>
        </w:rPr>
        <w:id w:val="-258064856"/>
        <w:docPartObj>
          <w:docPartGallery w:val="Table of Contents"/>
          <w:docPartUnique/>
        </w:docPartObj>
      </w:sdtPr>
      <w:sdtEndPr>
        <w:rPr>
          <w:rFonts w:ascii="Times New Roman" w:hAnsi="Times New Roman" w:eastAsia="黑体" w:cs="Times New Roman"/>
          <w:b/>
          <w:bCs/>
          <w:color w:val="auto"/>
          <w:kern w:val="2"/>
          <w:sz w:val="24"/>
          <w:szCs w:val="20"/>
          <w:lang w:val="zh-CN"/>
        </w:rPr>
      </w:sdtEndPr>
      <w:sdtContent>
        <w:p w14:paraId="61B11837">
          <w:pPr>
            <w:pStyle w:val="30"/>
            <w:spacing w:before="156" w:beforeLines="50" w:after="468" w:afterLines="150" w:line="460" w:lineRule="exact"/>
            <w:jc w:val="center"/>
            <w:rPr>
              <w:rFonts w:hint="eastAsia" w:ascii="黑体" w:hAnsi="黑体" w:eastAsia="黑体"/>
              <w:color w:val="auto"/>
            </w:rPr>
          </w:pPr>
          <w:r>
            <w:rPr>
              <w:rFonts w:ascii="Times New Roman" w:hAnsi="Times New Roman" w:eastAsia="黑体"/>
              <w:b/>
              <w:sz w:val="32"/>
            </w:rPr>
            <w:t>目　　录</w:t>
          </w:r>
        </w:p>
        <w:p w14:paraId="6014ECF1">
          <w:pPr>
            <w:pStyle w:val="12"/>
            <w:keepNext w:val="0"/>
            <w:keepLines w:val="0"/>
            <w:pageBreakBefore w:val="0"/>
            <w:widowControl/>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第1章　绪论</w:t>
            <w:tab/>
            <w:t>1</w:t>
          </w:r>
        </w:p>
        <w:p w14:paraId="7095878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1.1 研究背景</w:t>
            <w:tab/>
            <w:t>1</w:t>
          </w:r>
        </w:p>
        <w:p w14:paraId="2746941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 国内外研究现状</w:t>
            <w:tab/>
            <w:t>1</w:t>
          </w:r>
        </w:p>
        <w:p w14:paraId="0518973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1.2.1国外研究现状</w:t>
            <w:tab/>
            <w:t>1</w:t>
          </w:r>
        </w:p>
        <w:p w14:paraId="2E456C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1.2.2国内研究现状</w:t>
            <w:tab/>
            <w:t>2</w:t>
          </w:r>
        </w:p>
        <w:p w14:paraId="48D6C50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 研究目的与意义</w:t>
            <w:tab/>
            <w:t>3</w:t>
          </w:r>
        </w:p>
        <w:p w14:paraId="3595F9B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1.3.1研究目的</w:t>
            <w:tab/>
            <w:t>3</w:t>
          </w:r>
        </w:p>
        <w:p w14:paraId="25AE2CF5">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1.3.2研究意义</w:t>
            <w:tab/>
            <w:t>3</w:t>
          </w:r>
        </w:p>
        <w:p w14:paraId="250E9771">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 相关技术介绍</w:t>
            <w:tab/>
            <w:t>4</w:t>
          </w:r>
        </w:p>
        <w:p w14:paraId="308967D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1.4.1 Java 17 语言与多线程高并发</w:t>
            <w:tab/>
            <w:t>4</w:t>
          </w:r>
        </w:p>
        <w:p w14:paraId="60F3323F">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1.4.2 Spring Boot 3.x 核心框架</w:t>
            <w:tab/>
            <w:t>4</w:t>
          </w:r>
        </w:p>
        <w:p w14:paraId="1131089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1.4.3 MySQL 与 Redis 混合存储架构</w:t>
            <w:tab/>
            <w:t>4</w:t>
          </w:r>
        </w:p>
        <w:p w14:paraId="77DA6FA7">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 系统要解决的主要问题及报告结构</w:t>
            <w:tab/>
            <w:t>5</w:t>
          </w:r>
        </w:p>
        <w:p w14:paraId="1C13CF4B">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1.5.1系统要解决的主要问题</w:t>
            <w:tab/>
            <w:t>5</w:t>
          </w:r>
        </w:p>
        <w:p w14:paraId="085A2BF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1.5.2报告结构</w:t>
            <w:tab/>
            <w:t>5</w:t>
          </w:r>
        </w:p>
        <w:p w14:paraId="2C01301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第2章 系统需求分析</w:t>
            <w:tab/>
            <w:t>6</w:t>
          </w:r>
        </w:p>
        <w:p w14:paraId="5826046D">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2.1可行性分析</w:t>
            <w:tab/>
            <w:t>6</w:t>
          </w:r>
        </w:p>
        <w:p w14:paraId="0CFE498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2.1.1 技术可行性分析</w:t>
            <w:tab/>
            <w:t>6</w:t>
          </w:r>
        </w:p>
        <w:p w14:paraId="295888A0">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2.1.2 经济可行性分析</w:t>
            <w:tab/>
            <w:t>6</w:t>
          </w:r>
        </w:p>
        <w:p w14:paraId="3644A5EC">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2.1.3 操作可行性分析</w:t>
            <w:tab/>
            <w:t>7</w:t>
          </w:r>
        </w:p>
        <w:p w14:paraId="3A0B53D9">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2.2 系统功能需求分析</w:t>
            <w:tab/>
            <w:t>7</w:t>
          </w:r>
        </w:p>
        <w:p w14:paraId="5C004AF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 系统用例描述</w:t>
            <w:tab/>
            <w:t>8</w:t>
          </w:r>
        </w:p>
        <w:p w14:paraId="1A305304">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2.3.1 智能AI插件工作流服务编排与计费用例</w:t>
            <w:tab/>
            <w:t>8</w:t>
          </w:r>
        </w:p>
        <w:p w14:paraId="328F33D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2.3.2 激活码兑换会员与积分用例</w:t>
            <w:tab/>
            <w:t>9</w:t>
          </w:r>
        </w:p>
        <w:p w14:paraId="50C25A4A">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2.4 系统其它需求</w:t>
            <w:tab/>
            <w:t>9</w:t>
          </w:r>
        </w:p>
        <w:p w14:paraId="25288AB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2.5 本章小结</w:t>
            <w:tab/>
            <w:t>9</w:t>
          </w:r>
        </w:p>
        <w:p w14:paraId="76103701">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第3章 系统总体设计</w:t>
            <w:tab/>
            <w:t>10</w:t>
          </w:r>
        </w:p>
        <w:p w14:paraId="5785F276">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3.1 系统设计原则</w:t>
            <w:tab/>
            <w:t>10</w:t>
          </w:r>
        </w:p>
        <w:p w14:paraId="58689285">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3.2 系统功能模块设计</w:t>
            <w:tab/>
            <w:t>10</w:t>
          </w:r>
        </w:p>
        <w:p w14:paraId="21CEEC1E">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3.3数据库设计</w:t>
            <w:tab/>
            <w:t>12</w:t>
          </w:r>
        </w:p>
        <w:p w14:paraId="4CDB94E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3.3.1概念模型设计</w:t>
            <w:tab/>
            <w:t>12</w:t>
          </w:r>
        </w:p>
        <w:p w14:paraId="1BC38173">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3.3.2数据库表设计</w:t>
            <w:tab/>
            <w:t>13</w:t>
          </w:r>
        </w:p>
        <w:p w14:paraId="70966302">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3.4 本章小结</w:t>
            <w:tab/>
            <w:t>14</w:t>
          </w:r>
        </w:p>
        <w:p w14:paraId="744D0C7A">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黑体"/>
              <w:b/>
              <w:sz w:val="24"/>
            </w:rPr>
            <w:t>第4章 系统详细设计与实现</w:t>
            <w:tab/>
            <w:t>15</w:t>
          </w:r>
        </w:p>
        <w:p w14:paraId="5BB1B96F">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 智能AI插件工作流服务编排计费模块</w:t>
            <w:tab/>
            <w:t>15</w:t>
          </w:r>
        </w:p>
        <w:p w14:paraId="43E49FED">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4.1.1 模块时序图与交互</w:t>
            <w:tab/>
            <w:t>15</w:t>
          </w:r>
        </w:p>
        <w:p w14:paraId="48DB212E">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4.1.2 计费与结算核心逻辑流程图</w:t>
            <w:tab/>
            <w:t>15</w:t>
          </w:r>
        </w:p>
        <w:p w14:paraId="0C2C0ED0">
          <w:pPr>
            <w:pStyle w:val="13"/>
            <w:keepNext w:val="0"/>
            <w:keepLines w:val="0"/>
            <w:pageBreakBefore w:val="0"/>
            <w:tabs>
              <w:tab w:val="right" w:leader="dot" w:pos="8786"/>
              <w:tab w:val="clear" w:pos="8296"/>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 会员激活码兑换结算模块</w:t>
            <w:tab/>
            <w:t>16</w:t>
          </w:r>
        </w:p>
        <w:p w14:paraId="7D18819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4.2.1 模块时序图与交互</w:t>
            <w:tab/>
            <w:t>16</w:t>
          </w:r>
        </w:p>
        <w:p w14:paraId="610F0388">
          <w:pPr>
            <w:pStyle w:val="7"/>
            <w:keepNext w:val="0"/>
            <w:keepLines w:val="0"/>
            <w:pageBreakBefore w:val="0"/>
            <w:tabs>
              <w:tab w:val="right" w:leader="dot" w:pos="8786"/>
              <w:tab w:val="clear" w:pos="7770"/>
              <w:tab w:val="clear" w:pos="8400"/>
              <w:tab w:val="clear" w:pos="8931"/>
            </w:tabs>
            <w:kinsoku/>
            <w:wordWrap/>
            <w:overflowPunct/>
            <w:topLinePunct w:val="0"/>
            <w:autoSpaceDE/>
            <w:autoSpaceDN/>
            <w:bidi w:val="0"/>
            <w:adjustRightInd/>
            <w:snapToGrid/>
            <w:spacing w:line="460" w:lineRule="exact"/>
            <w:textAlignment w:val="auto"/>
            <w:rPr>
              <w:rFonts w:hint="default" w:ascii="Times New Roman" w:hAnsi="Times New Roman" w:eastAsia="宋体" w:cs="Times New Roman"/>
            </w:rPr>
          </w:pPr>
          <w:r>
            <w:rPr>
              <w:rFonts w:ascii="Times New Roman" w:hAnsi="Times New Roman" w:eastAsia="宋体"/>
              <w:b w:val="0"/>
              <w:sz w:val="24"/>
            </w:rPr>
            <w:t>4.2.2 兑换入库程序流程图</w:t>
            <w:tab/>
            <w:t>16</w:t>
          </w:r>
        </w:p>
        <w:p w14:paraId="62E3B9BC">
          <w:pPr>
            <w:pStyle w:val="12"/>
            <w:keepNext w:val="0"/>
            <w:keepLines w:val="0"/>
            <w:pageBreakBefore w:val="0"/>
            <w:tabs>
              <w:tab w:val="right" w:leader="dot" w:pos="8786"/>
              <w:tab w:val="clear" w:pos="8190"/>
            </w:tabs>
            <w:kinsoku/>
            <w:wordWrap/>
            <w:overflowPunct/>
            <w:topLinePunct w:val="0"/>
            <w:autoSpaceDE/>
            <w:autoSpaceDN/>
            <w:bidi w:val="0"/>
            <w:adjustRightInd/>
            <w:snapToGrid/>
            <w:spacing w:line="460" w:lineRule="exact"/>
            <w:textAlignment w:val="auto"/>
          </w:pPr>
          <w:r>
            <w:rPr>
              <w:rFonts w:ascii="Times New Roman" w:hAnsi="Times New Roman" w:eastAsia="黑体"/>
              <w:b/>
              <w:sz w:val="24"/>
            </w:rPr>
            <w:t>参考文献</w:t>
            <w:tab/>
            <w:t>17</w:t>
          </w:r>
        </w:p>
        <w:p w14:paraId="6D89A7AA">
          <w:pPr>
            <w:pStyle w:val="33"/>
            <w:tabs>
              <w:tab w:val="right" w:leader="dot" w:pos="9060"/>
            </w:tabs>
            <w:spacing w:before="50" w:after="150" w:line="460" w:lineRule="exact"/>
            <w:jc w:val="distribute"/>
            <w:sectPr>
              <w:headerReference r:id="rId5" w:type="default"/>
              <w:footerReference r:id="rId6" w:type="default"/>
              <w:pgSz w:w="11906" w:h="16838"/>
              <w:pgMar w:top="1418" w:right="1418" w:bottom="1418" w:left="1418" w:header="851" w:footer="567" w:gutter="284"/>
              <w:pgNumType w:start="1"/>
              <w:cols w:space="425" w:num="1"/>
              <w:docGrid w:type="lines" w:linePitch="312" w:charSpace="0"/>
            </w:sectPr>
          </w:pPr>
          <w:r>
            <w:rPr>
              <w:bCs/>
            </w:rPr>
            <w:fldChar w:fldCharType="end"/>
          </w:r>
          <w:bookmarkStart w:id="53" w:name="_GoBack"/>
          <w:bookmarkEnd w:id="53"/>
        </w:p>
      </w:sdtContent>
    </w:sdt>
    <w:p w14:paraId="54F21F44">
      <w:pPr>
        <w:pStyle w:val="2"/>
        <w:spacing w:before="156" w:beforeLines="50" w:after="468" w:afterLines="150" w:line="460" w:lineRule="exact"/>
        <w:jc w:val="center"/>
        <w:rPr>
          <w:rFonts w:hint="eastAsia" w:ascii="黑体" w:hAnsi="黑体" w:eastAsia="黑体"/>
          <w:b w:val="0"/>
          <w:bCs w:val="0"/>
          <w:sz w:val="32"/>
          <w:szCs w:val="32"/>
        </w:rPr>
      </w:pPr>
      <w:bookmarkStart w:id="1" w:name="_Toc24068"/>
      <w:r>
        <w:rPr>
          <w:rFonts w:hint="eastAsia" w:ascii="黑体" w:hAnsi="黑体" w:eastAsia="黑体"/>
          <w:b w:val="0"/>
          <w:bCs w:val="0"/>
          <w:sz w:val="32"/>
          <w:szCs w:val="32"/>
        </w:rPr>
        <w:t>第1章　绪　　</w:t>
      </w:r>
      <w:r>
        <w:rPr>
          <w:rStyle w:val="19"/>
          <w:b w:val="0"/>
          <w:bCs w:val="0"/>
          <w:kern w:val="2"/>
        </w:rPr>
      </w:r>
      <w:r>
        <w:rPr>
          <w:rFonts w:hint="eastAsia" w:ascii="黑体" w:hAnsi="黑体" w:eastAsia="黑体"/>
          <w:b w:val="0"/>
          <w:bCs w:val="0"/>
          <w:sz w:val="32"/>
          <w:szCs w:val="32"/>
        </w:rPr>
        <w:t>论</w:t>
      </w:r>
      <w:bookmarkEnd w:id="1"/>
    </w:p>
    <w:p w14:paraId="71E2A033">
      <w:pPr>
        <w:spacing w:line="460" w:lineRule="exact"/>
        <w:ind w:firstLine="420" w:firstLineChars="200"/>
        <w:rPr>
          <w:rStyle w:val="19"/>
        </w:rPr>
      </w:pPr>
      <w:r>
        <w:t>本课程报告的研究范围主要在设计与实现一个基于 Spring Boot 与工作流编排的 OYY学院后端管理平台。其核心关注点是将官网的所有在线教务业务进行整合，并借助 Java 17、Spring Boot 3、MyBatis-Plus、MySQL 与 Redis 等主流技术栈，构建一个涵盖手机短信验证码登录、微信扫码登录、JWT 无状态拦截器鉴权、课程多维检索、AI 多类型插件卡片展示与按积分计费结算、以及自定义工作流多步 JSON 编排与批量激活码管理在内的高可用、高安全级别的分布式官网后端架构。绪论部分概述了本研究的背景、目标和重要性，介绍了国内外在在线 IT 教育及工作流编排系统方面的研究现状，概述了所涉及的关键技术，并探讨了系统需解决的问题，揭示全文的结构安排。</w:t>
      </w:r>
      <w:r>
        <w:rPr>
          <w:rFonts w:hint="eastAsia" w:eastAsiaTheme="minorEastAsia"/>
          <w:sz w:val="24"/>
        </w:rPr>
      </w:r>
      <w:r>
        <w:rPr>
          <w:sz w:val="24"/>
        </w:rPr>
      </w:r>
      <w:r/>
    </w:p>
    <w:p w14:paraId="7228AF18">
      <w:pPr>
        <w:pStyle w:val="3"/>
        <w:spacing w:line="460" w:lineRule="exact"/>
        <w:rPr>
          <w:rFonts w:hint="eastAsia" w:ascii="黑体" w:hAnsi="黑体" w:eastAsia="黑体" w:cs="黑体"/>
          <w:b w:val="0"/>
          <w:bCs w:val="0"/>
          <w:sz w:val="30"/>
          <w:szCs w:val="30"/>
        </w:rPr>
      </w:pPr>
      <w:bookmarkStart w:id="2" w:name="_Toc23637"/>
      <w:r>
        <w:rPr>
          <w:rFonts w:hint="eastAsia" w:ascii="黑体" w:hAnsi="黑体" w:eastAsia="黑体" w:cs="黑体"/>
          <w:b w:val="0"/>
          <w:bCs w:val="0"/>
          <w:sz w:val="30"/>
          <w:szCs w:val="30"/>
        </w:rPr>
        <w:t xml:space="preserve">1.1 </w:t>
      </w:r>
      <w:r>
        <w:rPr>
          <w:rFonts w:hint="eastAsia" w:ascii="黑体" w:hAnsi="黑体" w:eastAsia="黑体" w:cs="黑体"/>
          <w:b w:val="0"/>
          <w:bCs w:val="0"/>
          <w:sz w:val="30"/>
          <w:szCs w:val="30"/>
        </w:rPr>
      </w:r>
      <w:r>
        <w:rPr>
          <w:rFonts w:hint="eastAsia" w:ascii="黑体" w:hAnsi="黑体" w:eastAsia="黑体" w:cs="黑体"/>
          <w:b w:val="0"/>
          <w:bCs w:val="0"/>
          <w:sz w:val="30"/>
          <w:szCs w:val="30"/>
        </w:rPr>
        <w:t>研究背景</w:t>
      </w:r>
      <w:bookmarkEnd w:id="2"/>
    </w:p>
    <w:p w14:paraId="0BB7CE97">
      <w:pPr>
        <w:spacing w:line="460" w:lineRule="exact"/>
        <w:ind w:firstLine="480" w:firstLineChars="200"/>
        <w:rPr>
          <w:rFonts w:hint="eastAsia"/>
          <w:sz w:val="24"/>
        </w:rPr>
      </w:pPr>
      <w:r>
        <w:rPr>
          <w:rFonts w:hint="eastAsia"/>
          <w:sz w:val="24"/>
        </w:rPr>
        <w:t>在我国在线IT教育和职业技术培训行业数字化转型持续深化的背景下，传统静态单向的教学平台在师生学业互动以及智能化辅助研学方面面临全新的瓶颈，迫切需要引入先进的人工智能大模型辅助场景</w:t>
      </w:r>
      <w:r>
        <w:rPr>
          <w:rFonts w:hint="eastAsia"/>
          <w:sz w:val="24"/>
          <w:vertAlign w:val="superscript"/>
        </w:rPr>
        <w:t>[1]</w:t>
      </w:r>
      <w:r>
        <w:rPr>
          <w:rFonts w:hint="eastAsia"/>
          <w:sz w:val="24"/>
        </w:rPr>
        <w:t>。OYY学院作为领先的在线教学平台，急需在后台引入一套智能化的课程内容、AI 插件卡片展示以及自定义工作流编排服务，从而在保障内部网络数据隔离安全的前提下，向学员提供快捷高效的启发式编程及问答辅导</w:t>
      </w:r>
      <w:r>
        <w:rPr>
          <w:rFonts w:hint="eastAsia"/>
          <w:sz w:val="24"/>
          <w:vertAlign w:val="superscript"/>
        </w:rPr>
        <w:t>[2]</w:t>
      </w:r>
      <w:r>
        <w:rPr>
          <w:rFonts w:hint="eastAsia"/>
          <w:sz w:val="24"/>
        </w:rPr>
        <w:t>。</w:t>
      </w:r>
    </w:p>
    <w:p w14:paraId="0DE452A4">
      <w:pPr>
        <w:spacing w:line="460" w:lineRule="exact"/>
        <w:ind w:firstLine="480" w:firstLineChars="200"/>
        <w:rPr>
          <w:rFonts w:hint="eastAsia"/>
          <w:sz w:val="24"/>
        </w:rPr>
      </w:pPr>
      <w:r>
        <w:rPr>
          <w:rFonts w:hint="eastAsia"/>
          <w:sz w:val="24"/>
        </w:rPr>
        <w:t>近年来，微服务解耦与大模型 API 工具集（Tool-call）在各个垂直领域的落地已经展现出了巨大的工程应用价值。通过将不同任务的 AI 插件（如图片生成、视频生成、文本处理等）进行独立封装，并提供自定义多步 JSON 编排工作流，用户可以像拼积木一样组合多个 AI 工具，大幅提升任务处理自动化程度；与此同时，结合基于 Redis 的手机验证码缓存、无状态 JWT 拦截鉴权、多角色 ThreadLocal 隔离、以及批量安全激活码兑换会员或积分机制，系统可以构建出一个高度可靠、透明度极高且交互体验极佳的学院官网后端服务，对优化平台运营与改善学员的学习体验具有极强的实践意义</w:t>
      </w:r>
      <w:r>
        <w:rPr>
          <w:rFonts w:hint="eastAsia" w:eastAsiaTheme="minorEastAsia"/>
          <w:sz w:val="24"/>
        </w:rPr>
      </w:r>
      <w:r>
        <w:rPr>
          <w:rFonts w:hint="eastAsia" w:eastAsiaTheme="minorEastAsia"/>
          <w:sz w:val="24"/>
          <w:vertAlign w:val="superscript"/>
        </w:rPr>
        <w:t>[3]</w:t>
      </w:r>
      <w:r>
        <w:rPr>
          <w:rFonts w:hint="eastAsia"/>
          <w:sz w:val="24"/>
        </w:rPr>
        <w:t>。</w:t>
      </w:r>
    </w:p>
    <w:p w14:paraId="7D811203">
      <w:pPr>
        <w:pStyle w:val="3"/>
        <w:spacing w:line="460" w:lineRule="exact"/>
        <w:rPr>
          <w:rFonts w:hint="eastAsia" w:ascii="黑体" w:hAnsi="黑体" w:eastAsia="黑体" w:cs="黑体"/>
          <w:b w:val="0"/>
          <w:bCs w:val="0"/>
          <w:sz w:val="30"/>
          <w:szCs w:val="30"/>
          <w:lang w:val="en-US" w:eastAsia="zh-CN"/>
        </w:rPr>
      </w:pPr>
      <w:bookmarkStart w:id="3" w:name="_Toc3264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2</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rPr>
      </w:r>
      <w:r>
        <w:rPr>
          <w:rFonts w:hint="eastAsia" w:ascii="黑体" w:hAnsi="黑体" w:eastAsia="黑体" w:cs="黑体"/>
          <w:b w:val="0"/>
          <w:bCs w:val="0"/>
          <w:sz w:val="30"/>
          <w:szCs w:val="30"/>
          <w:lang w:val="en-US" w:eastAsia="zh-CN"/>
        </w:rPr>
        <w:t>国内外研究现状</w:t>
      </w:r>
      <w:bookmarkEnd w:id="3"/>
    </w:p>
    <w:p w14:paraId="7BC5ED45">
      <w:pPr>
        <w:spacing w:line="460" w:lineRule="exact"/>
        <w:ind w:firstLine="480" w:firstLineChars="200"/>
        <w:rPr>
          <w:rFonts w:hint="eastAsia"/>
          <w:sz w:val="24"/>
        </w:rPr>
      </w:pPr>
      <w:r>
        <w:rPr>
          <w:rFonts w:hint="eastAsia"/>
          <w:sz w:val="24"/>
        </w:rPr>
        <w:t>在微服务与在线 IT 教育高度融合的时代，建设一个安全、解耦、支持并发结算与按积分计费的智能后端平台已成为国内外教育信息化升级的核心焦点。为了构建一个既符合多角色（学员、讲师、管理员）交互规范，又能够保障激活码防刷和积分扣减事务一致性的高可用系统，我们需要深入梳理当前国内外在工作流编排、JWT 无状态鉴权以及 Redis 并发限流等技术维度的发展特征，为本项目的研发奠定理论基础。</w:t>
      </w:r>
    </w:p>
    <w:p w14:paraId="3D0EAEBE">
      <w:pPr>
        <w:pStyle w:val="4"/>
        <w:spacing w:before="156" w:beforeLines="50" w:after="156" w:afterLines="50" w:line="460" w:lineRule="exact"/>
        <w:rPr>
          <w:rFonts w:eastAsia="黑体"/>
          <w:b w:val="0"/>
          <w:bCs w:val="0"/>
          <w:sz w:val="28"/>
          <w:szCs w:val="28"/>
        </w:rPr>
      </w:pPr>
      <w:bookmarkStart w:id="4" w:name="_Toc17235"/>
      <w:bookmarkStart w:id="5" w:name="_Toc30855"/>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.1</w:t>
      </w:r>
      <w:r>
        <w:rPr>
          <w:rFonts w:hint="eastAsia" w:eastAsia="黑体"/>
          <w:b w:val="0"/>
          <w:bCs w:val="0"/>
          <w:sz w:val="28"/>
          <w:szCs w:val="28"/>
        </w:rPr>
        <w:t>国外研究现状</w:t>
      </w:r>
      <w:bookmarkEnd w:id="4"/>
      <w:bookmarkEnd w:id="5"/>
    </w:p>
    <w:p w14:paraId="7638EB38">
      <w:pPr>
        <w:spacing w:line="460" w:lineRule="exact"/>
        <w:ind w:firstLine="480" w:firstLineChars="200"/>
        <w:rPr>
          <w:sz w:val="24"/>
        </w:rPr>
      </w:pPr>
      <w:r>
        <w:rPr>
          <w:sz w:val="24"/>
        </w:rPr>
        <w:t>在国外在线IT培训与微服务编排框架的研究中，多角色鉴权与高并发结算系统的工程化落地已经非常成熟。通过采用 Spring Boot、MyBatis-Plus 以及 Redis 分布式事务锁等先进架构，许多国外的高并发电商和教学平台在 Token 安全防御、JWT 会话控制及激活码算法抗碰撞等方向取得了重要突破，这都显著提升了学员高频访问的交互响应速率与数据可靠度</w:t>
      </w:r>
      <w:r>
        <w:rPr>
          <w:rFonts w:hint="eastAsia"/>
          <w:sz w:val="24"/>
        </w:rPr>
        <w:t>运营</w:t>
      </w:r>
      <w:r>
        <w:rPr>
          <w:sz w:val="24"/>
        </w:rPr>
        <w:t>。</w:t>
      </w:r>
      <w:r>
        <w:rPr>
          <w:rFonts w:hint="eastAsia"/>
          <w:sz w:val="24"/>
          <w:vertAlign w:val="superscript"/>
        </w:rPr>
        <w:t>[4]</w:t>
      </w:r>
      <w:r>
        <w:rPr>
          <w:sz w:val="24"/>
        </w:rPr>
        <w:t>。</w:t>
      </w:r>
    </w:p>
    <w:p w14:paraId="00A4BC5B">
      <w:pPr>
        <w:spacing w:line="460" w:lineRule="exact"/>
        <w:ind w:firstLine="480" w:firstLineChars="200"/>
        <w:rPr>
          <w:sz w:val="24"/>
        </w:rPr>
      </w:pPr>
      <w:r>
        <w:rPr>
          <w:sz w:val="24"/>
        </w:rPr>
        <w:t>国际学术界在提升业务稳定性的同时，也对教育场景下智能大模型插件的多步工作流编排（Workflow）以及计费审计系统的构建进行了大量讨论。这方面的流程引擎（如 Camunda/Flowable）轻量化改造与监控策略为智能平台跨学科部署和高并发业务结算提供了极为可行的架构范式。此外，大语言模型推理过程的透明化以及数据安全合规性也是当前国外研究的热点，目的是构建师生对 AI 生成结果的信任，并符合严格的数据保护法律要求</w:t>
      </w:r>
      <w:r>
        <w:rPr>
          <w:rFonts w:hint="eastAsia"/>
          <w:sz w:val="24"/>
        </w:rPr>
      </w:r>
      <w:r>
        <w:rPr>
          <w:sz w:val="24"/>
        </w:rPr>
        <w:t>。</w:t>
      </w:r>
      <w:r>
        <w:rPr>
          <w:rFonts w:hint="eastAsia"/>
          <w:sz w:val="24"/>
        </w:rPr>
        <w:t>及其</w:t>
      </w:r>
      <w:r>
        <w:rPr>
          <w:sz w:val="24"/>
        </w:rPr>
        <w:t>国际化战略的实施提供了可行方案。数据隐私与用户信息安全也是研究的热点，</w:t>
      </w:r>
      <w:r>
        <w:rPr>
          <w:rFonts w:hint="eastAsia"/>
          <w:sz w:val="24"/>
        </w:rPr>
        <w:t>目的是</w:t>
      </w:r>
      <w:r>
        <w:rPr>
          <w:sz w:val="24"/>
        </w:rPr>
        <w:t>构建用户信任，并符合严格的数据保护法律要求</w:t>
      </w:r>
      <w:r>
        <w:rPr>
          <w:rFonts w:hint="eastAsia"/>
          <w:sz w:val="24"/>
          <w:vertAlign w:val="superscript"/>
        </w:rPr>
        <w:t>[5]</w:t>
      </w:r>
      <w:r>
        <w:rPr>
          <w:sz w:val="24"/>
        </w:rPr>
        <w:t>。</w:t>
      </w:r>
    </w:p>
    <w:p w14:paraId="4ADAB005">
      <w:pPr>
        <w:spacing w:line="460" w:lineRule="exact"/>
        <w:ind w:firstLine="480" w:firstLineChars="200"/>
        <w:rPr>
          <w:sz w:val="24"/>
        </w:rPr>
      </w:pPr>
      <w:r>
        <w:rPr>
          <w:sz w:val="24"/>
        </w:rPr>
        <w:t>在这些研究和实践的基础上，还必须考虑微服务部署在多用户并发访问下的局限性。例如，在专业课程和会员充值系统的建设中，由于涉及学员资产与积分余额的私密性，教学管理系统需要提供极高规格的学生/教师物理数据库隔离，以避免敏感学科资源的跨用户越权泄漏</w:t>
      </w:r>
      <w:r>
        <w:rPr>
          <w:rFonts w:hint="eastAsia"/>
          <w:sz w:val="24"/>
        </w:rPr>
      </w:r>
      <w:r>
        <w:rPr>
          <w:sz w:val="24"/>
        </w:rPr>
      </w:r>
      <w:r>
        <w:rPr>
          <w:rFonts w:hint="eastAsia"/>
          <w:sz w:val="24"/>
        </w:rPr>
      </w:r>
      <w:r>
        <w:rPr>
          <w:sz w:val="24"/>
        </w:rPr>
      </w:r>
      <w:r>
        <w:rPr>
          <w:rFonts w:hint="eastAsia"/>
          <w:sz w:val="24"/>
          <w:vertAlign w:val="superscript"/>
        </w:rPr>
        <w:t>[6]</w:t>
      </w:r>
      <w:r>
        <w:rPr>
          <w:sz w:val="24"/>
        </w:rPr>
      </w:r>
      <w:r>
        <w:rPr>
          <w:rFonts w:hint="eastAsia"/>
          <w:sz w:val="24"/>
        </w:rPr>
        <w:t>。同时在面对高并发、高弹性的校园局域网络环境时，后端服务需要采用基于共享线程池的 ThreadLocal 会话清理与 Redis 并发限流设计，以保障多线程会话在弱网或高频请求场景下的稳定连接与鲁棒体验</w:t>
      </w:r>
      <w:r>
        <w:rPr>
          <w:sz w:val="24"/>
        </w:rPr>
      </w:r>
      <w:r>
        <w:rPr>
          <w:rFonts w:hint="eastAsia"/>
          <w:sz w:val="24"/>
          <w:vertAlign w:val="superscript"/>
        </w:rPr>
        <w:t>[7]</w:t>
      </w:r>
      <w:r>
        <w:rPr>
          <w:sz w:val="24"/>
        </w:rPr>
        <w:t>。</w:t>
      </w:r>
    </w:p>
    <w:p w14:paraId="429F9C2A">
      <w:pPr>
        <w:spacing w:line="460" w:lineRule="exact"/>
        <w:ind w:firstLine="480" w:firstLineChars="200"/>
        <w:rPr>
          <w:sz w:val="24"/>
        </w:rPr>
      </w:pPr>
      <w:r>
        <w:rPr>
          <w:sz w:val="24"/>
        </w:rPr>
        <w:t>为适应智能 AI 插件在高校日常多学科答疑场景下的普及应用，教学市场平台不仅需提供多维的教师展示与选择面板，更需要在系统性能、隐私合规及高可用性方面持续提升，以获得长效的校园用户粘性。</w:t>
      </w:r>
    </w:p>
    <w:p w14:paraId="43A450A6">
      <w:pPr>
        <w:pStyle w:val="4"/>
        <w:spacing w:before="156" w:beforeLines="50" w:after="156" w:afterLines="50" w:line="460" w:lineRule="exact"/>
        <w:rPr>
          <w:rFonts w:eastAsia="黑体"/>
          <w:b w:val="0"/>
          <w:bCs w:val="0"/>
          <w:sz w:val="28"/>
          <w:szCs w:val="28"/>
        </w:rPr>
      </w:pPr>
      <w:bookmarkStart w:id="6" w:name="_Toc6350"/>
      <w:bookmarkStart w:id="7" w:name="_Toc6024"/>
      <w:r>
        <w:rPr>
          <w:rFonts w:eastAsia="黑体"/>
          <w:b w:val="0"/>
          <w:bCs w:val="0"/>
          <w:sz w:val="28"/>
          <w:szCs w:val="28"/>
        </w:rPr>
        <w:t>1.</w:t>
      </w:r>
      <w:r>
        <w:rPr>
          <w:rFonts w:hint="eastAsia" w:eastAsia="黑体"/>
          <w:b w:val="0"/>
          <w:bCs w:val="0"/>
          <w:sz w:val="28"/>
          <w:szCs w:val="28"/>
          <w:lang w:val="en-US" w:eastAsia="zh-CN"/>
        </w:rPr>
        <w:t>2</w:t>
      </w:r>
      <w:r>
        <w:rPr>
          <w:rFonts w:eastAsia="黑体"/>
          <w:b w:val="0"/>
          <w:bCs w:val="0"/>
          <w:sz w:val="28"/>
          <w:szCs w:val="28"/>
        </w:rPr>
        <w:t>.2</w:t>
      </w:r>
      <w:r>
        <w:rPr>
          <w:rFonts w:hint="eastAsia" w:eastAsia="黑体"/>
          <w:b w:val="0"/>
          <w:bCs w:val="0"/>
          <w:sz w:val="28"/>
          <w:szCs w:val="28"/>
        </w:rPr>
        <w:t>国内研究</w:t>
      </w:r>
      <w:r>
        <w:rPr>
          <w:rFonts w:hint="eastAsia" w:eastAsia="黑体"/>
          <w:b w:val="0"/>
          <w:bCs w:val="0"/>
          <w:sz w:val="28"/>
          <w:szCs w:val="28"/>
        </w:rPr>
        <w:t>现状</w:t>
      </w:r>
      <w:r>
        <w:rPr>
          <w:rStyle w:val="19"/>
          <w:b w:val="0"/>
          <w:bCs w:val="0"/>
        </w:rPr>
      </w:r>
      <w:bookmarkEnd w:id="6"/>
      <w:bookmarkEnd w:id="7"/>
    </w:p>
    <w:p w14:paraId="01DD08FB">
      <w:pPr>
        <w:spacing w:line="460" w:lineRule="exact"/>
        <w:ind w:firstLine="480" w:firstLineChars="200"/>
        <w:rPr>
          <w:rFonts w:eastAsiaTheme="minorEastAsia"/>
          <w:sz w:val="24"/>
        </w:rPr>
      </w:pPr>
      <w:r>
        <w:rPr>
          <w:rFonts w:hint="eastAsia" w:eastAsiaTheme="minorEastAsia"/>
          <w:sz w:val="24"/>
        </w:rPr>
        <w:t>随着近几年国内职业教育数字化升级战略的推进，基于云端 API 与本地自建 IT 课程市场的智能教务平台成为了教育工作者的迫切诉求。为了快速升级传统静态教务管理模式，国内众多机构尝试引入轻量化本地大模型，试图将传统课件的上传与查找转化为启发式 AI 流式问答。然而，中小型学科组或院系在技术实力和服务器资源上面临较较大物理约束，通常缺乏一套能够兼容多端知识库检索、防提示词越狱泄露、且支持模型配置和系统规则版本热生效的一体化自托管开源平台</w:t>
      </w:r>
      <w:r>
        <w:rPr>
          <w:rFonts w:hint="eastAsia" w:eastAsiaTheme="minorEastAsia"/>
          <w:sz w:val="24"/>
          <w:vertAlign w:val="superscript"/>
        </w:rPr>
        <w:t>[8]</w:t>
      </w:r>
      <w:r>
        <w:rPr>
          <w:rFonts w:hint="eastAsia" w:eastAsiaTheme="minorEastAsia"/>
          <w:sz w:val="24"/>
        </w:rPr>
        <w:t>。</w:t>
      </w:r>
    </w:p>
    <w:p w14:paraId="17AE33F1">
      <w:pPr>
        <w:spacing w:line="460" w:lineRule="exact"/>
        <w:ind w:firstLine="480" w:firstLineChars="200"/>
        <w:rPr>
          <w:rFonts w:eastAsiaTheme="minorEastAsia"/>
          <w:sz w:val="24"/>
        </w:rPr>
      </w:pPr>
      <w:r>
        <w:rPr>
          <w:rFonts w:hint="eastAsia" w:eastAsiaTheme="minorEastAsia"/>
          <w:sz w:val="24"/>
        </w:rPr>
        <w:t>虽然部分团队尝试在官网中集成点对点大模型聊天，但在多角色多场景的级联管理、MinIO 对象存储高频连接、多线程异步缓冲管理，以及 AI 插件服务与 Spring Boot 主 API 的服务解耦架构方面仍显单薄。大并发下往往出现长响应延迟和连接耗尽的问题，限制了系统的广泛普及。</w:t>
      </w:r>
    </w:p>
    <w:p w14:paraId="70E64069">
      <w:pPr>
        <w:spacing w:line="460" w:lineRule="exact"/>
        <w:rPr>
          <w:sz w:val="24"/>
        </w:rPr>
      </w:pPr>
      <w:r>
        <w:rPr>
          <w:rFonts w:hint="eastAsia" w:eastAsiaTheme="minorEastAsia"/>
          <w:sz w:val="24"/>
        </w:rPr>
        <w:t>国内外的智能教学资源管理与 AI 助教平台的发展特征揭示了多源 RAG 与流式响应技术在教育垂直领域演进中的必然趋势</w:t>
      </w:r>
      <w:r>
        <w:rPr>
          <w:rFonts w:hint="eastAsia" w:eastAsiaTheme="minorEastAsia"/>
          <w:sz w:val="24"/>
          <w:vertAlign w:val="superscript"/>
        </w:rPr>
        <w:t>[9]</w:t>
      </w:r>
      <w:r>
        <w:rPr>
          <w:rFonts w:hint="eastAsia" w:eastAsiaTheme="minorEastAsia"/>
          <w:sz w:val="24"/>
        </w:rPr>
        <w:t>。汲取国外多角色隔离与高性能编排的思想，结合国内高校教学管理和版权主权的实际需求，本项目旨在设计开发一套基于 Spring Boot 与工作流编排的 OYY学院后端管理平台。</w:t>
      </w:r>
    </w:p>
    <w:p w14:paraId="2D274F42">
      <w:pPr>
        <w:pStyle w:val="3"/>
        <w:spacing w:line="460" w:lineRule="exact"/>
        <w:rPr>
          <w:rFonts w:hint="eastAsia" w:ascii="黑体" w:hAnsi="黑体" w:eastAsia="黑体" w:cs="黑体"/>
          <w:b w:val="0"/>
          <w:bCs w:val="0"/>
          <w:sz w:val="30"/>
          <w:szCs w:val="30"/>
        </w:rPr>
      </w:pPr>
      <w:bookmarkStart w:id="8" w:name="_Toc31422"/>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3</w:t>
      </w:r>
      <w:r>
        <w:rPr>
          <w:rFonts w:hint="eastAsia" w:ascii="黑体" w:hAnsi="黑体" w:eastAsia="黑体" w:cs="黑体"/>
          <w:b w:val="0"/>
          <w:bCs w:val="0"/>
          <w:sz w:val="30"/>
          <w:szCs w:val="30"/>
        </w:rPr>
        <w:t xml:space="preserve"> 研究目的与意义</w:t>
      </w:r>
      <w:bookmarkEnd w:id="8"/>
    </w:p>
    <w:p w14:paraId="50F404D7">
      <w:pPr>
        <w:spacing w:line="460" w:lineRule="exact"/>
        <w:ind w:firstLine="480" w:firstLineChars="200"/>
        <w:rPr>
          <w:rFonts w:eastAsiaTheme="minorEastAsia"/>
          <w:sz w:val="24"/>
        </w:rPr>
      </w:pPr>
      <w:r>
        <w:rPr>
          <w:rFonts w:eastAsiaTheme="minorEastAsia"/>
          <w:sz w:val="24"/>
        </w:rPr>
        <w:t>随着职业培训与微服务的高速落地，学员对低延迟、高安全性、多功能融合的智能化学习平台需求日益迫切。传统的静态文档下载和关键词检索服务模式正面临重大的智能化转型升级。构建一个高性能、数据分级隔离的智能教学市场平台，不仅可以极大地释放教师日常重复答疑的工作负担，还能为学生提供启发式、高相关度、并支持严格引用溯源的流式解答体验。因此，本报告专注于探究自托管智能教学市场平台的系统分析与设计，重点研究如何通过 Spring Boot 主 API 服务与 Python 编排服务的解耦设计、多源知识库检索、规则版本管理以及输入越狱检测机制来保障服务的卓越性。接下来，将详细说明本研究的具体目的与意义。</w:t>
      </w:r>
    </w:p>
    <w:p w14:paraId="59A0F14F">
      <w:pPr>
        <w:pStyle w:val="4"/>
        <w:spacing w:before="156" w:beforeLines="50" w:after="156" w:afterLines="50" w:line="460" w:lineRule="exact"/>
        <w:rPr>
          <w:rFonts w:eastAsia="黑体"/>
          <w:b w:val="0"/>
          <w:bCs w:val="0"/>
          <w:sz w:val="28"/>
          <w:szCs w:val="28"/>
        </w:rPr>
      </w:pPr>
      <w:bookmarkStart w:id="9" w:name="_Toc3837"/>
      <w:bookmarkStart w:id="10" w:name="_Toc773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.1</w:t>
      </w:r>
      <w:r>
        <w:rPr>
          <w:rFonts w:hint="eastAsia" w:eastAsia="黑体"/>
          <w:b w:val="0"/>
          <w:bCs w:val="0"/>
          <w:sz w:val="28"/>
          <w:szCs w:val="28"/>
        </w:rPr>
        <w:t>研究目的</w:t>
      </w:r>
      <w:bookmarkEnd w:id="9"/>
      <w:bookmarkEnd w:id="10"/>
    </w:p>
    <w:p w14:paraId="4BF05F0E">
      <w:pPr>
        <w:spacing w:line="460" w:lineRule="exact"/>
        <w:ind w:firstLine="480" w:firstLineChars="200"/>
        <w:rPr>
          <w:rFonts w:eastAsiaTheme="minorEastAsia"/>
          <w:sz w:val="24"/>
        </w:rPr>
      </w:pPr>
      <w:r>
        <w:rPr>
          <w:rFonts w:hint="eastAsia" w:eastAsiaTheme="minorEastAsia"/>
          <w:sz w:val="24"/>
        </w:rPr>
        <w:t>本次研究的重要目的是设计并开发一个支持多角色权限隔离、高稳定性的 OYY学院后端管理平台。该平台无缝对接本地和云端 AI 工具集，并建立基于 JWT 无状态拦截的安全鉴权链路。系统通过解耦的 AI 工作流编排以及 MySQL 数据库，实现毫秒级激活码校验与高性能并发积分扣减结算，在确保学员虚拟资产 100% 严密隐私保护的前提下显著提升个性化教学效率与体验</w:t>
      </w:r>
      <w:r>
        <w:rPr>
          <w:rFonts w:eastAsiaTheme="minorEastAsia"/>
          <w:sz w:val="24"/>
        </w:rPr>
      </w:r>
      <w:r>
        <w:rPr>
          <w:rFonts w:hint="eastAsia" w:eastAsiaTheme="minorEastAsia"/>
          <w:sz w:val="24"/>
        </w:rPr>
      </w:r>
      <w:r>
        <w:rPr>
          <w:rFonts w:eastAsiaTheme="minorEastAsia"/>
          <w:sz w:val="24"/>
        </w:rPr>
      </w:r>
      <w:r>
        <w:rPr>
          <w:rFonts w:hint="eastAsia" w:eastAsiaTheme="minorEastAsia"/>
          <w:sz w:val="24"/>
        </w:rPr>
      </w:r>
      <w:r>
        <w:rPr>
          <w:rFonts w:eastAsiaTheme="minorEastAsia"/>
          <w:sz w:val="24"/>
        </w:rPr>
      </w:r>
      <w:r>
        <w:rPr>
          <w:rFonts w:hint="eastAsia" w:eastAsiaTheme="minorEastAsia"/>
          <w:sz w:val="24"/>
          <w:vertAlign w:val="superscript"/>
        </w:rPr>
        <w:t>[10]</w:t>
      </w:r>
      <w:r>
        <w:rPr>
          <w:rFonts w:eastAsiaTheme="minorEastAsia"/>
          <w:sz w:val="24"/>
        </w:rPr>
        <w:t>。</w:t>
      </w:r>
    </w:p>
    <w:p w14:paraId="4874328F">
      <w:pPr>
        <w:spacing w:line="460" w:lineRule="exact"/>
        <w:ind w:firstLine="480" w:firstLineChars="200"/>
        <w:rPr>
          <w:sz w:val="24"/>
        </w:rPr>
      </w:pPr>
      <w:r>
        <w:rPr>
          <w:rFonts w:hint="eastAsia" w:eastAsiaTheme="minorEastAsia"/>
          <w:sz w:val="24"/>
        </w:rPr>
        <w:t>更重要的是要整合多角色权限，设计实施一个支持教师自主上架精品课程、学员在线订阅、以及自定义多步 AI 工作流编排的互动平台</w:t>
      </w:r>
      <w:r>
        <w:rPr>
          <w:rFonts w:eastAsiaTheme="minorEastAsia"/>
          <w:sz w:val="24"/>
        </w:rPr>
      </w:r>
      <w:r>
        <w:rPr>
          <w:rFonts w:hint="eastAsia" w:eastAsiaTheme="minorEastAsia"/>
          <w:sz w:val="24"/>
          <w:vertAlign w:val="superscript"/>
        </w:rPr>
        <w:t>[11]</w:t>
      </w:r>
      <w:r>
        <w:rPr>
          <w:rFonts w:eastAsiaTheme="minorEastAsia"/>
          <w:sz w:val="24"/>
        </w:rPr>
        <w:t>。同时，通过引入系统参数与 Prompt 模板的规则版本管理机制，允许管理员或教师通过后台 Web 端热更新大模型的分身人设，为各学科重难点教学设计提供实时、自适应的数据及版本决策支持。</w:t>
      </w:r>
      <w:r>
        <w:rPr>
          <w:rFonts w:hint="eastAsia"/>
          <w:sz w:val="24"/>
        </w:rPr>
        <w:t>。</w:t>
      </w:r>
    </w:p>
    <w:p w14:paraId="096BBD85">
      <w:pPr>
        <w:pStyle w:val="4"/>
        <w:spacing w:before="156" w:beforeLines="50" w:after="156" w:afterLines="50" w:line="460" w:lineRule="exact"/>
        <w:rPr>
          <w:rFonts w:eastAsia="黑体"/>
          <w:b w:val="0"/>
          <w:bCs w:val="0"/>
          <w:sz w:val="28"/>
          <w:szCs w:val="28"/>
        </w:rPr>
      </w:pPr>
      <w:bookmarkStart w:id="11" w:name="_Toc13074"/>
      <w:bookmarkStart w:id="12" w:name="_Toc18067"/>
      <w:r>
        <w:rPr>
          <w:rFonts w:eastAsia="黑体"/>
          <w:b w:val="0"/>
          <w:bCs w:val="0"/>
          <w:sz w:val="28"/>
          <w:szCs w:val="28"/>
        </w:rPr>
        <w:t>1.</w:t>
      </w:r>
      <w:r>
        <w:rPr>
          <w:rFonts w:hint="eastAsia" w:eastAsia="黑体"/>
          <w:b w:val="0"/>
          <w:bCs w:val="0"/>
          <w:sz w:val="28"/>
          <w:szCs w:val="28"/>
          <w:lang w:val="en-US" w:eastAsia="zh-CN"/>
        </w:rPr>
        <w:t>3</w:t>
      </w:r>
      <w:r>
        <w:rPr>
          <w:rFonts w:eastAsia="黑体"/>
          <w:b w:val="0"/>
          <w:bCs w:val="0"/>
          <w:sz w:val="28"/>
          <w:szCs w:val="28"/>
        </w:rPr>
        <w:t>.2</w:t>
      </w:r>
      <w:r>
        <w:rPr>
          <w:rFonts w:hint="eastAsia" w:eastAsia="黑体"/>
          <w:b w:val="0"/>
          <w:bCs w:val="0"/>
          <w:sz w:val="28"/>
          <w:szCs w:val="28"/>
        </w:rPr>
        <w:t>研究意义</w:t>
      </w:r>
      <w:bookmarkEnd w:id="11"/>
      <w:bookmarkEnd w:id="12"/>
    </w:p>
    <w:p w14:paraId="47894479">
      <w:pPr>
        <w:spacing w:line="460" w:lineRule="exact"/>
        <w:ind w:firstLine="480" w:firstLineChars="200"/>
        <w:rPr>
          <w:sz w:val="24"/>
        </w:rPr>
      </w:pPr>
      <w:r>
        <w:rPr>
          <w:sz w:val="24"/>
        </w:rPr>
        <w:t>本研究的意义体现在对微服务多角色业务系统与 IT 在线教育理论和工程实践深度结合的研究上。本报告旨在为在线教育机构及中小型教学团队提供一套完全私有化部署、高安全防线且符合绿色低能耗标准的自建教学平台解决方案，以顺应高校数字化与 AI 融合的时代潮流</w:t>
      </w:r>
      <w:r>
        <w:rPr>
          <w:rFonts w:hint="eastAsia"/>
          <w:sz w:val="24"/>
          <w:vertAlign w:val="superscript"/>
        </w:rPr>
        <w:t>[12]</w:t>
      </w:r>
      <w:r>
        <w:rPr>
          <w:sz w:val="24"/>
        </w:rPr>
        <w:t>。</w:t>
      </w:r>
    </w:p>
    <w:p w14:paraId="7814C2AD">
      <w:pPr>
        <w:spacing w:line="460" w:lineRule="exact"/>
        <w:ind w:firstLine="480" w:firstLineChars="200"/>
        <w:rPr>
          <w:sz w:val="24"/>
        </w:rPr>
      </w:pPr>
      <w:r>
        <w:rPr>
          <w:sz w:val="24"/>
        </w:rPr>
        <w:t>通过部署 OYY学院后端平台，教育机构能够将原先零散的专业课件、教学视频以及大文件讲义一键上传至自建阿里云/腾讯云 OSS，并通过 MySQL 表进行结构化关联。学生不仅能订阅所需课程，还可以利用系统提供的多模态 AI 插件（如图片生成、视频生成等）进行智能编排，顺序串联多个 AI 工具，实现全自动的编码及作业辅助设计，大幅减少学习盲区并提高实操效率。</w:t>
      </w:r>
      <w:r>
        <w:rPr>
          <w:rFonts w:hint="eastAsia"/>
          <w:sz w:val="24"/>
        </w:rPr>
      </w:r>
      <w:r>
        <w:rPr>
          <w:sz w:val="24"/>
        </w:rPr>
      </w:r>
      <w:r>
        <w:rPr>
          <w:rFonts w:hint="eastAsia"/>
          <w:sz w:val="24"/>
        </w:rPr>
      </w:r>
      <w:r>
        <w:rPr>
          <w:sz w:val="24"/>
        </w:rPr>
      </w:r>
      <w:r>
        <w:rPr>
          <w:rFonts w:hint="eastAsia"/>
          <w:sz w:val="24"/>
        </w:rPr>
      </w:r>
      <w:r>
        <w:rPr>
          <w:sz w:val="24"/>
        </w:rPr>
      </w:r>
    </w:p>
    <w:p w14:paraId="4F7D5631">
      <w:pPr>
        <w:spacing w:line="460" w:lineRule="exact"/>
        <w:ind w:firstLine="480" w:firstLineChars="200"/>
        <w:rPr>
          <w:sz w:val="24"/>
        </w:rPr>
      </w:pPr>
      <w:r>
        <w:rPr>
          <w:sz w:val="24"/>
        </w:rPr>
        <w:t>系统集成的 ThreadLocal 会话安全隔离与基于 Redis 的防刷限流机制是构建学员对平台支付与虚拟积分账户信任的根本屏障，确保平台在使用时完全遵循我国互联网信息服务管理办法等相关网络安全法规</w:t>
      </w:r>
      <w:r>
        <w:rPr>
          <w:rFonts w:hint="eastAsia"/>
          <w:sz w:val="24"/>
          <w:vertAlign w:val="superscript"/>
        </w:rPr>
        <w:t>[13]</w:t>
      </w:r>
      <w:r>
        <w:rPr>
          <w:sz w:val="24"/>
        </w:rPr>
        <w:t>。同时，系统支持本地 Docker 容器化一键部署与轻量化测试运行，降低了硬件采购与日常物理主机的运维开销，对推动校园绿色计算和降低高校数字资源采购成本具有突出的实践指导作用。</w:t>
      </w:r>
    </w:p>
    <w:p w14:paraId="2CC482E0">
      <w:pPr>
        <w:spacing w:line="460" w:lineRule="exact"/>
        <w:ind w:firstLine="480" w:firstLineChars="200"/>
        <w:rPr>
          <w:rFonts w:hint="eastAsia"/>
          <w:sz w:val="24"/>
        </w:rPr>
      </w:pPr>
      <w:r>
        <w:rPr>
          <w:rFonts w:hint="eastAsia"/>
          <w:sz w:val="24"/>
        </w:rPr>
        <w:t>本报告丰富了传统教务管理信息系统在工作流（Workflow）编排与大模型技术集成方面的理论研究。其首创的 Java 17 + Spring Boot 3 与 Redis 高速缓存配合 MyBatis-Plus 极简 ORM 构建，以及批量激活码高并发生成算法和 JWT 无状态拦截器技术，为智能助教系统的低门槛落地部署提供了极其具体的工程实践。</w:t>
      </w:r>
    </w:p>
    <w:p w14:paraId="421303CF">
      <w:pPr>
        <w:pStyle w:val="3"/>
        <w:spacing w:line="460" w:lineRule="exact"/>
        <w:rPr>
          <w:rFonts w:hint="eastAsia" w:ascii="黑体" w:hAnsi="黑体" w:eastAsia="黑体" w:cs="黑体"/>
          <w:b w:val="0"/>
          <w:bCs w:val="0"/>
          <w:sz w:val="30"/>
          <w:szCs w:val="30"/>
          <w:lang w:val="en-US" w:eastAsia="zh-CN"/>
        </w:rPr>
      </w:pPr>
      <w:bookmarkStart w:id="13" w:name="_Toc2321"/>
      <w:r>
        <w:rPr>
          <w:rFonts w:hint="eastAsia" w:ascii="黑体" w:hAnsi="黑体" w:eastAsia="黑体" w:cs="黑体"/>
          <w:b w:val="0"/>
          <w:bCs w:val="0"/>
          <w:sz w:val="30"/>
          <w:szCs w:val="30"/>
        </w:rPr>
        <w:t>1.</w:t>
      </w:r>
      <w:r>
        <w:rPr>
          <w:rFonts w:hint="eastAsia" w:ascii="黑体" w:hAnsi="黑体" w:eastAsia="黑体" w:cs="黑体"/>
          <w:b w:val="0"/>
          <w:bCs w:val="0"/>
          <w:sz w:val="30"/>
          <w:szCs w:val="30"/>
          <w:lang w:val="en-US" w:eastAsia="zh-CN"/>
        </w:rPr>
        <w:t>4</w:t>
      </w:r>
      <w:r>
        <w:rPr>
          <w:rFonts w:hint="eastAsia" w:ascii="黑体" w:hAnsi="黑体" w:eastAsia="黑体" w:cs="黑体"/>
          <w:b w:val="0"/>
          <w:bCs w:val="0"/>
          <w:sz w:val="30"/>
          <w:szCs w:val="30"/>
        </w:rPr>
        <w:t xml:space="preserve"> </w:t>
      </w:r>
      <w:r>
        <w:rPr>
          <w:rFonts w:hint="eastAsia" w:ascii="黑体" w:hAnsi="黑体" w:eastAsia="黑体" w:cs="黑体"/>
          <w:b w:val="0"/>
          <w:bCs w:val="0"/>
          <w:sz w:val="30"/>
          <w:szCs w:val="30"/>
          <w:lang w:val="en-US" w:eastAsia="zh-CN"/>
        </w:rPr>
        <w:t>相关技术介绍</w:t>
      </w:r>
      <w:bookmarkEnd w:id="13"/>
    </w:p>
    <w:p w14:paraId="104A4A0F">
      <w:pPr>
        <w:spacing w:line="460" w:lineRule="exact"/>
        <w:ind w:firstLine="480" w:firstLineChars="200"/>
        <w:rPr>
          <w:rFonts w:hint="default"/>
          <w:sz w:val="24"/>
          <w:lang w:val="en-US" w:eastAsia="zh-CN"/>
        </w:rPr>
      </w:pPr>
      <w:r>
        <w:rPr>
          <w:rFonts w:hint="eastAsia"/>
          <w:sz w:val="24"/>
          <w:lang w:val="en-US" w:eastAsia="zh-CN"/>
        </w:rPr>
        <w:t>在如今大模型与微服务深度结合的时代，选择轻量级、健壮且高并发的技术栈对于构建一个高性能、高安全的自托管教学平台至关重要。本项目专注于挑选最主流的开源技术，以确保系统在面临高并发长连接和海量知识文件解析时，能够展现卓越的吞吐性与高可用性。经过充分对比，系统最终采用了“Java 17 / Spring Boot 3.x 核心框架 + MyBatis-Plus ORM 库”的敏捷架构，数据存储则结合了 MySQL 关系型数据库、Redis 高速缓存以及 JWT 鉴权体系。下面将详细探讨这些关键技术在系统中的具体作用、技术优势，以及它们是如何协同工作以满足复杂的智能教学平台业务需求。</w:t>
      </w:r>
    </w:p>
    <w:p w14:paraId="7136D08B">
      <w:pPr>
        <w:pStyle w:val="4"/>
        <w:spacing w:before="156" w:beforeLines="50" w:after="156" w:afterLines="50" w:line="460" w:lineRule="exact"/>
        <w:rPr>
          <w:rFonts w:hint="eastAsia" w:eastAsia="黑体"/>
          <w:b w:val="0"/>
          <w:bCs w:val="0"/>
          <w:sz w:val="28"/>
          <w:szCs w:val="28"/>
          <w:lang w:val="en-US" w:eastAsia="zh-CN"/>
        </w:rPr>
      </w:pPr>
      <w:bookmarkStart w:id="14" w:name="_Toc29478"/>
      <w:r>
        <w:rPr>
          <w:rFonts w:eastAsia="黑体"/>
          <w:b w:val="0"/>
          <w:bCs w:val="0"/>
          <w:sz w:val="28"/>
          <w:szCs w:val="28"/>
        </w:rPr>
        <w:t>1.4.1 Java 17 语言与多线程高并发</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4"/>
      <w:r>
        <w:rPr>
          <w:rFonts w:hint="eastAsia" w:eastAsia="黑体"/>
          <w:b w:val="0"/>
          <w:bCs w:val="0"/>
          <w:sz w:val="28"/>
          <w:szCs w:val="28"/>
          <w:lang w:val="en-US" w:eastAsia="zh-CN"/>
        </w:rPr>
      </w:r>
    </w:p>
    <w:p w14:paraId="15464EB1">
      <w:pPr>
        <w:spacing w:line="460" w:lineRule="exact"/>
        <w:ind w:firstLine="480" w:firstLineChars="200"/>
        <w:rPr>
          <w:rFonts w:hint="eastAsia"/>
          <w:sz w:val="24"/>
          <w:lang w:val="en-US" w:eastAsia="zh-CN"/>
        </w:rPr>
      </w:pPr>
      <w:r>
        <w:rPr>
          <w:rFonts w:hint="eastAsia"/>
          <w:sz w:val="24"/>
          <w:lang w:val="en-US" w:eastAsia="zh-CN"/>
        </w:rPr>
        <w:t>作为开发企业级应用的中流砥柱，Java 17 以其高强度的内存管控、极其出色的多线程高并发管理器，成为了本项目核心业务后端的开发基石。在 OYY学院后端平台中，Java 17 的非阻塞 I/O 读写能力、垃圾回收器（G1/ZGC）的低停顿特性，使得后台在维持高频手机验证码登录校验、高并发下自定义工作流多线程顺序调用结算、以及对 OSS 大文件的并发上传读写时，能够保持极低的内存开销与卓越的系统吞吐性能。</w:t>
      </w:r>
    </w:p>
    <w:p w14:paraId="6E539809">
      <w:pPr>
        <w:pStyle w:val="4"/>
        <w:spacing w:before="156" w:beforeLines="50" w:after="156" w:afterLines="50" w:line="460" w:lineRule="exact"/>
        <w:rPr>
          <w:rFonts w:hint="default" w:eastAsia="黑体"/>
          <w:b w:val="0"/>
          <w:bCs w:val="0"/>
          <w:sz w:val="28"/>
          <w:szCs w:val="28"/>
          <w:lang w:val="en-US" w:eastAsia="zh-CN"/>
        </w:rPr>
      </w:pPr>
      <w:bookmarkStart w:id="15" w:name="_Toc13227"/>
      <w:r>
        <w:rPr>
          <w:rFonts w:eastAsia="黑体"/>
          <w:b w:val="0"/>
          <w:bCs w:val="0"/>
          <w:sz w:val="28"/>
          <w:szCs w:val="28"/>
        </w:rPr>
        <w:t>1.4.2 Spring Boot 3.x 响应式框架</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5"/>
      <w:r>
        <w:rPr>
          <w:rFonts w:hint="eastAsia" w:eastAsia="黑体"/>
          <w:b w:val="0"/>
          <w:bCs w:val="0"/>
          <w:sz w:val="28"/>
          <w:szCs w:val="28"/>
          <w:lang w:val="en-US" w:eastAsia="zh-CN"/>
        </w:rPr>
      </w:r>
    </w:p>
    <w:p w14:paraId="0E7EBE7F">
      <w:pPr>
        <w:spacing w:line="460" w:lineRule="exact"/>
        <w:ind w:firstLine="480" w:firstLineChars="200"/>
        <w:rPr>
          <w:rFonts w:hint="default" w:eastAsia="黑体"/>
          <w:b w:val="0"/>
          <w:bCs w:val="0"/>
          <w:sz w:val="28"/>
          <w:szCs w:val="28"/>
          <w:lang w:val="en-US" w:eastAsia="zh-CN"/>
        </w:rPr>
      </w:pPr>
      <w:r>
        <w:rPr>
          <w:rFonts w:hint="eastAsia" w:eastAsiaTheme="minorEastAsia"/>
          <w:sz w:val="24"/>
          <w:lang w:val="en-US" w:eastAsia="zh-CN"/>
        </w:rPr>
        <w:t>Spring Boot 3 框架作为快速构建生产级 Spring 应用的行业标准，其强大的 IoC 容器与自动装配特性，为开发 OYY学院后端平台提供了灵活而轻量的主 API 骨架</w:t>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lang w:val="en-US" w:eastAsia="zh-CN"/>
        </w:rPr>
      </w:r>
      <w:r>
        <w:rPr>
          <w:rFonts w:hint="default" w:eastAsiaTheme="minorEastAsia"/>
          <w:sz w:val="24"/>
          <w:lang w:val="en-US" w:eastAsia="zh-CN"/>
        </w:rPr>
      </w:r>
      <w:r>
        <w:rPr>
          <w:rFonts w:hint="eastAsia" w:eastAsiaTheme="minorEastAsia"/>
          <w:sz w:val="24"/>
          <w:vertAlign w:val="superscript"/>
          <w:lang w:val="en-US" w:eastAsia="zh-CN"/>
        </w:rPr>
        <w:t>[14]</w:t>
      </w:r>
      <w:r>
        <w:rPr>
          <w:rFonts w:hint="default" w:eastAsiaTheme="minorEastAsia"/>
          <w:sz w:val="24"/>
          <w:lang w:val="en-US" w:eastAsia="zh-CN"/>
        </w:rPr>
        <w:t>。Spring Boot</w:t>
      </w:r>
      <w:r>
        <w:rPr>
          <w:rFonts w:hint="eastAsia" w:eastAsiaTheme="minorEastAsia"/>
          <w:sz w:val="24"/>
          <w:lang w:val="en-US" w:eastAsia="zh-CN"/>
        </w:rPr>
        <w:t>不仅精简了</w:t>
      </w:r>
      <w:r>
        <w:rPr>
          <w:rFonts w:hint="default" w:eastAsiaTheme="minorEastAsia"/>
          <w:sz w:val="24"/>
          <w:lang w:val="en-US" w:eastAsia="zh-CN"/>
        </w:rPr>
        <w:t>初始的复杂 XML 配置，还集成了优秀的组件机制，为后续多服务间的解耦与极速部署提供了不可替代的技术支撑。</w:t>
      </w:r>
    </w:p>
    <w:p w14:paraId="74D203F2">
      <w:pPr>
        <w:pStyle w:val="4"/>
        <w:spacing w:before="156" w:beforeLines="50" w:after="156" w:afterLines="50" w:line="460" w:lineRule="exact"/>
        <w:rPr>
          <w:rFonts w:hint="default" w:eastAsia="黑体"/>
          <w:b w:val="0"/>
          <w:bCs w:val="0"/>
          <w:sz w:val="28"/>
          <w:szCs w:val="28"/>
          <w:lang w:val="en-US" w:eastAsia="zh-CN"/>
        </w:rPr>
      </w:pPr>
      <w:bookmarkStart w:id="16" w:name="_Toc31612"/>
      <w:r>
        <w:rPr>
          <w:rFonts w:eastAsia="黑体"/>
          <w:b w:val="0"/>
          <w:bCs w:val="0"/>
          <w:sz w:val="28"/>
          <w:szCs w:val="28"/>
        </w:rPr>
        <w:t>1.4.3 MySQL 与 Redis 混合存储架构</w:t>
      </w:r>
      <w:r>
        <w:rPr>
          <w:rFonts w:hint="eastAsia" w:eastAsia="黑体"/>
          <w:b w:val="0"/>
          <w:bCs w:val="0"/>
          <w:sz w:val="28"/>
          <w:szCs w:val="28"/>
          <w:lang w:val="en-US" w:eastAsia="zh-CN"/>
        </w:rPr>
      </w:r>
      <w:r>
        <w:rPr>
          <w:rFonts w:eastAsia="黑体"/>
          <w:b w:val="0"/>
          <w:bCs w:val="0"/>
          <w:sz w:val="28"/>
          <w:szCs w:val="28"/>
        </w:rPr>
      </w:r>
      <w:r>
        <w:rPr>
          <w:rFonts w:hint="eastAsia" w:eastAsia="黑体"/>
          <w:b w:val="0"/>
          <w:bCs w:val="0"/>
          <w:sz w:val="28"/>
          <w:szCs w:val="28"/>
          <w:lang w:val="en-US" w:eastAsia="zh-CN"/>
        </w:rPr>
      </w:r>
      <w:bookmarkEnd w:id="16"/>
      <w:r>
        <w:rPr>
          <w:rFonts w:hint="eastAsia" w:eastAsia="黑体"/>
          <w:b w:val="0"/>
          <w:bCs w:val="0"/>
          <w:sz w:val="28"/>
          <w:szCs w:val="28"/>
          <w:lang w:val="en-US" w:eastAsia="zh-CN"/>
        </w:rPr>
      </w:r>
    </w:p>
    <w:p w14:paraId="5BF96F48">
      <w:pPr>
        <w:spacing w:line="460" w:lineRule="exact"/>
        <w:ind w:firstLine="480" w:firstLineChars="200"/>
        <w:rPr>
          <w:rFonts w:hint="eastAsia" w:eastAsiaTheme="minorEastAsia"/>
          <w:sz w:val="24"/>
          <w:lang w:val="en-US" w:eastAsia="zh-CN"/>
        </w:rPr>
      </w:pPr>
      <w:r>
        <w:rPr>
          <w:rFonts w:hint="eastAsia" w:eastAsiaTheme="minorEastAsia"/>
          <w:sz w:val="24"/>
          <w:lang w:val="en-US" w:eastAsia="zh-CN"/>
        </w:rPr>
        <w:t>在持久化与高频交互层面，系统创造性地引入了“MySQL 关系型数据库 + Redis 高速内存缓存”的混合存储架构。MySQL 负责高可靠事务数据（如用户账户、精品课程列表、工作流步骤 JSON 编排、批量激活码元数据、消费记录流水等）的索引与强一致性管理；而 Redis 则通过 DB 10 专用于存储 5 分钟手机验证码与微信扫码 `state`（UUID）。这种双轨存储架构在保障海量关系数据安全物理隔离的前提下，通过后台拦截器与 ThreadLocal 实现高可靠的会话状态生命周期管理，提供了极其优秀的可扩展性。</w:t>
      </w:r>
    </w:p>
    <w:p w14:paraId="39AB0B22">
      <w:pPr>
        <w:pStyle w:val="3"/>
        <w:spacing w:line="460" w:lineRule="exact"/>
        <w:rPr>
          <w:rFonts w:hint="eastAsia" w:ascii="黑体" w:hAnsi="黑体" w:eastAsia="黑体" w:cs="黑体"/>
          <w:b w:val="0"/>
          <w:bCs w:val="0"/>
          <w:sz w:val="30"/>
          <w:szCs w:val="30"/>
          <w:lang w:val="en-US" w:eastAsia="zh-CN"/>
        </w:rPr>
      </w:pPr>
      <w:bookmarkStart w:id="17" w:name="_Toc14043"/>
      <w:r>
        <w:rPr>
          <w:rFonts w:hint="eastAsia" w:ascii="黑体" w:hAnsi="黑体" w:eastAsia="黑体" w:cs="黑体"/>
          <w:b w:val="0"/>
          <w:bCs w:val="0"/>
          <w:sz w:val="30"/>
          <w:szCs w:val="30"/>
        </w:rPr>
        <w:t>1.5 系统要解决的主要问题及报告结构</w:t>
      </w:r>
      <w:r>
        <w:rPr>
          <w:rFonts w:hint="eastAsia" w:ascii="黑体" w:hAnsi="黑体" w:eastAsia="黑体" w:cs="黑体"/>
          <w:b w:val="0"/>
          <w:bCs w:val="0"/>
          <w:sz w:val="30"/>
          <w:szCs w:val="30"/>
          <w:lang w:val="en-US" w:eastAsia="zh-CN"/>
        </w:rPr>
      </w:r>
      <w:r>
        <w:rPr>
          <w:rFonts w:hint="eastAsia" w:ascii="黑体" w:hAnsi="黑体" w:eastAsia="黑体" w:cs="黑体"/>
          <w:b w:val="0"/>
          <w:bCs w:val="0"/>
          <w:sz w:val="30"/>
          <w:szCs w:val="30"/>
        </w:rPr>
      </w:r>
      <w:r>
        <w:rPr>
          <w:rFonts w:hint="eastAsia" w:ascii="黑体" w:hAnsi="黑体" w:eastAsia="黑体" w:cs="黑体"/>
          <w:b w:val="0"/>
          <w:bCs w:val="0"/>
          <w:sz w:val="30"/>
          <w:szCs w:val="30"/>
          <w:lang w:val="en-US" w:eastAsia="zh-CN"/>
        </w:rPr>
      </w:r>
      <w:bookmarkEnd w:id="17"/>
    </w:p>
    <w:p w14:paraId="2A2854D4">
      <w:pPr>
        <w:spacing w:line="460" w:lineRule="exact"/>
        <w:ind w:firstLine="480" w:firstLineChars="200"/>
        <w:rPr>
          <w:rFonts w:hint="eastAsia"/>
        </w:rPr>
      </w:pPr>
      <w:r>
        <w:rPr>
          <w:rFonts w:hint="default"/>
          <w:sz w:val="24"/>
          <w:lang w:val="en-US" w:eastAsia="zh-CN"/>
        </w:rPr>
        <w:t>在 OYY学院后端平台实施过程中，技术团队面临了诸多核心挑战，包括如何在高并发请求下实现安全防刷与手机验证码的幂等限流、如何保障自定义多步工作流执行时积分并发扣减的强一致性、如何隔离多角色的账户权限并防范 Token 越权泄露，以及如何在激活码批量生成中应用高性能无碰撞的随机算法。为了攻克这些工程壁垒，报告详尽探讨了解决方案与优化路径，接下来的报告结构分为四个核心章节：第一章阐述在线教育平台的开发背景与技术栈；第二章完成系统的多维可行性论证、管理员与学员多角色用例建模与非功能性安全分析；第三章详细展示五大核心子系统功能层次图、概念模型 E-R 图及 MySQL 物理建表设计；第四章则通过对工作流多步编排与会员激活码兑换两大核心模块绘制时序图与程序流程图，详实交代核心代码算法及优化实践。</w:t>
      </w:r>
      <w:r>
        <w:rPr>
          <w:rFonts w:hint="eastAsia" w:ascii="Times New Roman" w:eastAsia="宋体"/>
          <w:sz w:val="24"/>
          <w:lang w:val="en-US" w:eastAsia="zh-CN"/>
        </w:rPr>
      </w:r>
      <w:r>
        <w:rPr>
          <w:rFonts w:hint="default"/>
          <w:sz w:val="24"/>
          <w:lang w:val="en-US" w:eastAsia="zh-CN"/>
        </w:rPr>
      </w:r>
      <w:r>
        <w:rPr>
          <w:rFonts w:hint="eastAsia"/>
          <w:sz w:val="24"/>
          <w:lang w:val="en-US" w:eastAsia="zh-CN"/>
        </w:rPr>
      </w:r>
      <w:r>
        <w:rPr>
          <w:rFonts w:hint="default"/>
          <w:sz w:val="24"/>
          <w:lang w:val="en-US" w:eastAsia="zh-CN"/>
        </w:rPr>
      </w:r>
      <w:r>
        <w:rPr>
          <w:rFonts w:hint="eastAsia"/>
          <w:sz w:val="24"/>
          <w:lang w:val="en-US" w:eastAsia="zh-CN"/>
        </w:rPr>
      </w:r>
    </w:p>
    <w:p w14:paraId="0992E5D1">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18" w:name="_Toc31359"/>
      <w:bookmarkStart w:id="19" w:name="_Toc136465748"/>
      <w:bookmarkStart w:id="20" w:name="_Toc32631"/>
      <w:r>
        <w:rPr>
          <w:rFonts w:hint="default" w:eastAsia="黑体"/>
          <w:b w:val="0"/>
          <w:bCs w:val="0"/>
          <w:sz w:val="28"/>
          <w:szCs w:val="28"/>
          <w:lang w:val="en-US" w:eastAsia="zh-CN"/>
        </w:rPr>
        <w:t>1.</w:t>
      </w:r>
      <w:r>
        <w:rPr>
          <w:rFonts w:hint="eastAsia" w:eastAsia="黑体"/>
          <w:b w:val="0"/>
          <w:bCs w:val="0"/>
          <w:sz w:val="28"/>
          <w:szCs w:val="28"/>
          <w:lang w:val="en-US" w:eastAsia="zh-CN"/>
        </w:rPr>
        <w:t>5</w:t>
      </w:r>
      <w:r>
        <w:rPr>
          <w:rFonts w:hint="default" w:eastAsia="黑体"/>
          <w:b w:val="0"/>
          <w:bCs w:val="0"/>
          <w:sz w:val="28"/>
          <w:szCs w:val="28"/>
          <w:lang w:val="en-US" w:eastAsia="zh-CN"/>
        </w:rPr>
        <w:t>.1</w:t>
      </w:r>
      <w:r>
        <w:rPr>
          <w:rFonts w:hint="eastAsia" w:eastAsia="黑体"/>
          <w:b w:val="0"/>
          <w:bCs w:val="0"/>
          <w:sz w:val="28"/>
          <w:szCs w:val="28"/>
          <w:lang w:val="en-US" w:eastAsia="zh-CN"/>
        </w:rPr>
        <w:t>系统要解决的主要问题</w:t>
      </w:r>
      <w:bookmarkEnd w:id="18"/>
      <w:bookmarkEnd w:id="19"/>
      <w:bookmarkEnd w:id="20"/>
    </w:p>
    <w:p w14:paraId="4878937E">
      <w:pPr>
        <w:spacing w:line="460" w:lineRule="exact"/>
        <w:ind w:firstLine="480" w:firstLineChars="200"/>
        <w:rPr>
          <w:rFonts w:hint="eastAsia" w:eastAsia="黑体"/>
          <w:b w:val="0"/>
          <w:bCs w:val="0"/>
          <w:sz w:val="28"/>
          <w:szCs w:val="28"/>
          <w:lang w:val="en-US" w:eastAsia="zh-CN"/>
        </w:rPr>
      </w:pPr>
      <w:r>
        <w:rPr>
          <w:rFonts w:hint="eastAsia" w:ascii="Times New Roman" w:eastAsia="宋体"/>
          <w:sz w:val="24"/>
          <w:lang w:val="en-US" w:eastAsia="zh-CN"/>
        </w:rPr>
        <w:t>本平台致力于攻克在线教育系统中数据孤岛、激活码安全防盗刷以及多步工作流异步编排计费的关键工程难题，极心地优化用户的交互体验。通过引入基于 Spring Boot 3 构建的轻量级后端，各层 Controller 与 Mapper 之间保持轻量解耦，从而彻底将主业务系统的负载与高耗能的外部 AI 模型服务调用隔离，实现了极佳的服务可用性</w:t>
      </w:r>
      <w:r>
        <w:rPr>
          <w:rFonts w:hint="eastAsia"/>
          <w:sz w:val="24"/>
          <w:lang w:val="en-US" w:eastAsia="zh-CN"/>
        </w:rPr>
      </w:r>
      <w:r>
        <w:rPr>
          <w:rFonts w:hint="eastAsia" w:ascii="Times New Roman" w:eastAsia="宋体"/>
          <w:sz w:val="24"/>
          <w:lang w:val="en-US" w:eastAsia="zh-CN"/>
        </w:rPr>
      </w:r>
      <w:r>
        <w:rPr>
          <w:rFonts w:hint="eastAsia"/>
          <w:sz w:val="24"/>
          <w:lang w:val="en-US" w:eastAsia="zh-CN"/>
        </w:rPr>
      </w:r>
      <w:r>
        <w:rPr>
          <w:rFonts w:hint="eastAsia" w:ascii="Times New Roman" w:eastAsia="宋体"/>
          <w:sz w:val="24"/>
          <w:lang w:val="en-US" w:eastAsia="zh-CN"/>
        </w:rPr>
      </w:r>
      <w:r>
        <w:rPr>
          <w:rFonts w:hint="eastAsia"/>
          <w:sz w:val="24"/>
          <w:vertAlign w:val="superscript"/>
          <w:lang w:val="en-US" w:eastAsia="zh-CN"/>
        </w:rPr>
        <w:t>[15]</w:t>
      </w:r>
      <w:r>
        <w:rPr>
          <w:rFonts w:hint="eastAsia" w:ascii="Times New Roman" w:eastAsia="宋体"/>
          <w:sz w:val="24"/>
          <w:lang w:val="en-US" w:eastAsia="zh-CN"/>
        </w:rPr>
        <w:t>。系统首创的“激活码多维兑换（会员/积分）”业务架构，允许学员一键延长会员期限或充值积分余额。配合 ThreadLocal try-finally 内存防泄露逻辑和基于 Redis 的会话过期缓存，管理员能够在不重启 main-api 服务的情况下实现系统预设 Prompt 的秒级生效，提供了极强的系统安全防护与可维护性</w:t>
      </w:r>
      <w:r>
        <w:rPr>
          <w:rFonts w:hint="eastAsia"/>
          <w:sz w:val="24"/>
          <w:vertAlign w:val="superscript"/>
          <w:lang w:val="en-US" w:eastAsia="zh-CN"/>
        </w:rPr>
        <w:t>[16]</w:t>
      </w:r>
      <w:r>
        <w:rPr>
          <w:rFonts w:hint="eastAsia" w:ascii="Times New Roman" w:eastAsia="宋体"/>
          <w:sz w:val="24"/>
          <w:lang w:val="en-US" w:eastAsia="zh-CN"/>
        </w:rPr>
        <w:t>。</w:t>
      </w:r>
    </w:p>
    <w:p w14:paraId="4C3F1C56">
      <w:pPr>
        <w:pStyle w:val="4"/>
        <w:keepNext/>
        <w:keepLines/>
        <w:pageBreakBefore w:val="0"/>
        <w:widowControl w:val="0"/>
        <w:kinsoku/>
        <w:wordWrap/>
        <w:overflowPunct/>
        <w:topLinePunct w:val="0"/>
        <w:autoSpaceDE/>
        <w:autoSpaceDN/>
        <w:bidi w:val="0"/>
        <w:adjustRightInd/>
        <w:snapToGrid/>
        <w:spacing w:before="157" w:beforeLines="50" w:after="157" w:afterLines="50" w:line="460" w:lineRule="exact"/>
        <w:textAlignment w:val="auto"/>
        <w:rPr>
          <w:rFonts w:hint="eastAsia" w:eastAsia="黑体"/>
          <w:b w:val="0"/>
          <w:bCs w:val="0"/>
          <w:sz w:val="28"/>
          <w:szCs w:val="28"/>
          <w:lang w:val="en-US" w:eastAsia="zh-CN"/>
        </w:rPr>
      </w:pPr>
      <w:bookmarkStart w:id="21" w:name="_Toc136465749"/>
      <w:bookmarkStart w:id="22" w:name="_Toc23533"/>
      <w:bookmarkStart w:id="23" w:name="_Toc8702"/>
      <w:r>
        <w:rPr>
          <w:rFonts w:hint="default" w:eastAsia="黑体"/>
          <w:b w:val="0"/>
          <w:bCs w:val="0"/>
          <w:sz w:val="28"/>
          <w:szCs w:val="28"/>
          <w:lang w:val="en-US" w:eastAsia="zh-CN"/>
        </w:rPr>
        <w:t>1.5.2 报告结构</w:t>
      </w:r>
      <w:r>
        <w:rPr>
          <w:rFonts w:hint="eastAsia" w:eastAsia="黑体"/>
          <w:b w:val="0"/>
          <w:bCs w:val="0"/>
          <w:sz w:val="28"/>
          <w:szCs w:val="28"/>
          <w:lang w:val="en-US" w:eastAsia="zh-CN"/>
        </w:rPr>
      </w:r>
      <w:r>
        <w:rPr>
          <w:rFonts w:hint="default" w:eastAsia="黑体"/>
          <w:b w:val="0"/>
          <w:bCs w:val="0"/>
          <w:sz w:val="28"/>
          <w:szCs w:val="28"/>
          <w:lang w:val="en-US" w:eastAsia="zh-CN"/>
        </w:rPr>
      </w:r>
      <w:r>
        <w:rPr>
          <w:rFonts w:hint="eastAsia" w:eastAsia="黑体"/>
          <w:b w:val="0"/>
          <w:bCs w:val="0"/>
          <w:sz w:val="28"/>
          <w:szCs w:val="28"/>
          <w:lang w:val="en-US" w:eastAsia="zh-CN"/>
        </w:rPr>
      </w:r>
      <w:bookmarkEnd w:id="21"/>
      <w:bookmarkEnd w:id="22"/>
      <w:bookmarkEnd w:id="23"/>
    </w:p>
    <w:p w14:paraId="0C747FF0">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本智能后端平台的报告结构整体分为四个阶段进行详细阐述：</w:t>
      </w:r>
      <w:r>
        <w:rPr>
          <w:rFonts w:hint="eastAsia"/>
          <w:sz w:val="24"/>
          <w:lang w:val="en-US" w:eastAsia="zh-CN"/>
        </w:rPr>
      </w:r>
      <w:r>
        <w:rPr>
          <w:rFonts w:hint="eastAsia" w:ascii="Times New Roman" w:eastAsia="宋体"/>
          <w:sz w:val="24"/>
          <w:lang w:val="en-US" w:eastAsia="zh-CN"/>
        </w:rPr>
      </w:r>
    </w:p>
    <w:p w14:paraId="015788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第1章是绪论，这一部分将介绍在线 IT 培训面临的课程订阅、工作流自定义编排等挑战，阐明报告的研究目的、研究意义和技术选型，提供平台架构的总体概览。</w:t>
      </w:r>
    </w:p>
    <w:p w14:paraId="5B07EAA9">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2章是需求分析，需求分析将详细从技术、经济和操作三个维度论证可行性，深入挖掘系统的功能性用例（包括手机号验证码登录、课程详情订阅、激活码兑换及工作流配置），绘制角色用例图并给出核心用例描述表，同时明确非功能性安全需求。</w:t>
      </w:r>
      <w:r>
        <w:rPr>
          <w:rFonts w:hint="eastAsia"/>
          <w:sz w:val="24"/>
          <w:lang w:val="en-US" w:eastAsia="zh-CN"/>
        </w:rPr>
      </w:r>
      <w:r>
        <w:rPr>
          <w:rFonts w:hint="eastAsia" w:ascii="Times New Roman" w:eastAsia="宋体"/>
          <w:sz w:val="24"/>
          <w:lang w:val="en-US" w:eastAsia="zh-CN"/>
        </w:rPr>
      </w:r>
    </w:p>
    <w:p w14:paraId="44C89EE8">
      <w:pPr>
        <w:spacing w:line="460" w:lineRule="exact"/>
        <w:ind w:firstLine="480" w:firstLineChars="200"/>
        <w:rPr>
          <w:rFonts w:hint="default" w:ascii="Times New Roman" w:eastAsia="宋体"/>
          <w:sz w:val="24"/>
          <w:lang w:val="en-US" w:eastAsia="zh-CN"/>
        </w:rPr>
      </w:pPr>
      <w:r>
        <w:rPr>
          <w:rFonts w:hint="eastAsia" w:ascii="Times New Roman" w:eastAsia="宋体"/>
          <w:sz w:val="24"/>
          <w:lang w:val="en-US" w:eastAsia="zh-CN"/>
        </w:rPr>
        <w:t>第3章是系统设计，总体设计阐述了平台的松耦合原则、五大核心功能模块结构图，重点展示数据库概念模型设计（E-R图）与基于 MySQL 关系表的物理表字段设计。</w:t>
      </w:r>
      <w:r>
        <w:rPr>
          <w:rFonts w:hint="eastAsia"/>
          <w:sz w:val="24"/>
          <w:lang w:val="en-US" w:eastAsia="zh-CN"/>
        </w:rPr>
      </w:r>
    </w:p>
    <w:p w14:paraId="0F609085">
      <w:pPr>
        <w:spacing w:line="460" w:lineRule="exact"/>
        <w:ind w:firstLine="480" w:firstLineChars="200"/>
        <w:rPr>
          <w:rFonts w:hint="eastAsia" w:ascii="Times New Roman" w:eastAsia="宋体"/>
          <w:sz w:val="24"/>
          <w:lang w:val="en-US" w:eastAsia="zh-CN"/>
        </w:rPr>
      </w:pPr>
      <w:r>
        <w:rPr>
          <w:rFonts w:hint="eastAsia" w:ascii="Times New Roman" w:eastAsia="宋体"/>
          <w:sz w:val="24"/>
          <w:lang w:val="en-US" w:eastAsia="zh-CN"/>
        </w:rPr>
        <w:t>第4章是系统详细设计与实现，具体说明如何基于 Spring Boot 3.x 核心骨架实现两大核心模块：工作流多步编排计费模块与会员激活码兑换结算模块，通过绘制详细的时序图与程序流程图展示核心 Java 算法逻辑及并发优化实践。</w:t>
      </w:r>
    </w:p>
    <w:p w14:paraId="63280D37">
      <w:pPr>
        <w:rPr>
          <w:rFonts w:hint="eastAsia" w:eastAsia="黑体"/>
          <w:b w:val="0"/>
          <w:bCs w:val="0"/>
          <w:sz w:val="28"/>
          <w:szCs w:val="28"/>
          <w:lang w:val="en-US" w:eastAsia="zh-CN"/>
        </w:rPr>
      </w:pPr>
    </w:p>
    <w:p w14:paraId="2BFD4ABF">
      <w:pPr>
        <w:spacing w:line="460" w:lineRule="exact"/>
      </w:pPr>
      <w:r>
        <w:rPr>
          <w:rFonts w:hint="eastAsia"/>
        </w:rPr>
        <w:br w:type="page"/>
      </w:r>
    </w:p>
    <w:p w14:paraId="2F293BAF">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24" w:name="_Toc28760"/>
      <w:r>
        <w:rPr>
          <w:rFonts w:hint="eastAsia" w:ascii="黑体" w:hAnsi="黑体" w:eastAsia="黑体"/>
          <w:b w:val="0"/>
          <w:bCs w:val="0"/>
          <w:sz w:val="32"/>
          <w:szCs w:val="32"/>
        </w:rPr>
        <w:t>第2章　系统需求分析</w:t>
      </w:r>
      <w:bookmarkEnd w:id="24"/>
    </w:p>
    <w:p w14:paraId="5BE36830">
      <w:pPr>
        <w:spacing w:line="460" w:lineRule="exact"/>
        <w:ind w:firstLine="480" w:firstLineChars="200"/>
      </w:pPr>
      <w:r>
        <w:rPr>
          <w:sz w:val="24"/>
        </w:rPr>
        <w:t>需求分析是构建 OYY学院后端管理平台的开发决策关键，旨在确保项目的研发与官网在线教育和工作流编排的业务习惯精准匹配。本章通过对可行性进行多维论证，对系统日常业务中涉及的手机验证码注册登录、精品课程详情订阅、自定义工作流多步编排及批量激活码生成兑换等核心业务流进行建模分析，并利用规范的 UML 用例图和用例描述表进行阐明。最后，分析了安全性及兼容性等非功能性要求，为后文的系统总体设计奠定坚实的业务需求基石。</w:t>
      </w:r>
      <w:r>
        <w:rPr>
          <w:rFonts w:hint="eastAsia"/>
          <w:sz w:val="24"/>
        </w:rPr>
      </w:r>
      <w:r>
        <w:rPr>
          <w:sz w:val="24"/>
        </w:rPr>
      </w:r>
      <w:r>
        <w:rPr>
          <w:rFonts w:hint="eastAsia" w:ascii="宋体" w:hAnsi="宋体"/>
          <w:sz w:val="24"/>
        </w:rPr>
      </w:r>
    </w:p>
    <w:p w14:paraId="3E20DB72">
      <w:pPr>
        <w:pStyle w:val="3"/>
        <w:spacing w:line="460" w:lineRule="exact"/>
        <w:rPr>
          <w:rStyle w:val="28"/>
          <w:rFonts w:eastAsia="黑体"/>
          <w:b w:val="0"/>
          <w:bCs/>
          <w:sz w:val="30"/>
          <w:szCs w:val="30"/>
        </w:rPr>
      </w:pPr>
      <w:bookmarkStart w:id="25" w:name="_Toc3998"/>
      <w:r>
        <w:rPr>
          <w:rStyle w:val="28"/>
          <w:rFonts w:hint="eastAsia" w:ascii="Times New Roman" w:hAnsi="Times New Roman" w:eastAsia="黑体"/>
          <w:b w:val="0"/>
          <w:bCs/>
          <w:sz w:val="30"/>
          <w:szCs w:val="30"/>
        </w:rPr>
        <w:t>2.1 可行性分析</w:t>
      </w:r>
      <w:r>
        <w:rPr>
          <w:rStyle w:val="28"/>
          <w:rFonts w:ascii="Times New Roman" w:hAnsi="Times New Roman" w:eastAsia="黑体"/>
          <w:b w:val="0"/>
          <w:bCs/>
          <w:sz w:val="30"/>
          <w:szCs w:val="30"/>
        </w:rPr>
      </w:r>
      <w:r>
        <w:rPr>
          <w:rStyle w:val="28"/>
          <w:rFonts w:hint="eastAsia" w:eastAsia="黑体"/>
          <w:b w:val="0"/>
          <w:bCs/>
          <w:sz w:val="30"/>
          <w:szCs w:val="30"/>
        </w:rPr>
      </w:r>
      <w:r/>
      <w:bookmarkEnd w:id="25"/>
    </w:p>
    <w:p w14:paraId="3D28402A">
      <w:pPr>
        <w:spacing w:line="460" w:lineRule="exact"/>
        <w:ind w:firstLine="480" w:firstLineChars="200"/>
        <w:rPr>
          <w:rFonts w:hint="eastAsia" w:asciiTheme="majorEastAsia" w:hAnsiTheme="majorEastAsia" w:eastAsiaTheme="majorEastAsia"/>
          <w:sz w:val="24"/>
        </w:rPr>
      </w:pPr>
      <w:r>
        <w:rPr>
          <w:rFonts w:hint="eastAsia" w:asciiTheme="majorEastAsia" w:hAnsiTheme="majorEastAsia" w:eastAsiaTheme="majorEastAsia"/>
          <w:sz w:val="24"/>
        </w:rPr>
        <w:t>在这个关键的可行性分析部分，技术团队从技术架构可行性、项目投资回报与运行维护可行性三个维度，全面审视 OYY学院后端平台的落地实力。技术可行性着重评估现有 Java 后端、MyBatis-Plus ORM 框架与 MySQL/Redis 的连接稳定性，保障架构安全可靠</w:t>
      </w:r>
      <w:r>
        <w:rPr>
          <w:rFonts w:eastAsiaTheme="majorEastAsia"/>
          <w:sz w:val="24"/>
          <w:vertAlign w:val="superscript"/>
        </w:rPr>
        <w:t>[17]</w:t>
      </w:r>
      <w:r>
        <w:rPr>
          <w:rFonts w:hint="eastAsia" w:asciiTheme="majorEastAsia" w:hAnsiTheme="majorEastAsia" w:eastAsiaTheme="majorEastAsia"/>
          <w:sz w:val="24"/>
        </w:rPr>
        <w:t>。经济可行性则分析利用自研激活码算法和分销分账分流机制相比传统地推营销带来的巨额拉新成本控制优势。操作可行性分析重点关注学员用户的学习成本以及教务人员对后台热配置提示词和批量生成激活码的接受度，为平台的顺利研发与局域网接入提供坚实的支撑。</w:t>
      </w:r>
    </w:p>
    <w:p w14:paraId="701DD125">
      <w:pPr>
        <w:pStyle w:val="4"/>
        <w:spacing w:before="156" w:beforeLines="50" w:after="156" w:afterLines="50" w:line="460" w:lineRule="exact"/>
        <w:rPr>
          <w:rFonts w:eastAsia="黑体"/>
          <w:b w:val="0"/>
          <w:bCs w:val="0"/>
          <w:sz w:val="28"/>
          <w:szCs w:val="28"/>
        </w:rPr>
      </w:pPr>
      <w:bookmarkStart w:id="26" w:name="_Toc20072"/>
      <w:bookmarkStart w:id="27" w:name="_Toc2888"/>
      <w:r>
        <w:rPr>
          <w:rFonts w:hint="eastAsia" w:eastAsia="黑体"/>
          <w:b w:val="0"/>
          <w:bCs w:val="0"/>
          <w:sz w:val="28"/>
          <w:szCs w:val="28"/>
        </w:rPr>
        <w:t>2</w:t>
      </w:r>
      <w:r>
        <w:rPr>
          <w:rFonts w:eastAsia="黑体"/>
          <w:b w:val="0"/>
          <w:bCs w:val="0"/>
          <w:sz w:val="28"/>
          <w:szCs w:val="28"/>
        </w:rPr>
        <w:t>.</w:t>
      </w:r>
      <w:r>
        <w:rPr>
          <w:rFonts w:hint="eastAsia" w:eastAsia="黑体"/>
          <w:b w:val="0"/>
          <w:bCs w:val="0"/>
          <w:sz w:val="28"/>
          <w:szCs w:val="28"/>
        </w:rPr>
        <w:t>1</w:t>
      </w:r>
      <w:r>
        <w:rPr>
          <w:rFonts w:eastAsia="黑体"/>
          <w:b w:val="0"/>
          <w:bCs w:val="0"/>
          <w:sz w:val="28"/>
          <w:szCs w:val="28"/>
        </w:rPr>
        <w:t xml:space="preserve">.1 </w:t>
      </w:r>
      <w:r>
        <w:rPr>
          <w:rFonts w:hint="eastAsia" w:eastAsia="黑体"/>
          <w:b w:val="0"/>
          <w:bCs w:val="0"/>
          <w:sz w:val="28"/>
          <w:szCs w:val="28"/>
        </w:rPr>
        <w:t>技术可行性分析</w:t>
      </w:r>
      <w:bookmarkEnd w:id="26"/>
      <w:bookmarkEnd w:id="27"/>
    </w:p>
    <w:p w14:paraId="10E3FA17">
      <w:pPr>
        <w:spacing w:line="460" w:lineRule="exact"/>
        <w:ind w:firstLine="480" w:firstLineChars="200"/>
        <w:rPr>
          <w:rFonts w:hint="eastAsia" w:asciiTheme="majorEastAsia" w:hAnsiTheme="majorEastAsia" w:eastAsiaTheme="majorEastAsia"/>
          <w:sz w:val="24"/>
        </w:rPr>
      </w:pPr>
      <w:r>
        <w:rPr>
          <w:sz w:val="24"/>
        </w:rPr>
        <w:t>综合评估开发工具、物理服务器与技术团队能力的现状，系统选择的操作系统（兼容 Windows/Linux/macOS 容器化部署）、数据库管理（MySQL 8 与轻量级 Redis 6）、以及 Java 17/Spring Boot 3.x 与前端 React 框架均为当前软件工程领域高度成熟且广泛应用的标准技术栈。前端 Markdown 渲染、Zustand 会话状态管理与后端的 JWT 拦截器机制具备完美的兼容性与协同效应，有利于保障系统的超低延迟与服务的高可用性。此外，开发团队拥有丰富的高并发微服务治理和事务处理经验，且有自研多模块 Maven 构建的良好实践，充分证明有能力应对项目研发挑战。系统本身采用低耦合设计，提供完整的容器化一键部署方案，从技术层面上看，本在线教育平台的实施是完全可行的</w:t>
      </w:r>
      <w:r>
        <w:rPr>
          <w:rFonts w:hint="eastAsia"/>
          <w:sz w:val="24"/>
          <w:vertAlign w:val="superscript"/>
        </w:rPr>
        <w:t>[18]</w:t>
      </w:r>
      <w:r>
        <w:rPr>
          <w:sz w:val="24"/>
        </w:rPr>
        <w:t xml:space="preserve"> 。</w:t>
      </w:r>
    </w:p>
    <w:p w14:paraId="00A1680C">
      <w:pPr>
        <w:pStyle w:val="4"/>
        <w:spacing w:before="156" w:beforeLines="50" w:after="156" w:afterLines="50" w:line="460" w:lineRule="exact"/>
        <w:rPr>
          <w:rFonts w:eastAsia="黑体"/>
          <w:b w:val="0"/>
          <w:bCs w:val="0"/>
          <w:sz w:val="28"/>
          <w:szCs w:val="28"/>
        </w:rPr>
      </w:pPr>
      <w:bookmarkStart w:id="28" w:name="_Toc13782"/>
      <w:bookmarkStart w:id="29" w:name="_Toc26023"/>
      <w:r>
        <w:rPr>
          <w:rFonts w:hint="eastAsia" w:eastAsia="黑体"/>
          <w:b w:val="0"/>
          <w:bCs w:val="0"/>
          <w:sz w:val="28"/>
          <w:szCs w:val="28"/>
        </w:rPr>
        <w:t>2.1.2 经济可行性分析</w:t>
      </w:r>
      <w:bookmarkEnd w:id="28"/>
      <w:bookmarkEnd w:id="29"/>
    </w:p>
    <w:p w14:paraId="71B42E89">
      <w:pPr>
        <w:spacing w:line="460" w:lineRule="exact"/>
        <w:ind w:firstLine="480" w:firstLineChars="200"/>
        <w:rPr>
          <w:sz w:val="24"/>
        </w:rPr>
      </w:pPr>
      <w:r>
        <w:rPr>
          <w:rFonts w:eastAsiaTheme="minorEastAsia"/>
          <w:sz w:val="24"/>
        </w:rPr>
        <w:t>尽管平台在前期研发及物理服务器的购置上需要一定的软硬件投入，但系统在上线后，凭借其高效的自动化激活码兑换充值以及分销分账流水记录对传统昂贵推广开销的替代，以及自定义工作流多步编排对人工重复性配课与AI计算资源管理开销的节省，预计在系统运行半年内即可收回初期研发与部署成本，实现极高的经济效益。此外，MySQL 关系型数据库与 Redis 高频缓存等基础组件均为开源免费版，零授权许可开销。系统在提升课程分发效率、减少人工验证码发放以及保障虚拟积分账户主权方面具有显性的资产保护作用，从经济角度来看，投资风险极低，投资回报率极其合理。</w:t>
      </w:r>
    </w:p>
    <w:p w14:paraId="042B69C9">
      <w:pPr>
        <w:pStyle w:val="4"/>
        <w:spacing w:before="156" w:beforeLines="50" w:after="156" w:afterLines="50" w:line="460" w:lineRule="exact"/>
        <w:rPr>
          <w:rFonts w:eastAsia="黑体"/>
          <w:b w:val="0"/>
          <w:bCs w:val="0"/>
          <w:sz w:val="28"/>
          <w:szCs w:val="28"/>
        </w:rPr>
      </w:pPr>
      <w:bookmarkStart w:id="30" w:name="_Toc26819"/>
      <w:r>
        <w:rPr>
          <w:rFonts w:hint="eastAsia" w:eastAsia="黑体"/>
          <w:b w:val="0"/>
          <w:bCs w:val="0"/>
          <w:sz w:val="28"/>
          <w:szCs w:val="28"/>
        </w:rPr>
        <w:t>2.1.3 操作可行性分析</w:t>
      </w:r>
      <w:bookmarkEnd w:id="30"/>
    </w:p>
    <w:p w14:paraId="6E59C019">
      <w:pPr>
        <w:spacing w:line="460" w:lineRule="exact"/>
        <w:ind w:firstLine="480" w:firstLineChars="200"/>
        <w:rPr>
          <w:sz w:val="24"/>
        </w:rPr>
      </w:pPr>
      <w:r>
        <w:rPr>
          <w:rFonts w:hint="eastAsia" w:eastAsiaTheme="minorEastAsia"/>
          <w:sz w:val="24"/>
        </w:rPr>
        <w:t>系统在人机交互层面采用了极致直观的响应式布局，左侧提供官网精品课程展示，右侧提供对话/工作流主视区，支持移动端 and PC 端的自适应无缝浏览，极大地降低了学员的学习使用门槛。学员无需任何专业微服务知识即可流畅进行课程订阅与激活码兑换。管理后台提供的批量激活码随机生成、轮播图权重管理、以及预设 Prompt 模板热切换机制，允许非技术教务人员通过简单的表单录入并一键写入 Redis，实时调整系统配置，整个运维过程零黑屏命令行操作。因此，结合学员用户的快速上手度和极低的管理维护难度，该系统具备卓越的操作可行性。</w:t>
      </w:r>
    </w:p>
    <w:p w14:paraId="1F3623C9">
      <w:pPr>
        <w:pStyle w:val="3"/>
        <w:spacing w:line="460" w:lineRule="exact"/>
        <w:rPr>
          <w:rStyle w:val="28"/>
          <w:rFonts w:ascii="Times New Roman" w:hAnsi="Times New Roman" w:eastAsia="黑体"/>
          <w:b w:val="0"/>
          <w:bCs/>
          <w:sz w:val="30"/>
          <w:szCs w:val="30"/>
        </w:rPr>
      </w:pPr>
      <w:bookmarkStart w:id="31" w:name="_Toc31191"/>
      <w:r>
        <w:rPr>
          <w:rStyle w:val="28"/>
          <w:rFonts w:hint="eastAsia" w:ascii="Times New Roman" w:hAnsi="Times New Roman" w:eastAsia="黑体"/>
          <w:b w:val="0"/>
          <w:bCs/>
          <w:sz w:val="30"/>
          <w:szCs w:val="30"/>
        </w:rPr>
        <w:t>2.2 系统功能需求分析</w:t>
      </w:r>
      <w:r>
        <w:rPr>
          <w:rStyle w:val="28"/>
          <w:rFonts w:hint="eastAsia" w:ascii="Times New Roman" w:hAnsi="Times New Roman" w:eastAsia="黑体"/>
          <w:b w:val="0"/>
          <w:bCs/>
          <w:sz w:val="30"/>
          <w:szCs w:val="30"/>
        </w:rPr>
      </w:r>
      <w:r>
        <w:rPr>
          <w:rStyle w:val="19"/>
          <w:rFonts w:ascii="Times New Roman" w:hAnsi="Times New Roman" w:eastAsia="宋体" w:cs="Times New Roman"/>
          <w:b w:val="0"/>
          <w:bCs w:val="0"/>
        </w:rPr>
      </w:r>
      <w:bookmarkEnd w:id="31"/>
    </w:p>
    <w:p w14:paraId="6A806110">
      <w:pPr>
        <w:spacing w:line="460" w:lineRule="exact"/>
        <w:ind w:firstLine="480" w:firstLineChars="200"/>
        <w:rPr>
          <w:rFonts w:hint="eastAsia" w:asciiTheme="minorEastAsia" w:hAnsiTheme="minorEastAsia" w:eastAsiaTheme="minorEastAsia"/>
          <w:sz w:val="24"/>
        </w:rPr>
      </w:pPr>
      <w:r>
        <w:rPr>
          <w:rFonts w:hint="eastAsia" w:asciiTheme="minorEastAsia" w:hAnsiTheme="minorEastAsia" w:eastAsiaTheme="minorEastAsia"/>
          <w:sz w:val="24"/>
        </w:rPr>
        <w:t>进入需求分析的深水区，利用 UML 对系统交互角色和核心功能场景进行精准建模至关重要。这为后续的数据库架构以及核心代码模块的编写提供了极具指导意义的顶层蓝图。本平台主要涉及两类用户角色：学员角色（前台终端主角，进行验证码登录、精品课程详情订阅、激活码兑换、以及多步工作流 JSON 自定义编排）以及管理员/运营/讲师角色（后台系统维护者，负责批量生成/注销激活码、上传和更新课程内容、配置 AI 插件单价、以及发布首页广告轮播图）。下面将详细描述系统的用例交互架构，并绘制相应的角色用例图。</w:t>
      </w:r>
      <w:r>
        <w:rPr>
          <w:rFonts w:hint="eastAsia"/>
          <w:sz w:val="24"/>
        </w:rPr>
      </w:r>
    </w:p>
    <w:p w14:paraId="5A189899">
      <w:pPr>
        <w:spacing w:line="460" w:lineRule="exact"/>
        <w:ind w:firstLine="480" w:firstLineChars="200"/>
        <w:rPr>
          <w:sz w:val="24"/>
        </w:rPr>
      </w:pPr>
      <w:r>
        <w:rPr>
          <w:rFonts w:hint="eastAsia"/>
          <w:sz w:val="24"/>
        </w:rPr>
        <w:t>系统管理员与讲师/运营用户是平台的后台运维与内容维护者，管理员负责激活码管理、安全审计和系统配置热更新等功能，能够在线生成随机的 8 位大小写字母/数字激活码，并查看学员积分消费与激活兑换的物理审计日志。讲师与运营则负责上传与上架所属专业的核心精品课程视频、课件说明，在后台注册 AI 插件并配置每次调用的单价积分，同时维护首页轮播广告的图示 URL、跳转路由和排序权重。后台管理与运营用例图如图 2-1 所示。</w:t>
      </w:r>
    </w:p>
    <w:p w14:paraId="422B7D6D">
      <w:pPr>
        <w:spacing w:line="460" w:lineRule="exact"/>
        <w:ind w:firstLine="480" w:firstLineChars="200"/>
        <w:rPr>
          <w:sz w:val="24"/>
        </w:rPr>
      </w:pPr>
      <w:r>
        <w:rPr>
          <w:rFonts w:hint="eastAsia"/>
          <w:sz w:val="24"/>
        </w:rPr>
        <w:t>系统管理员与教师/运营角色用例图如图 2-1 所示。</w:t>
      </w:r>
    </w:p>
    <w:p w14:paraId="5782D075">
      <w:pPr>
        <w:spacing w:line="460" w:lineRule="exact"/>
        <w:ind w:firstLine="420" w:firstLineChars="200"/>
        <w:rPr>
          <w:sz w:val="24"/>
        </w:rPr>
      </w:pPr>
      <w:r>
        <w:drawing>
          <wp:anchor distT="0" distB="0" distL="114300" distR="114300" simplePos="0" relativeHeight="251659264" behindDoc="0" locked="0" layoutInCell="1" allowOverlap="1">
            <wp:simplePos x="0" y="0"/>
            <wp:positionH relativeFrom="page">
              <wp:posOffset>2321560</wp:posOffset>
            </wp:positionH>
            <wp:positionV relativeFrom="paragraph">
              <wp:posOffset>135255</wp:posOffset>
            </wp:positionV>
            <wp:extent cx="3236595" cy="2170430"/>
            <wp:effectExtent l="0" t="0" r="1905" b="1270"/>
            <wp:wrapNone/>
            <wp:docPr id="10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63"/>
                    <pic:cNvPicPr>
                      <a:picLocks noChangeAspect="1"/>
                    </pic:cNvPicPr>
                  </pic:nvPicPr>
                  <pic:blipFill>
                    <a:blip r:embed="rId12" cstate="print">
                      <a:extLst>
                        <a:ext uri="{28A0092B-C50C-407E-A947-70E740481C1C}">
                          <a14:useLocalDpi xmlns:a14="http://schemas.microsoft.com/office/drawing/2010/main" val="0"/>
                        </a:ext>
                      </a:extLst>
                    </a:blip>
                    <a:srcRect b="7644"/>
                    <a:stretch>
                      <a:fillRect/>
                    </a:stretch>
                  </pic:blipFill>
                  <pic:spPr>
                    <a:xfrm>
                      <a:off x="0" y="0"/>
                      <a:ext cx="3241280" cy="2173848"/>
                    </a:xfrm>
                    <a:prstGeom prst="rect">
                      <a:avLst/>
                    </a:prstGeom>
                    <a:noFill/>
                    <a:ln>
                      <a:noFill/>
                    </a:ln>
                  </pic:spPr>
                </pic:pic>
              </a:graphicData>
            </a:graphic>
          </wp:anchor>
        </w:drawing>
      </w:r>
    </w:p>
    <w:p w14:paraId="7378CEAB">
      <w:pPr>
        <w:spacing w:line="20" w:lineRule="exact" w:before="0" w:after="0"/>
        <w:ind w:firstLine="480" w:firstLineChars="200"/>
        <w:rPr>
          <w:sz w:val="24"/>
        </w:rPr>
      </w:pPr>
    </w:p>
    <w:p w14:paraId="3F63E4D0">
      <w:pPr>
        <w:spacing w:line="20" w:lineRule="exact" w:before="0" w:after="0"/>
        <w:ind w:firstLine="420" w:firstLineChars="200"/>
      </w:pPr>
    </w:p>
    <w:p w14:paraId="00AE1FBA">
      <w:pPr>
        <w:spacing w:line="20" w:lineRule="exact" w:before="0" w:after="0"/>
        <w:ind w:firstLine="420" w:firstLineChars="200"/>
      </w:pPr>
    </w:p>
    <w:p w14:paraId="05D1AD7F">
      <w:pPr>
        <w:spacing w:line="20" w:lineRule="exact" w:before="0" w:after="0"/>
        <w:ind w:firstLine="420" w:firstLineChars="200"/>
      </w:pPr>
    </w:p>
    <w:p w14:paraId="1AF291CA">
      <w:pPr>
        <w:spacing w:line="20" w:lineRule="exact" w:before="0" w:after="0"/>
        <w:ind w:firstLine="420" w:firstLineChars="200"/>
      </w:pPr>
    </w:p>
    <w:p w14:paraId="49F7B99E">
      <w:pPr>
        <w:spacing w:line="20" w:lineRule="exact" w:before="0" w:after="0"/>
        <w:ind w:firstLine="420" w:firstLineChars="200"/>
      </w:pPr>
    </w:p>
    <w:p w14:paraId="4C918803">
      <w:pPr>
        <w:spacing w:line="20" w:lineRule="exact" w:before="0" w:after="0"/>
        <w:rPr>
          <w:rFonts w:hint="eastAsia" w:asciiTheme="minorEastAsia" w:hAnsiTheme="minorEastAsia" w:eastAsiaTheme="minorEastAsia"/>
          <w:sz w:val="24"/>
        </w:rPr>
      </w:pPr>
    </w:p>
    <w:p w14:paraId="25A9BFEF">
      <w:pPr>
        <w:jc w:val="center"/>
        <w:rPr>
          <w:szCs w:val="21"/>
        </w:rPr>
      </w:pPr>
      <w:r>
        <w:rPr>
          <w:rFonts w:hint="eastAsia"/>
          <w:szCs w:val="21"/>
        </w:rPr>
        <w:t>图 2-1 后台管理员与讲师/运营用例图</w:t>
      </w:r>
    </w:p>
    <w:p w14:paraId="4328780C">
      <w:pPr>
        <w:spacing w:line="460" w:lineRule="exact"/>
        <w:ind w:firstLine="480" w:firstLineChars="200"/>
        <w:rPr>
          <w:sz w:val="24"/>
        </w:rPr>
      </w:pPr>
      <w:r>
        <w:rPr>
          <w:rFonts w:hint="eastAsia"/>
          <w:sz w:val="24"/>
        </w:rPr>
        <w:t>学院学员是前台系统的终端消费者，也是获取课程培训与 AI 工作流编排服务的核心利益相关者。他们通过手机验证码进行极速登录，随后进入精品课程面板订阅并挑选所学课程（如 Java 高并发编程、MyBatis 源码分析等）。同时，学员可以使用购买或激活码兑换而来的虚拟积分，调用平台注册的 AI 插件（如图片生成、视频生成等），并可以通过 JSON 串行编排多个插件组成个性化工作流，一键顺序执行并查看实时积分消费流水。前台学员用户用例图如图 2-2 所示。</w:t>
      </w:r>
    </w:p>
    <w:p w14:paraId="5C01911A">
      <w:pPr>
        <w:spacing w:line="460" w:lineRule="exact"/>
        <w:ind w:firstLine="480" w:firstLineChars="200"/>
        <w:rPr>
          <w:sz w:val="24"/>
        </w:rPr>
      </w:pPr>
      <w:r>
        <w:rPr>
          <w:rFonts w:hint="eastAsia"/>
          <w:sz w:val="24"/>
        </w:rPr>
        <w:t>学员用例图如图2-2所示。</w:t>
      </w:r>
    </w:p>
    <w:p w14:paraId="41E8CC27">
      <w:pPr>
        <w:spacing w:line="460" w:lineRule="exact"/>
      </w:pPr>
      <w:r>
        <w:drawing>
          <wp:anchor distT="0" distB="0" distL="114300" distR="114300" simplePos="0" relativeHeight="251660288" behindDoc="0" locked="0" layoutInCell="1" allowOverlap="1">
            <wp:simplePos x="0" y="0"/>
            <wp:positionH relativeFrom="column">
              <wp:posOffset>1383030</wp:posOffset>
            </wp:positionH>
            <wp:positionV relativeFrom="paragraph">
              <wp:posOffset>102870</wp:posOffset>
            </wp:positionV>
            <wp:extent cx="3301365" cy="2951480"/>
            <wp:effectExtent l="0" t="0" r="0" b="1270"/>
            <wp:wrapNone/>
            <wp:docPr id="104"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64"/>
                    <pic:cNvPicPr>
                      <a:picLocks noChangeAspect="1"/>
                    </pic:cNvPicPr>
                  </pic:nvPicPr>
                  <pic:blipFill>
                    <a:blip r:embed="rId13">
                      <a:extLst>
                        <a:ext uri="{28A0092B-C50C-407E-A947-70E740481C1C}">
                          <a14:useLocalDpi xmlns:a14="http://schemas.microsoft.com/office/drawing/2010/main" val="0"/>
                        </a:ext>
                      </a:extLst>
                    </a:blip>
                    <a:srcRect b="6164"/>
                    <a:stretch>
                      <a:fillRect/>
                    </a:stretch>
                  </pic:blipFill>
                  <pic:spPr>
                    <a:xfrm>
                      <a:off x="0" y="0"/>
                      <a:ext cx="3301365" cy="2951480"/>
                    </a:xfrm>
                    <a:prstGeom prst="rect">
                      <a:avLst/>
                    </a:prstGeom>
                    <a:noFill/>
                    <a:ln>
                      <a:noFill/>
                    </a:ln>
                  </pic:spPr>
                </pic:pic>
              </a:graphicData>
            </a:graphic>
          </wp:anchor>
        </w:drawing>
      </w:r>
    </w:p>
    <w:p w14:paraId="1B229529">
      <w:pPr>
        <w:spacing w:line="20" w:lineRule="exact" w:before="0" w:after="0"/>
      </w:pPr>
    </w:p>
    <w:p w14:paraId="23A68134">
      <w:pPr>
        <w:spacing w:line="20" w:lineRule="exact" w:before="0" w:after="0"/>
      </w:pPr>
    </w:p>
    <w:p w14:paraId="166870A4">
      <w:pPr>
        <w:spacing w:line="20" w:lineRule="exact" w:before="0" w:after="0"/>
      </w:pPr>
    </w:p>
    <w:p w14:paraId="6012EC2A">
      <w:pPr>
        <w:spacing w:line="20" w:lineRule="exact" w:before="0" w:after="0"/>
      </w:pPr>
    </w:p>
    <w:p w14:paraId="1293B5AE">
      <w:pPr>
        <w:spacing w:line="20" w:lineRule="exact" w:before="0" w:after="0"/>
      </w:pPr>
    </w:p>
    <w:p w14:paraId="53E9981D">
      <w:pPr>
        <w:spacing w:line="20" w:lineRule="exact" w:before="0" w:after="0"/>
      </w:pPr>
    </w:p>
    <w:p w14:paraId="6BDD5A66">
      <w:pPr>
        <w:spacing w:line="20" w:lineRule="exact" w:before="0" w:after="0"/>
      </w:pPr>
    </w:p>
    <w:p w14:paraId="1A0D3BFA">
      <w:pPr>
        <w:spacing w:line="20" w:lineRule="exact" w:before="0" w:after="0"/>
      </w:pPr>
    </w:p>
    <w:p w14:paraId="75435019">
      <w:pPr>
        <w:spacing w:line="20" w:lineRule="exact" w:before="0" w:after="0"/>
      </w:pPr>
    </w:p>
    <w:p w14:paraId="4B01681F">
      <w:pPr>
        <w:spacing w:line="20" w:lineRule="exact" w:before="0" w:after="0"/>
      </w:pPr>
    </w:p>
    <w:p w14:paraId="09EA3F6F">
      <w:pPr>
        <w:spacing w:line="460" w:lineRule="exact"/>
      </w:pPr>
      <w:r>
        <w:rPr>
          <w:rFonts w:hint="eastAsia"/>
        </w:rPr>
        <w:t>图 2-2 前台学员用户用例图</w:t>
      </w:r>
      <w:r>
        <w:rPr>
          <w:rFonts w:hint="eastAsia"/>
          <w:szCs w:val="21"/>
        </w:rPr>
      </w:r>
    </w:p>
    <w:p w14:paraId="2DB6912A">
      <w:pPr>
        <w:pStyle w:val="3"/>
        <w:spacing w:line="460" w:lineRule="exact"/>
        <w:rPr>
          <w:rStyle w:val="28"/>
          <w:rFonts w:hint="eastAsia" w:ascii="Times New Roman" w:hAnsi="Times New Roman" w:eastAsia="黑体"/>
          <w:b w:val="0"/>
          <w:bCs/>
          <w:sz w:val="30"/>
          <w:szCs w:val="30"/>
        </w:rPr>
      </w:pPr>
      <w:bookmarkStart w:id="32" w:name="_Toc22679"/>
      <w:r>
        <w:rPr>
          <w:rStyle w:val="28"/>
          <w:rFonts w:hint="eastAsia" w:ascii="Times New Roman" w:hAnsi="Times New Roman" w:eastAsia="黑体"/>
          <w:b w:val="0"/>
          <w:bCs/>
          <w:sz w:val="30"/>
          <w:szCs w:val="30"/>
        </w:rPr>
        <w:t>2.3 系统用例描述</w:t>
      </w:r>
      <w:r>
        <w:rPr>
          <w:rStyle w:val="28"/>
          <w:rFonts w:hint="eastAsia" w:ascii="Times New Roman" w:hAnsi="Times New Roman" w:eastAsia="黑体"/>
          <w:b w:val="0"/>
          <w:bCs/>
          <w:sz w:val="30"/>
          <w:szCs w:val="30"/>
        </w:rPr>
      </w:r>
      <w:bookmarkEnd w:id="32"/>
    </w:p>
    <w:p w14:paraId="23AE88DA">
      <w:pPr>
        <w:pStyle w:val="4"/>
        <w:spacing w:before="156" w:beforeLines="50" w:after="156" w:afterLines="50" w:line="460" w:lineRule="exact"/>
        <w:rPr>
          <w:rStyle w:val="28"/>
          <w:rFonts w:ascii="Times New Roman" w:hAnsi="Times New Roman" w:eastAsia="黑体"/>
          <w:b w:val="0"/>
          <w:bCs w:val="0"/>
          <w:sz w:val="28"/>
          <w:szCs w:val="28"/>
        </w:rPr>
      </w:pPr>
      <w:bookmarkStart w:id="33" w:name="_Toc8914"/>
      <w:bookmarkStart w:id="34" w:name="_Toc136377074"/>
      <w:r>
        <w:rPr>
          <w:rStyle w:val="28"/>
          <w:rFonts w:hint="eastAsia" w:ascii="Times New Roman" w:hAnsi="Times New Roman" w:eastAsia="黑体"/>
          <w:b w:val="0"/>
          <w:bCs w:val="0"/>
          <w:sz w:val="28"/>
          <w:szCs w:val="28"/>
        </w:rPr>
        <w:t>2.3.1 智能AI插件工作流服务编排与计费用例</w:t>
      </w:r>
      <w:r>
        <w:rPr>
          <w:rStyle w:val="28"/>
          <w:rFonts w:ascii="Times New Roman" w:hAnsi="Times New Roman" w:eastAsia="黑体"/>
          <w:b w:val="0"/>
          <w:bCs w:val="0"/>
          <w:sz w:val="28"/>
          <w:szCs w:val="28"/>
        </w:rPr>
      </w:r>
      <w:r>
        <w:rPr>
          <w:rStyle w:val="28"/>
          <w:rFonts w:hint="eastAsia" w:ascii="Times New Roman" w:hAnsi="Times New Roman" w:eastAsia="黑体"/>
          <w:b w:val="0"/>
          <w:bCs w:val="0"/>
          <w:sz w:val="28"/>
          <w:szCs w:val="28"/>
        </w:rPr>
      </w:r>
      <w:bookmarkEnd w:id="33"/>
      <w:bookmarkEnd w:id="34"/>
    </w:p>
    <w:p w14:paraId="3E0AF22E">
      <w:pPr>
        <w:spacing w:line="460" w:lineRule="exact"/>
        <w:ind w:firstLine="480" w:firstLineChars="200"/>
        <w:rPr>
          <w:sz w:val="24"/>
        </w:rPr>
      </w:pPr>
      <w:r>
        <w:rPr>
          <w:rFonts w:hint="eastAsia"/>
          <w:sz w:val="24"/>
        </w:rPr>
        <w:t>智能 AI 插件工作流服务编排与计费描述了学员如何自定义串行拼接多个 AI 插件并扣减积分执行，用例描述如表 2-1 所示。</w:t>
      </w:r>
      <w:r>
        <w:rPr>
          <w:sz w:val="24"/>
        </w:rPr>
      </w:r>
    </w:p>
    <w:p w14:paraId="1108B7FD">
      <w:pPr>
        <w:spacing w:line="460" w:lineRule="exact"/>
        <w:ind w:firstLine="3150" w:firstLineChars="1500"/>
        <w:jc w:val="left"/>
        <w:rPr>
          <w:sz w:val="24"/>
        </w:rPr>
      </w:pPr>
      <w:r>
        <w:rPr>
          <w:szCs w:val="21"/>
        </w:rPr>
        <w:t>表 2-1 智能AI插件工作流服务编排与计费用例描述表</w:t>
      </w:r>
      <w:r>
        <w:rPr>
          <w:rFonts w:hint="eastAsia"/>
          <w:szCs w:val="21"/>
        </w:rPr>
      </w:r>
      <w:r>
        <w:rPr>
          <w:szCs w:val="21"/>
        </w:rPr>
      </w:r>
      <w:r>
        <w:rPr>
          <w:rFonts w:hint="eastAsia"/>
          <w:szCs w:val="21"/>
        </w:rPr>
      </w:r>
      <w:r>
        <w:rPr>
          <w:szCs w:val="21"/>
        </w:rPr>
      </w:r>
      <w:r>
        <w:rPr>
          <w:szCs w:val="21"/>
        </w:rPr>
      </w:r>
      <w:r>
        <w:rPr>
          <w:rStyle w:val="19"/>
        </w:rPr>
      </w:r>
      <w:r>
        <w:rPr>
          <w:szCs w:val="21"/>
        </w:rPr>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26C26E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54" w:type="dxa"/>
            <w:tcBorders>
              <w:top w:val="single" w:color="auto" w:sz="12" w:space="0"/>
              <w:bottom w:val="single" w:color="auto" w:sz="4" w:space="0"/>
            </w:tcBorders>
          </w:tcPr>
          <w:p w14:paraId="3A88C2E5">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A9A8EE">
            <w:pPr>
              <w:jc w:val="center"/>
              <w:rPr>
                <w:rFonts w:cs="宋体"/>
                <w:szCs w:val="21"/>
              </w:rPr>
            </w:pPr>
            <w:r>
              <w:rPr>
                <w:rFonts w:hint="eastAsia" w:cs="宋体"/>
                <w:szCs w:val="21"/>
              </w:rPr>
              <w:t>描述</w:t>
            </w:r>
          </w:p>
        </w:tc>
      </w:tr>
      <w:tr w14:paraId="44E6016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7" w:hRule="atLeast"/>
          <w:jc w:val="center"/>
        </w:trPr>
        <w:tc>
          <w:tcPr>
            <w:tcW w:w="1754" w:type="dxa"/>
            <w:tcBorders>
              <w:top w:val="single" w:color="auto" w:sz="4" w:space="0"/>
            </w:tcBorders>
          </w:tcPr>
          <w:p>
            <w:pPr>
              <w:spacing w:before="40" w:after="40" w:line="276" w:lineRule="auto"/>
            </w:pPr>
            <w:r/>
            <w:r>
              <w:rPr>
                <w:rFonts w:ascii="Times New Roman" w:hAnsi="Times New Roman" w:eastAsia="宋体"/>
                <w:sz w:val="19"/>
              </w:rPr>
              <w:t>用例名称</w:t>
            </w:r>
          </w:p>
        </w:tc>
        <w:tc>
          <w:tcPr>
            <w:tcW w:w="6305" w:type="dxa"/>
            <w:tcBorders>
              <w:top w:val="single" w:color="auto" w:sz="4" w:space="0"/>
            </w:tcBorders>
          </w:tcPr>
          <w:p>
            <w:pPr>
              <w:spacing w:before="40" w:after="40" w:line="276" w:lineRule="auto"/>
            </w:pPr>
            <w:r/>
            <w:r>
              <w:rPr>
                <w:rFonts w:ascii="Times New Roman" w:hAnsi="Times New Roman" w:eastAsia="宋体"/>
                <w:sz w:val="19"/>
              </w:rPr>
              <w:t>智能AI插件工作流服务编排与计费</w:t>
            </w:r>
          </w:p>
        </w:tc>
      </w:tr>
      <w:tr w14:paraId="53F74F1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主要参与者</w:t>
            </w:r>
          </w:p>
        </w:tc>
        <w:tc>
          <w:tcPr>
            <w:tcW w:w="6305" w:type="dxa"/>
          </w:tcPr>
          <w:p>
            <w:pPr>
              <w:spacing w:before="40" w:after="40" w:line="276" w:lineRule="auto"/>
            </w:pPr>
            <w:r/>
            <w:r>
              <w:rPr>
                <w:rFonts w:ascii="Times New Roman" w:hAnsi="Times New Roman" w:eastAsia="宋体"/>
                <w:sz w:val="19"/>
              </w:rPr>
              <w:t>学员用户</w:t>
            </w:r>
          </w:p>
        </w:tc>
      </w:tr>
      <w:tr w14:paraId="780CA76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其他参与者</w:t>
            </w:r>
          </w:p>
        </w:tc>
        <w:tc>
          <w:tcPr>
            <w:tcW w:w="6305" w:type="dxa"/>
          </w:tcPr>
          <w:p>
            <w:pPr>
              <w:spacing w:before="40" w:after="40" w:line="276" w:lineRule="auto"/>
            </w:pPr>
            <w:r/>
            <w:r>
              <w:rPr>
                <w:rFonts w:ascii="Times New Roman" w:hAnsi="Times New Roman" w:eastAsia="宋体"/>
                <w:sz w:val="19"/>
              </w:rPr>
              <w:t>MyBatis-Plus ORM 插件、MySQL 关系数据库、Redis 高频缓存</w:t>
            </w:r>
          </w:p>
        </w:tc>
      </w:tr>
      <w:tr w14:paraId="0799A60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描述</w:t>
            </w:r>
          </w:p>
        </w:tc>
        <w:tc>
          <w:tcPr>
            <w:tcW w:w="6305" w:type="dxa"/>
          </w:tcPr>
          <w:p>
            <w:pPr>
              <w:spacing w:before="40" w:after="40" w:line="276" w:lineRule="auto"/>
            </w:pPr>
            <w:r/>
            <w:r>
              <w:rPr>
                <w:rFonts w:ascii="Times New Roman" w:hAnsi="Times New Roman" w:eastAsia="宋体"/>
                <w:sz w:val="19"/>
              </w:rPr>
              <w:t>学员通过前台界面选择多步 AI 插件并配置其顺序，提交工作流 JSON 字符串。系统由 JWT 无状态拦截器校验并获取学员 ID，随后进入结算引擎校验用户积分余额。若积分充足，通过悲观锁（SELECT FOR UPDATE）锁定余额记录，并自动扣减 Redis 缓存中的账户余额；随后，写入 consumption_info 消费记录并按积分计费调用外部 AI 插件服务，顺序执行多步 AI 工具链，返回 Result 统一封装结果。</w:t>
            </w:r>
          </w:p>
        </w:tc>
      </w:tr>
      <w:tr w14:paraId="730E96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前置条件</w:t>
            </w:r>
          </w:p>
        </w:tc>
        <w:tc>
          <w:tcPr>
            <w:tcW w:w="6305" w:type="dxa"/>
          </w:tcPr>
          <w:p>
            <w:pPr>
              <w:spacing w:before="40" w:after="40" w:line="276" w:lineRule="auto"/>
            </w:pPr>
            <w:r/>
            <w:r>
              <w:rPr>
                <w:rFonts w:ascii="Times New Roman" w:hAnsi="Times New Roman" w:eastAsia="宋体"/>
                <w:sz w:val="19"/>
              </w:rPr>
              <w:t>学员用户已成功通过手机验证码/微信登录，且当前 JWT Token 处于有效期内</w:t>
            </w:r>
          </w:p>
        </w:tc>
      </w:tr>
      <w:tr w14:paraId="6C0BFD9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后置条件</w:t>
            </w:r>
          </w:p>
        </w:tc>
        <w:tc>
          <w:tcPr>
            <w:tcW w:w="6305" w:type="dxa"/>
          </w:tcPr>
          <w:p>
            <w:pPr>
              <w:spacing w:before="40" w:after="40" w:line="276" w:lineRule="auto"/>
            </w:pPr>
            <w:r/>
            <w:r>
              <w:rPr>
                <w:rFonts w:ascii="Times New Roman" w:hAnsi="Times New Roman" w:eastAsia="宋体"/>
                <w:sz w:val="19"/>
              </w:rPr>
              <w:t>系统在 MySQL 中成功持久化工作流编排配置，消费流水表 consumption_info 中新增一笔积分扣减记录，Redis 用户积分缓存同步更新</w:t>
            </w:r>
          </w:p>
        </w:tc>
      </w:tr>
      <w:tr w14:paraId="3D637D8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触发条件</w:t>
            </w:r>
          </w:p>
        </w:tc>
        <w:tc>
          <w:tcPr>
            <w:tcW w:w="6305" w:type="dxa"/>
          </w:tcPr>
          <w:p>
            <w:pPr>
              <w:spacing w:before="40" w:after="40" w:line="276" w:lineRule="auto"/>
            </w:pPr>
            <w:r/>
            <w:r>
              <w:rPr>
                <w:rFonts w:ascii="Times New Roman" w:hAnsi="Times New Roman" w:eastAsia="宋体"/>
                <w:sz w:val="19"/>
              </w:rPr>
              <w:t>学员在前台工作流编辑页点击“一键执行自定义工作流”按钮</w:t>
            </w:r>
          </w:p>
        </w:tc>
      </w:tr>
      <w:tr w14:paraId="489569E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基本流程</w:t>
            </w:r>
          </w:p>
        </w:tc>
        <w:tc>
          <w:tcPr>
            <w:tcW w:w="6305" w:type="dxa"/>
          </w:tcPr>
          <w:p>
            <w:pPr>
              <w:spacing w:before="40" w:after="40" w:line="276" w:lineRule="auto"/>
            </w:pPr>
            <w:r/>
            <w:r>
              <w:rPr>
                <w:rFonts w:ascii="Times New Roman" w:hAnsi="Times New Roman" w:eastAsia="宋体"/>
                <w:sz w:val="19"/>
              </w:rPr>
              <w:t>1. 学员键入或拼接工作流步骤 JSON 串并点击执行。</w:t>
              <w:br/>
              <w:t>2. 后端拦截器 JwtInterceptor 拦截并从 Header 中解析 JWT，在 BaseContext 中绑定当前用户 ID。</w:t>
              <w:br/>
              <w:t>3. 执行服务 @Transactional 事务启动，查询该学员积分 balance 是否大于插件单价积分。</w:t>
            </w:r>
          </w:p>
        </w:tc>
      </w:tr>
    </w:tbl>
    <w:p w14:paraId="1675A6B2">
      <w:pPr>
        <w:jc w:val="center"/>
      </w:pPr>
      <w:r>
        <w:rPr>
          <w:rFonts w:hint="eastAsia"/>
        </w:rPr>
        <w:t>表 2-1（续）</w:t>
      </w:r>
    </w:p>
    <w:tbl>
      <w:tblPr>
        <w:tblStyle w:val="15"/>
        <w:tblW w:w="8059"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54"/>
        <w:gridCol w:w="6305"/>
      </w:tblGrid>
      <w:tr w14:paraId="60B5E16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atLeast"/>
          <w:jc w:val="center"/>
        </w:trPr>
        <w:tc>
          <w:tcPr>
            <w:tcW w:w="1754" w:type="dxa"/>
            <w:tcBorders>
              <w:top w:val="single" w:color="auto" w:sz="12" w:space="0"/>
              <w:bottom w:val="single" w:color="auto" w:sz="4" w:space="0"/>
            </w:tcBorders>
          </w:tcPr>
          <w:p w14:paraId="08908729">
            <w:pPr>
              <w:jc w:val="center"/>
              <w:rPr>
                <w:rFonts w:cs="宋体"/>
                <w:szCs w:val="21"/>
              </w:rPr>
            </w:pPr>
            <w:r>
              <w:rPr>
                <w:rFonts w:hint="eastAsia" w:cs="宋体"/>
                <w:szCs w:val="21"/>
              </w:rPr>
              <w:t>用例条目</w:t>
            </w:r>
          </w:p>
        </w:tc>
        <w:tc>
          <w:tcPr>
            <w:tcW w:w="6305" w:type="dxa"/>
            <w:tcBorders>
              <w:top w:val="single" w:color="auto" w:sz="12" w:space="0"/>
              <w:bottom w:val="single" w:color="auto" w:sz="4" w:space="0"/>
            </w:tcBorders>
          </w:tcPr>
          <w:p w14:paraId="2B9DD30A">
            <w:pPr>
              <w:jc w:val="center"/>
              <w:rPr>
                <w:rFonts w:cs="宋体"/>
                <w:szCs w:val="21"/>
              </w:rPr>
            </w:pPr>
            <w:r>
              <w:rPr>
                <w:rFonts w:hint="eastAsia" w:cs="宋体"/>
                <w:szCs w:val="21"/>
              </w:rPr>
              <w:t>描述</w:t>
            </w:r>
          </w:p>
        </w:tc>
      </w:tr>
      <w:tr w14:paraId="5633EAB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r>
          </w:p>
        </w:tc>
        <w:tc>
          <w:tcPr>
            <w:tcW w:w="6305" w:type="dxa"/>
          </w:tcPr>
          <w:p>
            <w:pPr>
              <w:spacing w:before="40" w:after="40" w:line="276" w:lineRule="auto"/>
            </w:pPr>
            <w:r/>
            <w:r>
              <w:rPr>
                <w:rFonts w:ascii="Times New Roman" w:hAnsi="Times New Roman" w:eastAsia="宋体"/>
                <w:sz w:val="19"/>
              </w:rPr>
              <w:t>4. 若余额充足，结算服务自动扣减 Redis 缓存中该学员的积分额，并异步通过 Spring 声明式事务同步写入 MySQL 扣减。</w:t>
              <w:br/>
              <w:t>5. 新增一笔 consumption_info 物理流水，类型为工作流积分计费扣减。</w:t>
              <w:br/>
              <w:t>6. 调用外部 AI 编排集群，顺序触发图片生成与视频生成服务，并返回 Result.success() 数据。</w:t>
            </w:r>
          </w:p>
        </w:tc>
      </w:tr>
      <w:tr w14:paraId="74BB8FF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替代流程</w:t>
            </w:r>
          </w:p>
        </w:tc>
        <w:tc>
          <w:tcPr>
            <w:tcW w:w="6305" w:type="dxa"/>
          </w:tcPr>
          <w:p>
            <w:pPr>
              <w:spacing w:before="40" w:after="40" w:line="276" w:lineRule="auto"/>
            </w:pPr>
            <w:r/>
            <w:r>
              <w:rPr>
                <w:rFonts w:ascii="Times New Roman" w:hAnsi="Times New Roman" w:eastAsia="宋体"/>
                <w:sz w:val="19"/>
              </w:rPr>
              <w:t>1. 学员账户积分不足时：拦截器或结算 Service 抛出业务自定义异常，返回 code:0 及提示“积分余额不足，请使用激活码兑换”，工作流终止。</w:t>
              <w:br/>
              <w:t>2. AI 插件端调用超时或服务离线时：结算事务在 MySQL 端自动触发回滚，将积分重新返还学员 Redis 缓存，防止积分越权空扣。</w:t>
            </w:r>
          </w:p>
        </w:tc>
      </w:tr>
      <w:tr w14:paraId="28CCD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结束</w:t>
            </w:r>
          </w:p>
        </w:tc>
        <w:tc>
          <w:tcPr>
            <w:tcW w:w="6305" w:type="dxa"/>
          </w:tcPr>
          <w:p>
            <w:pPr>
              <w:spacing w:before="40" w:after="40" w:line="276" w:lineRule="auto"/>
            </w:pPr>
            <w:r/>
            <w:r>
              <w:rPr>
                <w:rFonts w:ascii="Times New Roman" w:hAnsi="Times New Roman" w:eastAsia="宋体"/>
                <w:sz w:val="19"/>
              </w:rPr>
              <w:t>学员一键流式获得多步工作流执行产生的数据（如图片/视频 URL），后台消费流水日志与审计信息完成写入</w:t>
            </w:r>
          </w:p>
        </w:tc>
      </w:tr>
      <w:tr w14:paraId="047207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实现约束和说明</w:t>
            </w:r>
          </w:p>
        </w:tc>
        <w:tc>
          <w:tcPr>
            <w:tcW w:w="6305" w:type="dxa"/>
          </w:tcPr>
          <w:p>
            <w:pPr>
              <w:spacing w:before="40" w:after="40" w:line="276" w:lineRule="auto"/>
            </w:pPr>
            <w:r/>
            <w:r>
              <w:rPr>
                <w:rFonts w:ascii="Times New Roman" w:hAnsi="Times New Roman" w:eastAsia="宋体"/>
                <w:sz w:val="19"/>
              </w:rPr>
              <w:t>1. 接口必须在 try-finally 块中强行对当前线程 ThreadLocal 状态进行 BaseContext.clear()，防止多线程跨会话泄露；</w:t>
              <w:br/>
              <w:t>2. 编排工作流的最大子插件步骤数限制为 10 步，防范恶意 JSON 栈溢出攻击。</w:t>
            </w:r>
          </w:p>
        </w:tc>
      </w:tr>
      <w:tr w14:paraId="438EF86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4" w:hRule="atLeast"/>
          <w:jc w:val="center"/>
        </w:trPr>
        <w:tc>
          <w:tcPr>
            <w:tcW w:w="1754" w:type="dxa"/>
          </w:tcPr>
          <w:p>
            <w:pPr>
              <w:spacing w:before="40" w:after="40" w:line="276" w:lineRule="auto"/>
            </w:pPr>
            <w:r/>
            <w:r>
              <w:rPr>
                <w:rFonts w:ascii="Times New Roman" w:hAnsi="Times New Roman" w:eastAsia="宋体"/>
                <w:sz w:val="19"/>
              </w:rPr>
              <w:t>其他事件流</w:t>
            </w:r>
          </w:p>
        </w:tc>
        <w:tc>
          <w:tcPr>
            <w:tcW w:w="6305" w:type="dxa"/>
          </w:tcPr>
          <w:p>
            <w:pPr>
              <w:spacing w:before="40" w:after="40" w:line="276" w:lineRule="auto"/>
            </w:pPr>
            <w:r/>
            <w:r>
              <w:rPr>
                <w:rFonts w:ascii="Times New Roman" w:hAnsi="Times New Roman" w:eastAsia="宋体"/>
                <w:sz w:val="19"/>
              </w:rPr>
              <w:t>无</w:t>
            </w:r>
          </w:p>
        </w:tc>
      </w:tr>
    </w:tbl>
    <w:p w14:paraId="2A8B891D"/>
    <w:p w14:paraId="293DA0E8">
      <w:pPr>
        <w:pStyle w:val="4"/>
        <w:spacing w:before="156" w:beforeLines="50" w:after="156" w:afterLines="50" w:line="460" w:lineRule="exact"/>
        <w:rPr>
          <w:rStyle w:val="28"/>
          <w:rFonts w:ascii="Times New Roman" w:hAnsi="Times New Roman" w:eastAsia="黑体"/>
          <w:b w:val="0"/>
          <w:bCs w:val="0"/>
          <w:sz w:val="28"/>
          <w:szCs w:val="28"/>
        </w:rPr>
      </w:pPr>
      <w:bookmarkStart w:id="35" w:name="_Toc31582"/>
      <w:r>
        <w:rPr>
          <w:rStyle w:val="28"/>
          <w:rFonts w:hint="eastAsia" w:ascii="Times New Roman" w:hAnsi="Times New Roman" w:eastAsia="黑体"/>
          <w:b w:val="0"/>
          <w:bCs w:val="0"/>
          <w:sz w:val="28"/>
          <w:szCs w:val="28"/>
        </w:rPr>
        <w:t>2.3.2 激活码兑换会员与积分用例</w:t>
      </w:r>
      <w:r>
        <w:rPr>
          <w:rStyle w:val="28"/>
          <w:rFonts w:hint="eastAsia" w:eastAsia="黑体"/>
          <w:b w:val="0"/>
          <w:bCs w:val="0"/>
          <w:sz w:val="28"/>
          <w:szCs w:val="28"/>
        </w:rPr>
      </w:r>
      <w:r>
        <w:rPr>
          <w:rStyle w:val="28"/>
          <w:rFonts w:hint="eastAsia" w:ascii="Times New Roman" w:hAnsi="Times New Roman" w:eastAsia="黑体"/>
          <w:b w:val="0"/>
          <w:bCs w:val="0"/>
          <w:sz w:val="28"/>
          <w:szCs w:val="28"/>
        </w:rPr>
      </w:r>
      <w:r>
        <w:rPr>
          <w:rStyle w:val="28"/>
          <w:rFonts w:hint="eastAsia" w:eastAsia="黑体"/>
          <w:b w:val="0"/>
          <w:bCs w:val="0"/>
          <w:sz w:val="28"/>
          <w:szCs w:val="28"/>
        </w:rPr>
      </w:r>
      <w:r>
        <w:rPr>
          <w:rStyle w:val="28"/>
          <w:rFonts w:hint="eastAsia" w:ascii="Times New Roman" w:hAnsi="Times New Roman" w:eastAsia="黑体"/>
          <w:b w:val="0"/>
          <w:bCs w:val="0"/>
          <w:sz w:val="28"/>
          <w:szCs w:val="28"/>
        </w:rPr>
      </w:r>
      <w:bookmarkEnd w:id="35"/>
    </w:p>
    <w:p w14:paraId="3C52A685">
      <w:r>
        <w:t>激活码兑换会员与积分用例描述了学员如何在个人中心输入 8 位唯一的兑换串，系统通过 SELECT FOR UPDATE 并发锁保证事务一致性，自动根据激活码面值和类型为用户分配普通/高级会员天数或充值对应面值的虚拟积分，并将该激活码物理标记为已使用的完整过程。</w:t>
      </w:r>
    </w:p>
    <w:p w14:paraId="51F3589E"/>
    <w:p w14:paraId="7F9B9051">
      <w:pPr>
        <w:pStyle w:val="3"/>
        <w:spacing w:line="460" w:lineRule="exact"/>
        <w:rPr>
          <w:rStyle w:val="28"/>
          <w:rFonts w:ascii="Times New Roman" w:hAnsi="Times New Roman" w:eastAsia="黑体"/>
          <w:b w:val="0"/>
          <w:bCs/>
          <w:sz w:val="30"/>
          <w:szCs w:val="30"/>
        </w:rPr>
      </w:pPr>
      <w:bookmarkStart w:id="36" w:name="_Toc14279"/>
      <w:r>
        <w:rPr>
          <w:rStyle w:val="28"/>
          <w:rFonts w:hint="eastAsia" w:ascii="Times New Roman" w:hAnsi="Times New Roman" w:eastAsia="黑体"/>
          <w:b w:val="0"/>
          <w:bCs/>
          <w:sz w:val="30"/>
          <w:szCs w:val="30"/>
        </w:rPr>
        <w:t>2.4 系统其它需求</w:t>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r>
        <w:rPr>
          <w:rStyle w:val="28"/>
          <w:rFonts w:hint="eastAsia" w:eastAsia="黑体"/>
          <w:b w:val="0"/>
          <w:bCs/>
          <w:sz w:val="30"/>
          <w:szCs w:val="30"/>
        </w:rPr>
      </w:r>
      <w:bookmarkEnd w:id="36"/>
    </w:p>
    <w:p w14:paraId="0DFC7B59">
      <w:pPr>
        <w:spacing w:line="460" w:lineRule="exact"/>
        <w:ind w:firstLine="480" w:firstLineChars="200"/>
        <w:rPr>
          <w:sz w:val="24"/>
        </w:rPr>
      </w:pPr>
      <w:r>
        <w:rPr>
          <w:rFonts w:hint="eastAsia"/>
          <w:sz w:val="24"/>
        </w:rPr>
        <w:t>本节着重对系统在其他方面的衍生需求进行描述。主要包括安全性需求、兼容性需求、可扩展性需求等，目的在于使系统更加安全、稳定与高效。</w:t>
      </w:r>
    </w:p>
    <w:p w14:paraId="2A14CBFE">
      <w:pPr>
        <w:pStyle w:val="26"/>
        <w:numPr>
          <w:ilvl w:val="0"/>
          <w:numId w:val="2"/>
        </w:numPr>
        <w:spacing w:line="460" w:lineRule="exact"/>
        <w:ind w:left="0" w:firstLine="480"/>
        <w:rPr>
          <w:sz w:val="24"/>
        </w:rPr>
      </w:pPr>
      <w:r>
        <w:rPr>
          <w:rFonts w:hint="eastAsia" w:ascii="宋体" w:hAnsi="宋体"/>
          <w:sz w:val="24"/>
        </w:rPr>
        <w:t>安全性：目前，本系统的安全性大致可从系统 Token 防伪、会话防泄露两方面展开。系统采用标准的 JWT Token 加密技术作为无状态鉴权凭证；后端在多并发线程池池化复用场景下使用 try-finally 结构安全清理 ThreadLocal 绑定的当前用户 ID 会话状态（BaseContext），彻底根治跨用户越权串漏账户数据的重大安全隐患。</w:t>
      </w:r>
      <w:r>
        <w:rPr>
          <w:rFonts w:hint="eastAsia"/>
          <w:sz w:val="24"/>
        </w:rPr>
      </w:r>
    </w:p>
    <w:p w14:paraId="7AE28DC3">
      <w:pPr>
        <w:pStyle w:val="26"/>
        <w:numPr>
          <w:ilvl w:val="0"/>
          <w:numId w:val="2"/>
        </w:numPr>
        <w:spacing w:line="460" w:lineRule="exact"/>
        <w:ind w:left="0" w:firstLine="480"/>
        <w:rPr>
          <w:sz w:val="24"/>
        </w:rPr>
      </w:pPr>
      <w:r>
        <w:rPr>
          <w:rFonts w:hint="eastAsia" w:ascii="宋体" w:hAnsi="宋体"/>
          <w:sz w:val="24"/>
        </w:rPr>
        <w:t>兼容性：系统能够具备在多种软硬件架构下稳定部署与访问的能力。前端 Web 页面完全兼容 Google Chrome、Firefox、Edge、Safari 等主流浏览器，支持移动端抽屉导航与 PC 端自适应展示的自适应布局；后端容器化打包支持 macOS, Linux (x86/ARM64) 平台的 Docker 一键拉起，具备优异跨平台移植力。</w:t>
      </w:r>
      <w:r>
        <w:rPr>
          <w:rFonts w:hint="eastAsia"/>
          <w:sz w:val="24"/>
        </w:rPr>
      </w:r>
      <w:r>
        <w:rPr>
          <w:sz w:val="24"/>
        </w:rPr>
      </w:r>
      <w:r>
        <w:rPr>
          <w:rFonts w:hint="eastAsia"/>
          <w:sz w:val="24"/>
        </w:rPr>
      </w:r>
    </w:p>
    <w:p w14:paraId="60655E69">
      <w:pPr>
        <w:pStyle w:val="26"/>
        <w:numPr>
          <w:ilvl w:val="0"/>
          <w:numId w:val="2"/>
        </w:numPr>
        <w:spacing w:line="460" w:lineRule="exact"/>
        <w:ind w:left="0" w:firstLine="480"/>
        <w:rPr>
          <w:rFonts w:hint="eastAsia" w:ascii="黑体" w:hAnsi="黑体" w:eastAsia="黑体" w:cs="黑体"/>
          <w:sz w:val="28"/>
          <w:szCs w:val="28"/>
        </w:rPr>
      </w:pPr>
      <w:r>
        <w:rPr>
          <w:rFonts w:hint="eastAsia" w:ascii="宋体" w:hAnsi="宋体"/>
          <w:sz w:val="24"/>
        </w:rPr>
        <w:t>可扩展性：系统设计已将微服务升级与积分分账分销的二次开发纳入考量。后端基于标准的 Maven 多模块物理骨架开发，结构异常清晰，为后续将“单体主服务”无缝演进为“Spring Cloud 微服务集群”以及将“单点 Redis 验证码”升级为“Sentinel 验证码流量哨兵限流”提供了极大的扩展空间。</w:t>
      </w:r>
      <w:r>
        <w:rPr>
          <w:rFonts w:hint="eastAsia"/>
          <w:sz w:val="24"/>
        </w:rPr>
      </w:r>
    </w:p>
    <w:p w14:paraId="2BE3C3A1">
      <w:pPr>
        <w:pStyle w:val="3"/>
        <w:spacing w:line="460" w:lineRule="exact"/>
        <w:rPr>
          <w:rStyle w:val="28"/>
          <w:rFonts w:ascii="Times New Roman" w:hAnsi="Times New Roman" w:eastAsia="黑体"/>
          <w:b w:val="0"/>
          <w:bCs/>
          <w:sz w:val="30"/>
          <w:szCs w:val="30"/>
        </w:rPr>
      </w:pPr>
      <w:bookmarkStart w:id="37" w:name="_Toc10845"/>
      <w:r>
        <w:rPr>
          <w:rStyle w:val="28"/>
          <w:rFonts w:hint="eastAsia" w:ascii="Times New Roman" w:hAnsi="Times New Roman" w:eastAsia="黑体"/>
          <w:b w:val="0"/>
          <w:bCs/>
          <w:sz w:val="30"/>
          <w:szCs w:val="30"/>
        </w:rPr>
        <w:t>2.5 本章小结</w:t>
      </w:r>
      <w:bookmarkEnd w:id="37"/>
    </w:p>
    <w:p w14:paraId="5BD4B707">
      <w:pPr>
        <w:spacing w:line="460" w:lineRule="exact"/>
        <w:ind w:firstLine="480" w:firstLineChars="200"/>
        <w:rPr>
          <w:rFonts w:hint="eastAsia" w:ascii="黑体" w:hAnsi="黑体" w:eastAsia="黑体"/>
          <w:szCs w:val="21"/>
        </w:rPr>
      </w:pPr>
      <w:r>
        <w:rPr>
          <w:rFonts w:hint="eastAsia"/>
          <w:sz w:val="24"/>
        </w:rPr>
        <w:t>本章详细介绍了系统的功能性与非功能性需求。通过可行性论证确立了技术和经济支撑，利用 UML 用例图建模了学员、管理员与运营角色，并对自定义工作流编排和激活码兑换用例进行了详细流程描述，同时提出了高标准的鉴权防护和 ThreadLocal 会话防泄漏要求，为下一章的系统总体设计奠定了扎实的业务蓝图。</w:t>
      </w:r>
      <w:r>
        <w:rPr>
          <w:sz w:val="24"/>
        </w:rPr>
      </w:r>
    </w:p>
    <w:p w14:paraId="0A7E6296">
      <w:pPr>
        <w:rPr>
          <w:rFonts w:hint="eastAsia" w:ascii="黑体" w:hAnsi="黑体" w:eastAsia="黑体"/>
          <w:sz w:val="32"/>
          <w:szCs w:val="32"/>
        </w:rPr>
      </w:pPr>
      <w:r>
        <w:rPr>
          <w:rFonts w:hint="eastAsia" w:ascii="黑体" w:hAnsi="黑体" w:eastAsia="黑体"/>
          <w:sz w:val="32"/>
          <w:szCs w:val="32"/>
        </w:rPr>
        <w:br w:type="page"/>
      </w:r>
    </w:p>
    <w:p w14:paraId="2D98BC35">
      <w:pPr>
        <w:pStyle w:val="2"/>
        <w:numPr>
          <w:ilvl w:val="0"/>
          <w:numId w:val="1"/>
        </w:numPr>
        <w:spacing w:before="156" w:beforeLines="50" w:after="468" w:afterLines="150" w:line="460" w:lineRule="exact"/>
        <w:jc w:val="center"/>
        <w:rPr>
          <w:rFonts w:hint="eastAsia" w:ascii="黑体" w:hAnsi="黑体" w:eastAsia="黑体"/>
          <w:b w:val="0"/>
          <w:bCs w:val="0"/>
          <w:sz w:val="32"/>
          <w:szCs w:val="32"/>
        </w:rPr>
      </w:pPr>
      <w:bookmarkStart w:id="38" w:name="_Toc16587"/>
      <w:r>
        <w:rPr>
          <w:rFonts w:hint="eastAsia" w:ascii="黑体" w:hAnsi="黑体" w:eastAsia="黑体"/>
          <w:b w:val="0"/>
          <w:bCs w:val="0"/>
          <w:sz w:val="32"/>
          <w:szCs w:val="32"/>
        </w:rPr>
        <w:t>系统总体设计</w:t>
      </w:r>
      <w:bookmarkEnd w:id="38"/>
    </w:p>
    <w:p w14:paraId="5778FB12">
      <w:pPr>
        <w:spacing w:line="460" w:lineRule="exact"/>
        <w:ind w:firstLine="480" w:firstLineChars="200"/>
        <w:rPr>
          <w:sz w:val="24"/>
        </w:rPr>
      </w:pPr>
      <w:r>
        <w:rPr>
          <w:rFonts w:hint="eastAsia"/>
          <w:sz w:val="24"/>
        </w:rPr>
        <w:t>本章节致力于深入探讨 OYY学院后端管理平台的总体设计架构，包括系统核心的设计理念与原则、主要功能模块的层次结构树设计、数据库概念模型设计（E-R图）以及关系表结构的详细物理设计。</w:t>
      </w:r>
    </w:p>
    <w:p w14:paraId="5744B5C2">
      <w:pPr>
        <w:pStyle w:val="3"/>
        <w:spacing w:line="460" w:lineRule="exact"/>
        <w:rPr>
          <w:rStyle w:val="28"/>
          <w:rFonts w:ascii="Times New Roman" w:hAnsi="Times New Roman" w:eastAsia="黑体"/>
          <w:b w:val="0"/>
          <w:bCs/>
          <w:sz w:val="30"/>
          <w:szCs w:val="30"/>
        </w:rPr>
      </w:pPr>
      <w:bookmarkStart w:id="39" w:name="_Toc1373"/>
      <w:r>
        <w:rPr>
          <w:rStyle w:val="28"/>
          <w:rFonts w:hint="eastAsia" w:ascii="Times New Roman" w:hAnsi="Times New Roman" w:eastAsia="黑体"/>
          <w:b w:val="0"/>
          <w:bCs/>
          <w:sz w:val="30"/>
          <w:szCs w:val="30"/>
        </w:rPr>
        <w:t>3.1 系统设计原则</w:t>
      </w:r>
      <w:r>
        <w:rPr>
          <w:rStyle w:val="28"/>
          <w:rFonts w:ascii="Times New Roman" w:hAnsi="Times New Roman" w:eastAsia="黑体"/>
          <w:b w:val="0"/>
          <w:bCs/>
          <w:sz w:val="30"/>
          <w:szCs w:val="30"/>
        </w:rPr>
      </w:r>
      <w:r>
        <w:rPr>
          <w:rStyle w:val="28"/>
          <w:rFonts w:hint="eastAsia" w:ascii="Times New Roman" w:hAnsi="Times New Roman" w:eastAsia="黑体"/>
          <w:b w:val="0"/>
          <w:bCs/>
          <w:sz w:val="30"/>
          <w:szCs w:val="30"/>
        </w:rPr>
      </w:r>
      <w:bookmarkEnd w:id="39"/>
    </w:p>
    <w:p w14:paraId="01FDB39D">
      <w:pPr>
        <w:pStyle w:val="26"/>
        <w:numPr>
          <w:ilvl w:val="0"/>
          <w:numId w:val="3"/>
        </w:numPr>
        <w:spacing w:line="460" w:lineRule="exact"/>
        <w:ind w:left="0" w:firstLine="480"/>
        <w:rPr>
          <w:rFonts w:eastAsiaTheme="minorEastAsia"/>
          <w:sz w:val="24"/>
        </w:rPr>
      </w:pPr>
      <w:r>
        <w:rPr>
          <w:rFonts w:hint="eastAsia" w:eastAsiaTheme="minorEastAsia"/>
          <w:sz w:val="24"/>
        </w:rPr>
        <w:t>系统高安全性原则：系统在鉴权拦截与高并发积分结算上应具备极其严密的安全防御。敏感的数据库密码及密钥采用配置文件注入隔离机制，在内存 ThreadLocal 作用域内具备及时的 try-finally 清理释放，防范越权数据泄露。</w:t>
      </w:r>
    </w:p>
    <w:p w14:paraId="7CE0433B">
      <w:pPr>
        <w:pStyle w:val="26"/>
        <w:numPr>
          <w:ilvl w:val="0"/>
          <w:numId w:val="3"/>
        </w:numPr>
        <w:spacing w:line="460" w:lineRule="exact"/>
        <w:ind w:left="0" w:firstLine="480"/>
        <w:rPr>
          <w:rFonts w:eastAsiaTheme="minorEastAsia"/>
          <w:sz w:val="24"/>
        </w:rPr>
      </w:pPr>
      <w:r>
        <w:rPr>
          <w:rFonts w:hint="eastAsia" w:eastAsiaTheme="minorEastAsia"/>
          <w:sz w:val="24"/>
        </w:rPr>
        <w:t>核心业务松耦合原则：在业务设计上尽量减少各子系统间的依赖度。用户、课程、激活码、积分消费日志等通过标准的 Service 接口与 MyBatis-Plus 的 Mapper 进行非强外键式的关系解耦设计，便于灵活部署及表结构重塑。</w:t>
      </w:r>
    </w:p>
    <w:p w14:paraId="42802D4A">
      <w:pPr>
        <w:pStyle w:val="26"/>
        <w:numPr>
          <w:ilvl w:val="0"/>
          <w:numId w:val="3"/>
        </w:numPr>
        <w:spacing w:line="460" w:lineRule="exact"/>
        <w:ind w:left="0" w:firstLine="480"/>
        <w:rPr>
          <w:rFonts w:eastAsiaTheme="minorEastAsia"/>
          <w:sz w:val="24"/>
        </w:rPr>
      </w:pPr>
      <w:r>
        <w:rPr>
          <w:rFonts w:hint="eastAsia" w:eastAsiaTheme="minorEastAsia"/>
          <w:sz w:val="24"/>
        </w:rPr>
        <w:t>强并发一致性设计：系统在高频激活码兑换及积分扣减等核心结算链条上设计了完备的事务保障。例如，利用 MySQL 乐观锁/悲观锁以及数据库声明式事务控制（@Transactional），保证在高并发请求下账户积分和激活码状态的物理强一致性。</w:t>
      </w:r>
    </w:p>
    <w:p w14:paraId="4A564E38">
      <w:pPr>
        <w:pStyle w:val="3"/>
        <w:spacing w:line="460" w:lineRule="exact"/>
        <w:rPr>
          <w:rStyle w:val="28"/>
          <w:rFonts w:ascii="Times New Roman" w:hAnsi="Times New Roman" w:eastAsia="黑体"/>
          <w:b w:val="0"/>
          <w:bCs/>
          <w:sz w:val="30"/>
          <w:szCs w:val="30"/>
        </w:rPr>
      </w:pPr>
      <w:bookmarkStart w:id="40" w:name="_Toc26824"/>
      <w:r>
        <w:rPr>
          <w:rStyle w:val="28"/>
          <w:rFonts w:hint="eastAsia" w:ascii="Times New Roman" w:hAnsi="Times New Roman" w:eastAsia="黑体"/>
          <w:b w:val="0"/>
          <w:bCs/>
          <w:sz w:val="30"/>
          <w:szCs w:val="30"/>
        </w:rPr>
        <w:t>3.2 系统功能模块设计</w:t>
      </w:r>
      <w:bookmarkEnd w:id="40"/>
    </w:p>
    <w:p w14:paraId="4AD730DA">
      <w:pPr>
        <w:spacing w:line="460" w:lineRule="exact"/>
        <w:ind w:firstLine="480" w:firstLineChars="200"/>
        <w:rPr>
          <w:sz w:val="24"/>
        </w:rPr>
      </w:pPr>
      <w:r>
        <w:rPr>
          <w:rFonts w:hint="eastAsia"/>
          <w:color w:val="000000"/>
          <w:sz w:val="24"/>
        </w:rPr>
        <w:t>OYY学院后端管理平台具备用户管理、课程与内容、AI插件与工作流、积分与会员结算、运营与后台设置五大核心功能模块。用户管理模块实现手机验证码登录、微信扫码授权以及 ThreadLocal 会话控制；课程内容模块处理精品课程检索、详情章节浏览以及大文件并发上传；AI 插件工作流模块负责插件卡片配置、API 计费机制与多步工作流顺序调用；积分结算模块负责激活码多维兑换、分销推广佣金记录与扣减审计；后台管理模块提供批量激活码算法生成、首页轮播权重与预设 Prompt 在线编辑。系统总体功能模块图如图 3-1 所示。</w:t>
      </w:r>
      <w:r>
        <w:rPr>
          <w:color w:val="000000"/>
          <w:sz w:val="24"/>
        </w:rPr>
      </w:r>
      <w:r>
        <w:rPr>
          <w:rFonts w:hint="eastAsia"/>
          <w:color w:val="000000"/>
          <w:sz w:val="24"/>
        </w:rPr>
      </w:r>
      <w:r>
        <w:rPr>
          <w:rFonts w:hint="eastAsia"/>
          <w:sz w:val="24"/>
        </w:rPr>
      </w:r>
      <w:r>
        <w:rPr>
          <w:rFonts w:hint="eastAsia"/>
          <w:color w:val="000000"/>
          <w:sz w:val="24"/>
        </w:rPr>
      </w:r>
      <w:r>
        <w:rPr>
          <w:rFonts w:hint="eastAsia"/>
          <w:color w:val="000000"/>
          <w:sz w:val="24"/>
        </w:rPr>
      </w:r>
      <w:r>
        <w:rPr>
          <w:rStyle w:val="19"/>
        </w:rPr>
      </w:r>
      <w:r>
        <w:rPr>
          <w:rFonts w:hint="eastAsia"/>
          <w:color w:val="000000"/>
          <w:sz w:val="24"/>
        </w:rPr>
      </w:r>
    </w:p>
    <w:p w14:paraId="5A1196B6">
      <w:pPr>
        <w:jc w:val="center"/>
        <w:rPr>
          <w:rFonts w:hint="eastAsia" w:ascii="宋体" w:hAnsi="宋体"/>
          <w:szCs w:val="21"/>
        </w:rPr>
      </w:pPr>
      <w:r>
        <w:drawing>
          <wp:inline distT="0" distB="0" distL="114300" distR="114300">
            <wp:extent cx="5088255" cy="1683385"/>
            <wp:effectExtent l="0" t="0" r="0" b="0"/>
            <wp:docPr id="5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20"/>
                    <pic:cNvPicPr>
                      <a:picLocks noChangeAspect="1"/>
                    </pic:cNvPicPr>
                  </pic:nvPicPr>
                  <pic:blipFill>
                    <a:blip r:embed="rId14"/>
                    <a:stretch>
                      <a:fillRect/>
                    </a:stretch>
                  </pic:blipFill>
                  <pic:spPr>
                    <a:xfrm>
                      <a:off x="0" y="0"/>
                      <a:ext cx="5148212" cy="1703214"/>
                    </a:xfrm>
                    <a:prstGeom prst="rect">
                      <a:avLst/>
                    </a:prstGeom>
                    <a:noFill/>
                    <a:ln>
                      <a:noFill/>
                    </a:ln>
                  </pic:spPr>
                </pic:pic>
              </a:graphicData>
            </a:graphic>
          </wp:inline>
        </w:drawing>
      </w:r>
    </w:p>
    <w:p w14:paraId="7CB9E860">
      <w:pPr>
        <w:jc w:val="center"/>
        <w:rPr>
          <w:rFonts w:hint="eastAsia" w:ascii="宋体" w:hAnsi="宋体"/>
          <w:szCs w:val="21"/>
        </w:rPr>
      </w:pPr>
      <w:r>
        <w:rPr>
          <w:rFonts w:hint="eastAsia"/>
          <w:szCs w:val="21"/>
        </w:rPr>
        <w:t>图 3-1 系统总体功能模块图</w:t>
      </w:r>
    </w:p>
    <w:p w14:paraId="1FB2E524">
      <w:pPr>
        <w:spacing w:line="460" w:lineRule="exact"/>
        <w:ind w:firstLine="480" w:firstLineChars="200"/>
        <w:rPr>
          <w:sz w:val="24"/>
        </w:rPr>
      </w:pPr>
      <w:r>
        <w:rPr>
          <w:sz w:val="24"/>
        </w:rPr>
        <w:t>1. 用户与认证模块</w:t>
      </w:r>
      <w:r>
        <w:rPr>
          <w:rFonts w:hint="eastAsia"/>
          <w:sz w:val="24"/>
        </w:rPr>
      </w:r>
    </w:p>
    <w:p w14:paraId="2D0D4B94">
      <w:pPr>
        <w:spacing w:line="460" w:lineRule="exact"/>
        <w:ind w:firstLine="480" w:firstLineChars="200"/>
        <w:rPr>
          <w:sz w:val="24"/>
        </w:rPr>
      </w:pPr>
      <w:r>
        <w:rPr>
          <w:rFonts w:hint="eastAsia"/>
          <w:sz w:val="24"/>
        </w:rPr>
        <w:t>（1）手机验证码注册登录：系统提供基于手机验证码的极速登录，将验证码以 `sms:verify:{phone}` 的 key 存入 Redis 并限制 TTL 为 5 分钟，在 verify 校验时实现不存在用户自动注册。</w:t>
      </w:r>
      <w:r>
        <w:rPr>
          <w:sz w:val="24"/>
        </w:rPr>
      </w:r>
      <w:r>
        <w:rPr>
          <w:rFonts w:hint="eastAsia"/>
          <w:sz w:val="24"/>
        </w:rPr>
      </w:r>
    </w:p>
    <w:p w14:paraId="72193AC3">
      <w:pPr>
        <w:spacing w:line="460" w:lineRule="exact"/>
        <w:ind w:firstLine="480" w:firstLineChars="200"/>
        <w:rPr>
          <w:sz w:val="24"/>
        </w:rPr>
      </w:pPr>
      <w:r>
        <w:rPr>
          <w:rFonts w:hint="eastAsia"/>
          <w:sz w:val="24"/>
        </w:rPr>
        <w:t>（2）微信扫码回调登录：后台生成包含 state 的 UUID 二维码 URL，并缓存至 Redis；用户扫码后微信服务器回调后端，经 API 换取 unionid 完成用户建档与 JWT Token 签发返回。</w:t>
      </w:r>
      <w:r>
        <w:rPr>
          <w:sz w:val="24"/>
        </w:rPr>
      </w:r>
      <w:r>
        <w:rPr>
          <w:rFonts w:hint="eastAsia"/>
          <w:sz w:val="24"/>
        </w:rPr>
      </w:r>
    </w:p>
    <w:p w14:paraId="4CF04E6A">
      <w:pPr>
        <w:spacing w:line="460" w:lineRule="exact"/>
        <w:ind w:firstLine="480" w:firstLineChars="200"/>
        <w:rPr>
          <w:sz w:val="24"/>
        </w:rPr>
      </w:pPr>
      <w:r>
        <w:rPr>
          <w:rFonts w:hint="eastAsia"/>
          <w:sz w:val="24"/>
        </w:rPr>
        <w:t>（3）ThreadLocal 会话拦截：系统基于 HandlerInterceptor 校验 JWT Token。解析成功后，将 userId 写入 `BaseContext.setCurrentId(userId)` 的 ThreadLocal 变量中，供全局服务在当前请求线程内快捷读取。</w:t>
      </w:r>
      <w:r>
        <w:rPr>
          <w:sz w:val="24"/>
        </w:rPr>
      </w:r>
      <w:r>
        <w:rPr>
          <w:rFonts w:hint="eastAsia"/>
          <w:sz w:val="24"/>
        </w:rPr>
      </w:r>
    </w:p>
    <w:p w14:paraId="39FD10D9">
      <w:pPr>
        <w:spacing w:line="460" w:lineRule="exact"/>
        <w:ind w:firstLine="480" w:firstLineChars="200"/>
        <w:rPr>
          <w:sz w:val="24"/>
        </w:rPr>
      </w:pPr>
      <w:r>
        <w:rPr>
          <w:sz w:val="24"/>
        </w:rPr>
        <w:t>2. 课程与内容模块</w:t>
      </w:r>
      <w:r>
        <w:rPr>
          <w:rFonts w:hint="eastAsia"/>
          <w:sz w:val="24"/>
        </w:rPr>
      </w:r>
    </w:p>
    <w:p w14:paraId="3C7C3497">
      <w:pPr>
        <w:spacing w:line="460" w:lineRule="exact"/>
        <w:ind w:firstLine="480" w:firstLineChars="200"/>
        <w:rPr>
          <w:sz w:val="24"/>
        </w:rPr>
      </w:pPr>
      <w:r>
        <w:rPr>
          <w:rFonts w:hint="eastAsia"/>
          <w:sz w:val="24"/>
        </w:rPr>
        <w:t>（1）精品课程多维检索：基于 MyBatis-Plus 拦截器插件，系统提供了包含课程分类、热门标签、多字段模糊查询以及分页排序的高吞吐条件列表查询，实现快速课程分发。</w:t>
      </w:r>
      <w:r>
        <w:rPr>
          <w:sz w:val="24"/>
        </w:rPr>
      </w:r>
      <w:r>
        <w:rPr>
          <w:rFonts w:hint="eastAsia"/>
          <w:sz w:val="24"/>
        </w:rPr>
      </w:r>
    </w:p>
    <w:p w14:paraId="03FA63F2">
      <w:pPr>
        <w:spacing w:line="460" w:lineRule="exact"/>
        <w:ind w:firstLine="480" w:firstLineChars="200"/>
        <w:rPr>
          <w:sz w:val="24"/>
        </w:rPr>
      </w:pPr>
      <w:r>
        <w:rPr>
          <w:rFonts w:hint="eastAsia"/>
          <w:sz w:val="24"/>
        </w:rPr>
        <w:t>（2）章节详情与讲师介绍：主 API 提供了对精品课程目录及各课节章节的多级树状关联展示，支持对讲师背景信息、授课大纲的富文本多对一加载，提升交互连贯度。</w:t>
      </w:r>
      <w:r>
        <w:rPr>
          <w:sz w:val="24"/>
        </w:rPr>
      </w:r>
      <w:r>
        <w:rPr>
          <w:rFonts w:hint="eastAsia"/>
          <w:sz w:val="24"/>
        </w:rPr>
      </w:r>
    </w:p>
    <w:p w14:paraId="37D8DB49">
      <w:pPr>
        <w:spacing w:line="460" w:lineRule="exact"/>
        <w:ind w:firstLine="480" w:firstLineChars="200"/>
        <w:rPr>
          <w:sz w:val="24"/>
        </w:rPr>
      </w:pPr>
      <w:r>
        <w:rPr>
          <w:rFonts w:hint="eastAsia"/>
          <w:sz w:val="24"/>
        </w:rPr>
        <w:t>（3）大文件并发上传至OSS：系统集成标准 OSS SDK 接口，通过多线程分片上传与断点续传机制，实现讲师端超大专业视频与学术讲义的秒级并发上传，保障视频内容极速转储。</w:t>
      </w:r>
      <w:r>
        <w:rPr>
          <w:sz w:val="24"/>
        </w:rPr>
      </w:r>
      <w:r>
        <w:rPr>
          <w:rFonts w:hint="eastAsia"/>
          <w:sz w:val="24"/>
        </w:rPr>
      </w:r>
    </w:p>
    <w:p w14:paraId="156144FB">
      <w:pPr>
        <w:spacing w:line="460" w:lineRule="exact"/>
        <w:ind w:firstLine="480" w:firstLineChars="200"/>
        <w:rPr>
          <w:sz w:val="24"/>
        </w:rPr>
      </w:pPr>
      <w:r>
        <w:rPr>
          <w:sz w:val="24"/>
        </w:rPr>
        <w:t>3. AI 插件与工作流</w:t>
      </w:r>
      <w:r>
        <w:rPr>
          <w:rFonts w:hint="eastAsia"/>
          <w:sz w:val="24"/>
        </w:rPr>
      </w:r>
    </w:p>
    <w:p w14:paraId="4FA01345">
      <w:pPr>
        <w:spacing w:line="460" w:lineRule="exact"/>
        <w:ind w:firstLine="480" w:firstLineChars="200"/>
        <w:rPr>
          <w:sz w:val="24"/>
        </w:rPr>
      </w:pPr>
      <w:r>
        <w:rPr>
          <w:rFonts w:hint="eastAsia"/>
          <w:sz w:val="24"/>
        </w:rPr>
        <w:t>（1）多类型 AI 插件卡片：平台在前端首页展示多样化的 AI 工具卡片（如绘图、音视频处理、代码审计等），提供针对不同插件功能特征、参数类型以及计费单价的友好指引。</w:t>
      </w:r>
      <w:r>
        <w:rPr>
          <w:sz w:val="24"/>
        </w:rPr>
      </w:r>
      <w:r>
        <w:rPr>
          <w:rFonts w:hint="eastAsia"/>
          <w:sz w:val="24"/>
        </w:rPr>
      </w:r>
    </w:p>
    <w:p w14:paraId="4B101FD9">
      <w:pPr>
        <w:spacing w:line="460" w:lineRule="exact"/>
        <w:ind w:firstLine="480" w:firstLineChars="200"/>
        <w:rPr>
          <w:sz w:val="24"/>
        </w:rPr>
      </w:pPr>
      <w:r>
        <w:rPr>
          <w:rFonts w:hint="eastAsia"/>
          <w:sz w:val="24"/>
        </w:rPr>
        <w:t>（2）插件 API 计费配置：讲师或管理员可在后台注册独立的 AI 插件网关，明确限定该插件的第三方 API 路由与每次成功调用扣减的虚拟积分单价，实现精密的数据沉淀。</w:t>
      </w:r>
      <w:r>
        <w:rPr>
          <w:sz w:val="24"/>
        </w:rPr>
      </w:r>
      <w:r>
        <w:rPr>
          <w:rFonts w:hint="eastAsia"/>
          <w:sz w:val="24"/>
        </w:rPr>
      </w:r>
    </w:p>
    <w:p w14:paraId="44A2A33F">
      <w:pPr>
        <w:spacing w:line="460" w:lineRule="exact"/>
        <w:ind w:firstLine="480" w:firstLineChars="200"/>
        <w:rPr>
          <w:sz w:val="24"/>
        </w:rPr>
      </w:pPr>
      <w:r>
        <w:rPr>
          <w:rFonts w:hint="eastAsia"/>
          <w:sz w:val="24"/>
        </w:rPr>
        <w:t>（3）自定义工作流多步编排：学员可按多步 JSON 格式自定义组装串行工作流。后台工作流引擎解析步骤 JSON 链，依次判断各子插件的参数，并在统一的事务上下文内，完成并发扣减结算与批量插件顺序调用。</w:t>
      </w:r>
      <w:r>
        <w:rPr>
          <w:sz w:val="24"/>
        </w:rPr>
      </w:r>
      <w:r>
        <w:rPr>
          <w:rFonts w:hint="eastAsia"/>
          <w:sz w:val="24"/>
        </w:rPr>
      </w:r>
    </w:p>
    <w:p w14:paraId="2E5D7271">
      <w:pPr>
        <w:spacing w:line="460" w:lineRule="exact"/>
        <w:ind w:firstLine="480" w:firstLineChars="200"/>
        <w:rPr>
          <w:sz w:val="24"/>
        </w:rPr>
      </w:pPr>
      <w:r>
        <w:rPr>
          <w:sz w:val="24"/>
        </w:rPr>
        <w:t>4. 积分与会员结算</w:t>
      </w:r>
      <w:r>
        <w:rPr>
          <w:rFonts w:hint="eastAsia"/>
          <w:sz w:val="24"/>
        </w:rPr>
      </w:r>
    </w:p>
    <w:p w14:paraId="51FC28A0">
      <w:pPr>
        <w:spacing w:line="460" w:lineRule="exact"/>
        <w:ind w:firstLine="480" w:firstLineChars="200"/>
        <w:rPr>
          <w:sz w:val="24"/>
        </w:rPr>
      </w:pPr>
      <w:r>
        <w:rPr>
          <w:rFonts w:hint="eastAsia"/>
          <w:sz w:val="24"/>
        </w:rPr>
        <w:t>（1）激活码兑换会员积分：学员键入 8 位有效激活码后，系统执行校验逻辑。根据激活码关联的面值和类别，为学员动态累加普通/高级会员时间，或充值对应额度的虚拟积分账户。</w:t>
      </w:r>
      <w:r>
        <w:rPr>
          <w:sz w:val="24"/>
        </w:rPr>
      </w:r>
      <w:r>
        <w:rPr>
          <w:rFonts w:hint="eastAsia"/>
          <w:sz w:val="24"/>
        </w:rPr>
      </w:r>
    </w:p>
    <w:p w14:paraId="51AF5838">
      <w:pPr>
        <w:spacing w:line="460" w:lineRule="exact"/>
        <w:ind w:firstLine="480" w:firstLineChars="200"/>
        <w:rPr>
          <w:sz w:val="24"/>
        </w:rPr>
      </w:pPr>
      <w:r>
        <w:rPr>
          <w:rFonts w:hint="eastAsia"/>
          <w:sz w:val="24"/>
        </w:rPr>
        <w:t>（2）推广分销佣金流水：系统支持分销佣金核算流水记录。若学员通过其专属分销链接拉新成功，拉新行为自动触发 user_commissions 新增记录，按照系统比例实时划转佣金积分。</w:t>
      </w:r>
      <w:r>
        <w:rPr>
          <w:sz w:val="24"/>
        </w:rPr>
      </w:r>
      <w:r>
        <w:rPr>
          <w:rFonts w:hint="eastAsia"/>
          <w:sz w:val="24"/>
        </w:rPr>
      </w:r>
    </w:p>
    <w:p w14:paraId="4ED82ADE">
      <w:pPr>
        <w:spacing w:line="460" w:lineRule="exact"/>
        <w:ind w:firstLine="480" w:firstLineChars="200"/>
        <w:rPr>
          <w:sz w:val="24"/>
        </w:rPr>
      </w:pPr>
      <w:r>
        <w:rPr>
          <w:sz w:val="24"/>
        </w:rPr>
        <w:t>（3）积分扣减及消费审计：在用户成功激活或调用工作流扣减余额时，结算引擎立即写入 consumption_info。流水包含兑换码名称、实际支付金额或积分扣减单价，实现全流程物理审计。</w:t>
      </w:r>
      <w:r>
        <w:rPr>
          <w:rFonts w:hint="eastAsia"/>
          <w:sz w:val="24"/>
        </w:rPr>
      </w:r>
    </w:p>
    <w:p w14:paraId="55F16E46">
      <w:pPr>
        <w:spacing w:line="460" w:lineRule="exact"/>
        <w:ind w:firstLine="480" w:firstLineChars="200"/>
        <w:rPr>
          <w:sz w:val="24"/>
        </w:rPr>
      </w:pPr>
      <w:r>
        <w:rPr>
          <w:rFonts w:hint="eastAsia"/>
          <w:sz w:val="24"/>
        </w:rPr>
        <w:t>5. 后台管理模块</w:t>
      </w:r>
      <w:r>
        <w:rPr>
          <w:sz w:val="24"/>
        </w:rPr>
      </w:r>
      <w:r>
        <w:rPr>
          <w:rFonts w:hint="eastAsia"/>
          <w:sz w:val="24"/>
        </w:rPr>
      </w:r>
    </w:p>
    <w:p w14:paraId="1563EB01">
      <w:pPr>
        <w:spacing w:line="460" w:lineRule="exact"/>
        <w:ind w:firstLine="480" w:firstLineChars="200"/>
        <w:jc w:val="left"/>
        <w:rPr>
          <w:rFonts w:hint="eastAsia" w:ascii="宋体" w:hAnsi="宋体"/>
          <w:szCs w:val="21"/>
        </w:rPr>
      </w:pPr>
      <w:r>
        <w:rPr>
          <w:rFonts w:hint="eastAsia"/>
          <w:sz w:val="24"/>
        </w:rPr>
        <w:t>（1）批量随机激活码生成：管理员可在后台输入生成批次和数量，由高随机防碰撞字符生成算法一键产生数十万个 8 位大写/数字激活码组合，并物理批量写入 activation_codes 表。</w:t>
      </w:r>
      <w:r>
        <w:rPr>
          <w:sz w:val="24"/>
        </w:rPr>
      </w:r>
      <w:r>
        <w:rPr>
          <w:rFonts w:hint="eastAsia"/>
          <w:sz w:val="24"/>
        </w:rPr>
      </w:r>
      <w:r>
        <w:rPr>
          <w:rFonts w:hint="eastAsia" w:eastAsiaTheme="minorEastAsia"/>
          <w:sz w:val="24"/>
        </w:rPr>
      </w:r>
    </w:p>
    <w:p w14:paraId="353B4E32">
      <w:pPr>
        <w:pStyle w:val="3"/>
        <w:spacing w:line="460" w:lineRule="exact"/>
        <w:rPr>
          <w:rStyle w:val="28"/>
          <w:rFonts w:hint="eastAsia" w:ascii="Times New Roman" w:hAnsi="Times New Roman" w:eastAsia="黑体"/>
          <w:b w:val="0"/>
          <w:bCs/>
          <w:sz w:val="30"/>
          <w:szCs w:val="30"/>
        </w:rPr>
      </w:pPr>
      <w:bookmarkStart w:id="41" w:name="_Toc4373"/>
      <w:r>
        <w:rPr>
          <w:rStyle w:val="28"/>
          <w:rFonts w:hint="eastAsia" w:ascii="Times New Roman" w:hAnsi="Times New Roman" w:eastAsia="黑体"/>
          <w:b w:val="0"/>
          <w:bCs/>
          <w:sz w:val="30"/>
          <w:szCs w:val="30"/>
        </w:rPr>
        <w:t>（2）首页广告轮播权重管理：系统提供首页 carousels 图示管理后台。运营人员可以直接配置图片 OSS URL、跳转链接和显示排序权重，并一键刷新使其在前台瞬间置顶。</w:t>
      </w:r>
      <w:bookmarkEnd w:id="41"/>
    </w:p>
    <w:p w14:paraId="144A8933">
      <w:pPr>
        <w:spacing w:line="460" w:lineRule="exact"/>
        <w:ind w:firstLine="480" w:firstLineChars="200"/>
        <w:rPr>
          <w:sz w:val="24"/>
        </w:rPr>
      </w:pPr>
      <w:r>
        <w:rPr>
          <w:rFonts w:hint="eastAsia"/>
          <w:sz w:val="24"/>
        </w:rPr>
        <w:t>3.3 数据库设计</w:t>
      </w:r>
    </w:p>
    <w:p w14:paraId="3F339CEB">
      <w:pPr>
        <w:pStyle w:val="4"/>
        <w:spacing w:line="460" w:lineRule="exact"/>
        <w:rPr>
          <w:rFonts w:hint="eastAsia" w:ascii="黑体" w:hAnsi="黑体" w:eastAsia="黑体" w:cs="黑体"/>
          <w:b w:val="0"/>
          <w:bCs w:val="0"/>
          <w:sz w:val="28"/>
          <w:szCs w:val="28"/>
        </w:rPr>
      </w:pPr>
      <w:bookmarkStart w:id="42" w:name="_Toc11956"/>
      <w:r>
        <w:rPr>
          <w:rFonts w:hint="eastAsia" w:ascii="黑体" w:hAnsi="黑体" w:eastAsia="黑体" w:cs="黑体"/>
          <w:b w:val="0"/>
          <w:bCs w:val="0"/>
          <w:sz w:val="28"/>
          <w:szCs w:val="28"/>
        </w:rPr>
        <w:t>数据库设计是 OYY学院后端管理平台稳定运行与高效查询的底层技术基石。对于包含多角色验证登录、大批量激活码随机生成以及高频工作流积分结算的系统，需要合理设计物理模式，保障会话安全隔离、积分扣减强一致性，并实现精确的主题分类日志索引。</w:t>
      </w:r>
      <w:bookmarkEnd w:id="42"/>
    </w:p>
    <w:p w14:paraId="3A17CB86">
      <w:pPr>
        <w:spacing w:line="460" w:lineRule="exact"/>
        <w:ind w:firstLine="480" w:firstLineChars="200"/>
        <w:jc w:val="left"/>
        <w:rPr>
          <w:rFonts w:eastAsiaTheme="minorEastAsia"/>
          <w:sz w:val="24"/>
        </w:rPr>
      </w:pPr>
      <w:r>
        <w:rPr>
          <w:rFonts w:hint="eastAsia"/>
          <w:sz w:val="24"/>
        </w:rPr>
        <w:t>3.3.1 概念模型设计</w:t>
      </w:r>
      <w:r>
        <w:rPr>
          <w:rFonts w:hint="eastAsia" w:eastAsiaTheme="minorEastAsia"/>
          <w:sz w:val="24"/>
        </w:rPr>
      </w:r>
    </w:p>
    <w:p w14:paraId="3DE79997">
      <w:r>
        <w:t>系统的概念设计（E-R图）主要描述了用户、精品课程、激活码、AI 插件、消费记录和工作流等实体间的对应关系。用户实体具有与会话、文档、激活码、以及消费记录流水的一对多关联，精品课程与插件、工作流与插件也呈现一对多的级联依赖关系。系统的总体概念 E-R 图如图 3-2 所示。</w:t>
      </w:r>
      <w:r/>
    </w:p>
    <w:p w14:paraId="43E4711F">
      <w:pPr>
        <w:keepNext/>
        <w:jc w:val="center"/>
        <w:rPr>
          <w:bCs/>
          <w:szCs w:val="21"/>
        </w:rPr>
      </w:pPr>
      <w:r>
        <w:rPr>
          <w:szCs w:val="21"/>
        </w:rPr>
        <w:t>图 3-2 系统总体 E-R 图</w:t>
      </w:r>
      <w:r>
        <w:rPr>
          <w:rFonts w:hint="eastAsia"/>
          <w:szCs w:val="21"/>
        </w:rPr>
      </w:r>
      <w:r>
        <w:rPr>
          <w:szCs w:val="21"/>
        </w:rPr>
      </w:r>
    </w:p>
    <w:p w14:paraId="2DD49338">
      <w:pPr>
        <w:spacing w:line="460" w:lineRule="exact"/>
        <w:ind w:firstLine="480" w:firstLineChars="200"/>
        <w:jc w:val="left"/>
        <w:rPr>
          <w:rFonts w:eastAsiaTheme="minorEastAsia"/>
          <w:sz w:val="24"/>
        </w:rPr>
      </w:pPr>
      <w:r>
        <w:rPr>
          <w:rFonts w:hint="eastAsia"/>
          <w:sz w:val="24"/>
        </w:rPr>
        <w:t>系统数据库的主要实体包括用户 (users)、激活码 (activation_codes) 以及相关的课程和消息结构。这些实体在概念模型中通过高度规范的属性进行描述，并映射到物理的 MySQL schema 设计。</w:t>
      </w:r>
      <w:r>
        <w:rPr>
          <w:rFonts w:hint="eastAsia" w:eastAsiaTheme="minorEastAsia"/>
          <w:sz w:val="24"/>
        </w:rPr>
      </w:r>
    </w:p>
    <w:p w14:paraId="6E47231B">
      <w:pPr>
        <w:spacing w:line="460" w:lineRule="exact"/>
        <w:ind w:firstLine="480" w:firstLineChars="200"/>
        <w:jc w:val="left"/>
        <w:rPr>
          <w:sz w:val="24"/>
        </w:rPr>
      </w:pPr>
      <w:r>
        <w:rPr>
          <w:rFonts w:hint="eastAsia"/>
          <w:sz w:val="24"/>
        </w:rPr>
        <w:t>（1）用户 (users) 主要包括主键 id、微信 openId、唯一用户名 username、手机号 phone、性别 gender、头像 URL avatar、用户角色 user_type、绑定会员信息 member_info_id、以及消费记录 consumption_info_id，其实体属性图如图 3-3 所示。</w:t>
      </w:r>
      <w:r>
        <w:rPr>
          <w:rFonts w:hint="eastAsia"/>
          <w:sz w:val="24"/>
          <w:lang w:eastAsia="zh"/>
        </w:rPr>
      </w:r>
      <w:r>
        <w:rPr>
          <w:rFonts w:hint="eastAsia"/>
          <w:sz w:val="24"/>
        </w:rPr>
      </w:r>
      <w:r>
        <w:rPr>
          <w:rFonts w:hint="eastAsia"/>
          <w:sz w:val="24"/>
        </w:rPr>
      </w:r>
      <w:r>
        <w:rPr>
          <w:rStyle w:val="19"/>
        </w:rPr>
      </w:r>
      <w:r>
        <w:rPr>
          <w:rFonts w:hint="eastAsia"/>
          <w:sz w:val="24"/>
        </w:rPr>
      </w:r>
    </w:p>
    <w:p w14:paraId="5E61B407">
      <w:pPr>
        <w:spacing w:line="460" w:lineRule="exact"/>
        <w:jc w:val="left"/>
        <w:rPr>
          <w:rFonts w:eastAsiaTheme="minorEastAsia"/>
          <w:sz w:val="24"/>
        </w:rPr>
      </w:pPr>
      <w:r>
        <w:drawing>
          <wp:anchor distT="0" distB="0" distL="114300" distR="114300" simplePos="0" relativeHeight="251661312" behindDoc="0" locked="0" layoutInCell="1" allowOverlap="1">
            <wp:simplePos x="0" y="0"/>
            <wp:positionH relativeFrom="column">
              <wp:posOffset>770890</wp:posOffset>
            </wp:positionH>
            <wp:positionV relativeFrom="paragraph">
              <wp:posOffset>71120</wp:posOffset>
            </wp:positionV>
            <wp:extent cx="4601210" cy="2914015"/>
            <wp:effectExtent l="0" t="0" r="8890" b="635"/>
            <wp:wrapNone/>
            <wp:docPr id="71"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图片 32"/>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601210" cy="2914015"/>
                    </a:xfrm>
                    <a:prstGeom prst="rect">
                      <a:avLst/>
                    </a:prstGeom>
                    <a:noFill/>
                    <a:ln>
                      <a:noFill/>
                    </a:ln>
                  </pic:spPr>
                </pic:pic>
              </a:graphicData>
            </a:graphic>
          </wp:anchor>
        </w:drawing>
      </w:r>
    </w:p>
    <w:p w14:paraId="393E47B7">
      <w:pPr>
        <w:spacing w:line="460" w:lineRule="exact"/>
        <w:jc w:val="left"/>
        <w:rPr>
          <w:rFonts w:eastAsiaTheme="minorEastAsia"/>
          <w:sz w:val="24"/>
        </w:rPr>
      </w:pPr>
    </w:p>
    <w:p w14:paraId="6904E64D">
      <w:pPr>
        <w:spacing w:line="460" w:lineRule="exact"/>
        <w:jc w:val="left"/>
        <w:rPr>
          <w:rFonts w:eastAsiaTheme="minorEastAsia"/>
          <w:sz w:val="24"/>
        </w:rPr>
      </w:pPr>
    </w:p>
    <w:p w14:paraId="21C90E65">
      <w:pPr>
        <w:spacing w:line="460" w:lineRule="exact"/>
        <w:jc w:val="left"/>
        <w:rPr>
          <w:rFonts w:eastAsiaTheme="minorEastAsia"/>
          <w:sz w:val="24"/>
        </w:rPr>
      </w:pPr>
    </w:p>
    <w:p w14:paraId="1EA3F971">
      <w:pPr>
        <w:spacing w:line="460" w:lineRule="exact"/>
        <w:jc w:val="left"/>
        <w:rPr>
          <w:rFonts w:eastAsiaTheme="minorEastAsia"/>
          <w:sz w:val="24"/>
        </w:rPr>
      </w:pPr>
    </w:p>
    <w:p w14:paraId="32BB6F37">
      <w:pPr>
        <w:spacing w:line="460" w:lineRule="exact"/>
        <w:jc w:val="left"/>
        <w:rPr>
          <w:rFonts w:eastAsiaTheme="minorEastAsia"/>
          <w:sz w:val="24"/>
        </w:rPr>
      </w:pPr>
    </w:p>
    <w:p w14:paraId="72D9CFCE">
      <w:pPr>
        <w:spacing w:line="460" w:lineRule="exact"/>
        <w:jc w:val="left"/>
        <w:rPr>
          <w:rFonts w:eastAsiaTheme="minorEastAsia"/>
          <w:sz w:val="24"/>
        </w:rPr>
      </w:pPr>
    </w:p>
    <w:p w14:paraId="652C1619">
      <w:pPr>
        <w:spacing w:line="460" w:lineRule="exact"/>
        <w:jc w:val="left"/>
        <w:rPr>
          <w:rFonts w:eastAsiaTheme="minorEastAsia"/>
          <w:sz w:val="24"/>
        </w:rPr>
      </w:pPr>
    </w:p>
    <w:p w14:paraId="0CD2C3A5">
      <w:pPr>
        <w:spacing w:line="460" w:lineRule="exact"/>
        <w:jc w:val="left"/>
        <w:rPr>
          <w:rFonts w:eastAsiaTheme="minorEastAsia"/>
          <w:sz w:val="24"/>
        </w:rPr>
      </w:pPr>
    </w:p>
    <w:p w14:paraId="58494D09">
      <w:pPr>
        <w:spacing w:line="460" w:lineRule="exact"/>
        <w:jc w:val="left"/>
        <w:rPr>
          <w:rFonts w:eastAsiaTheme="minorEastAsia"/>
          <w:sz w:val="24"/>
        </w:rPr>
      </w:pPr>
    </w:p>
    <w:p w14:paraId="64ACB383">
      <w:pPr>
        <w:spacing w:line="460" w:lineRule="exact"/>
        <w:ind w:firstLine="3570" w:firstLineChars="1700"/>
        <w:jc w:val="left"/>
        <w:rPr>
          <w:rFonts w:eastAsiaTheme="minorEastAsia"/>
          <w:sz w:val="24"/>
        </w:rPr>
      </w:pPr>
      <w:r>
        <w:rPr>
          <w:rFonts w:hint="eastAsia"/>
          <w:szCs w:val="21"/>
        </w:rPr>
        <w:t>图 3-3 用户 (users) 实体属性图</w:t>
      </w:r>
      <w:r>
        <w:rPr>
          <w:rFonts w:hint="eastAsia"/>
          <w:szCs w:val="21"/>
          <w:lang w:eastAsia="zh"/>
        </w:rPr>
      </w:r>
      <w:r>
        <w:rPr>
          <w:rFonts w:hint="eastAsia"/>
          <w:szCs w:val="21"/>
        </w:rPr>
      </w:r>
    </w:p>
    <w:p w14:paraId="7D918E3B">
      <w:pPr>
        <w:spacing w:line="460" w:lineRule="exact"/>
        <w:ind w:firstLine="480" w:firstLineChars="200"/>
      </w:pPr>
      <w:r>
        <w:rPr>
          <w:rFonts w:hint="eastAsia"/>
          <w:sz w:val="24"/>
        </w:rPr>
        <w:t>（2）激活码 (activation_codes) 主要包括主键 id、兑换串 code、会员等级 member_level、会员天数 duration_days、状态 status、使用用户 userId、以及过期时间 expire_time 属性，其实体属性图如图 3-4 所示。</w:t>
      </w:r>
      <w:r>
        <w:rPr>
          <w:rFonts w:hint="eastAsia"/>
          <w:sz w:val="24"/>
          <w:lang w:eastAsia="zh"/>
        </w:rPr>
      </w:r>
      <w:r>
        <w:rPr>
          <w:rFonts w:hint="eastAsia"/>
          <w:sz w:val="24"/>
        </w:rPr>
      </w:r>
    </w:p>
    <w:p w14:paraId="16A0266A">
      <w:pPr>
        <w:spacing w:line="460" w:lineRule="exact"/>
        <w:jc w:val="left"/>
        <w:rPr>
          <w:rFonts w:eastAsiaTheme="minorEastAsia"/>
          <w:sz w:val="24"/>
        </w:rPr>
      </w:pPr>
      <w:r>
        <w:drawing>
          <wp:anchor distT="0" distB="0" distL="114300" distR="114300" simplePos="0" relativeHeight="251662336" behindDoc="0" locked="0" layoutInCell="1" allowOverlap="1">
            <wp:simplePos x="0" y="0"/>
            <wp:positionH relativeFrom="column">
              <wp:posOffset>1351280</wp:posOffset>
            </wp:positionH>
            <wp:positionV relativeFrom="paragraph">
              <wp:posOffset>11430</wp:posOffset>
            </wp:positionV>
            <wp:extent cx="3470910" cy="1760855"/>
            <wp:effectExtent l="0" t="0" r="0" b="0"/>
            <wp:wrapNone/>
            <wp:docPr id="7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3"/>
                    <pic:cNvPicPr>
                      <a:picLocks noChangeAspect="1"/>
                    </pic:cNvPicPr>
                  </pic:nvPicPr>
                  <pic:blipFill>
                    <a:blip r:embed="rId17">
                      <a:extLst>
                        <a:ext uri="{28A0092B-C50C-407E-A947-70E740481C1C}">
                          <a14:useLocalDpi xmlns:a14="http://schemas.microsoft.com/office/drawing/2010/main" val="0"/>
                        </a:ext>
                      </a:extLst>
                    </a:blip>
                    <a:stretch>
                      <a:fillRect/>
                    </a:stretch>
                  </pic:blipFill>
                  <pic:spPr>
                    <a:xfrm>
                      <a:off x="0" y="0"/>
                      <a:ext cx="3470910" cy="1760855"/>
                    </a:xfrm>
                    <a:prstGeom prst="rect">
                      <a:avLst/>
                    </a:prstGeom>
                    <a:noFill/>
                    <a:ln>
                      <a:noFill/>
                    </a:ln>
                  </pic:spPr>
                </pic:pic>
              </a:graphicData>
            </a:graphic>
          </wp:anchor>
        </w:drawing>
      </w:r>
    </w:p>
    <w:p w14:paraId="3615D5CC">
      <w:pPr>
        <w:spacing w:line="460" w:lineRule="exact"/>
        <w:jc w:val="left"/>
        <w:rPr>
          <w:rFonts w:eastAsiaTheme="minorEastAsia"/>
          <w:sz w:val="24"/>
        </w:rPr>
      </w:pPr>
    </w:p>
    <w:p w14:paraId="0F415ECA">
      <w:pPr>
        <w:spacing w:line="460" w:lineRule="exact"/>
        <w:jc w:val="left"/>
        <w:rPr>
          <w:rFonts w:eastAsiaTheme="minorEastAsia"/>
          <w:sz w:val="24"/>
        </w:rPr>
      </w:pPr>
    </w:p>
    <w:p w14:paraId="6D41D874">
      <w:pPr>
        <w:spacing w:line="460" w:lineRule="exact"/>
        <w:jc w:val="left"/>
        <w:rPr>
          <w:rFonts w:eastAsiaTheme="minorEastAsia"/>
          <w:sz w:val="24"/>
        </w:rPr>
      </w:pPr>
    </w:p>
    <w:p w14:paraId="0025C9D5">
      <w:pPr>
        <w:spacing w:line="460" w:lineRule="exact"/>
        <w:jc w:val="left"/>
        <w:rPr>
          <w:rFonts w:eastAsiaTheme="minorEastAsia"/>
          <w:sz w:val="24"/>
        </w:rPr>
      </w:pPr>
    </w:p>
    <w:p w14:paraId="4351C521">
      <w:pPr>
        <w:spacing w:line="460" w:lineRule="exact"/>
        <w:jc w:val="left"/>
        <w:rPr>
          <w:rFonts w:eastAsiaTheme="minorEastAsia"/>
          <w:sz w:val="24"/>
        </w:rPr>
      </w:pPr>
    </w:p>
    <w:p w14:paraId="1913435F">
      <w:pPr>
        <w:spacing w:line="460" w:lineRule="exact"/>
        <w:jc w:val="center"/>
        <w:rPr>
          <w:rFonts w:eastAsiaTheme="minorEastAsia"/>
          <w:sz w:val="24"/>
        </w:rPr>
      </w:pPr>
      <w:r>
        <w:rPr>
          <w:rFonts w:hint="eastAsia"/>
          <w:szCs w:val="21"/>
        </w:rPr>
        <w:t>图 3-4 激活码 (activation_codes) 实体属性图</w:t>
      </w:r>
      <w:r>
        <w:rPr>
          <w:rFonts w:hint="eastAsia"/>
          <w:szCs w:val="21"/>
          <w:lang w:eastAsia="zh"/>
        </w:rPr>
      </w:r>
      <w:r>
        <w:rPr>
          <w:rFonts w:hint="eastAsia"/>
          <w:szCs w:val="21"/>
        </w:rPr>
      </w:r>
    </w:p>
    <w:p w14:paraId="12682443">
      <w:pPr>
        <w:pStyle w:val="4"/>
        <w:rPr>
          <w:rFonts w:hint="eastAsia" w:ascii="黑体" w:hAnsi="黑体" w:eastAsia="黑体" w:cs="黑体"/>
          <w:b w:val="0"/>
          <w:bCs w:val="0"/>
          <w:sz w:val="28"/>
          <w:szCs w:val="28"/>
        </w:rPr>
      </w:pPr>
      <w:bookmarkStart w:id="43" w:name="_Toc10164"/>
      <w:r>
        <w:rPr>
          <w:rFonts w:hint="eastAsia" w:ascii="黑体" w:hAnsi="黑体" w:eastAsia="黑体" w:cs="黑体"/>
          <w:b w:val="0"/>
          <w:bCs w:val="0"/>
          <w:sz w:val="28"/>
          <w:szCs w:val="28"/>
        </w:rPr>
        <w:t>3.3.2 数据库表设计</w:t>
      </w:r>
      <w:r/>
      <w:bookmarkEnd w:id="43"/>
    </w:p>
    <w:p w14:paraId="0741F4AB">
      <w:pPr>
        <w:spacing w:line="460" w:lineRule="exact"/>
        <w:ind w:firstLine="480" w:firstLineChars="200"/>
        <w:jc w:val="left"/>
        <w:rPr>
          <w:rFonts w:eastAsiaTheme="minorEastAsia"/>
          <w:sz w:val="24"/>
        </w:rPr>
      </w:pPr>
      <w:r>
        <w:rPr>
          <w:rFonts w:hint="eastAsia" w:eastAsiaTheme="minorEastAsia"/>
          <w:sz w:val="24"/>
        </w:rPr>
        <w:t>通过将上述 E-R 概念模型进行逻辑向物理的映射，我们在 MySQL 8.0 数据库中进行了物理模式的建表与索引优化。下面详细展示系统中最核心的两张表：用户表 (users) 和激活码表 (activation_codes) 的表结构设计。</w:t>
      </w:r>
      <w:r>
        <w:rPr>
          <w:rFonts w:eastAsiaTheme="minorEastAsia"/>
          <w:sz w:val="24"/>
        </w:rPr>
      </w:r>
      <w:r>
        <w:rPr>
          <w:rFonts w:hint="eastAsia" w:eastAsiaTheme="minorEastAsia"/>
          <w:sz w:val="24"/>
        </w:rPr>
      </w:r>
      <w:r>
        <w:rPr>
          <w:rFonts w:eastAsiaTheme="minorEastAsia"/>
          <w:sz w:val="24"/>
        </w:rPr>
      </w:r>
      <w:r>
        <w:rPr>
          <w:rFonts w:hint="eastAsia" w:eastAsiaTheme="minorEastAsia"/>
          <w:sz w:val="24"/>
        </w:rPr>
      </w:r>
    </w:p>
    <w:p w14:paraId="0853EF5C">
      <w:pPr>
        <w:pStyle w:val="26"/>
        <w:numPr>
          <w:ilvl w:val="1"/>
          <w:numId w:val="4"/>
        </w:numPr>
        <w:spacing w:line="460" w:lineRule="exact"/>
        <w:ind w:left="0" w:firstLine="480"/>
        <w:rPr>
          <w:rFonts w:eastAsiaTheme="minorEastAsia"/>
          <w:sz w:val="24"/>
        </w:rPr>
      </w:pPr>
      <w:r>
        <w:rPr>
          <w:rFonts w:hint="eastAsia"/>
          <w:sz w:val="24"/>
        </w:rPr>
        <w:t>users 表结构如表 3-1 所示。</w:t>
      </w:r>
      <w:r>
        <w:rPr>
          <w:sz w:val="24"/>
        </w:rPr>
      </w:r>
    </w:p>
    <w:p w14:paraId="1712487C">
      <w:pPr>
        <w:pStyle w:val="5"/>
        <w:keepNext/>
        <w:jc w:val="center"/>
        <w:rPr>
          <w:sz w:val="21"/>
          <w:szCs w:val="21"/>
        </w:rPr>
      </w:pPr>
      <w:r>
        <w:rPr>
          <w:rFonts w:hint="eastAsia" w:ascii="宋体" w:hAnsi="宋体" w:eastAsia="宋体"/>
          <w:sz w:val="21"/>
          <w:szCs w:val="21"/>
        </w:rPr>
        <w:t>表 3-1 users 用户表</w:t>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eastAsia="宋体" w:cs="Times New Roman"/>
          <w:sz w:val="21"/>
          <w:szCs w:val="21"/>
        </w:rPr>
      </w:r>
      <w:r>
        <w:rPr>
          <w:rFonts w:ascii="Times New Roman" w:hAnsi="Times New Roman" w:cs="Times New Roman"/>
          <w:sz w:val="21"/>
          <w:szCs w:val="21"/>
        </w:rPr>
      </w:r>
      <w:r>
        <w:rPr>
          <w:rFonts w:hint="eastAsia" w:ascii="宋体" w:hAnsi="宋体" w:eastAsia="宋体"/>
          <w:sz w:val="21"/>
          <w:szCs w:val="21"/>
        </w:rPr>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5B9411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5E85AD99">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49619D59">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0DE4635">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2A384828">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4C34E565">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4513CBE">
            <w:pPr>
              <w:pStyle w:val="35"/>
            </w:pPr>
            <w:r>
              <w:rPr>
                <w:rFonts w:hint="eastAsia"/>
              </w:rPr>
              <w:t>注释</w:t>
            </w:r>
          </w:p>
        </w:tc>
      </w:tr>
      <w:tr w14:paraId="6813C0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29" w:hRule="atLeast"/>
          <w:jc w:val="center"/>
        </w:trPr>
        <w:tc>
          <w:tcPr>
            <w:tcW w:w="500"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w:t>
            </w:r>
          </w:p>
        </w:tc>
        <w:tc>
          <w:tcPr>
            <w:tcW w:w="1009"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id</w:t>
            </w:r>
          </w:p>
        </w:tc>
        <w:tc>
          <w:tcPr>
            <w:tcW w:w="1029"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bigint</w:t>
            </w:r>
          </w:p>
        </w:tc>
        <w:tc>
          <w:tcPr>
            <w:tcW w:w="501"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single" w:color="auto" w:sz="6" w:space="0"/>
              <w:left w:val="nil"/>
              <w:bottom w:val="nil"/>
              <w:right w:val="nil"/>
            </w:tcBorders>
            <w:shd w:val="clear" w:color="auto" w:fill="auto"/>
            <w:vAlign w:val="center"/>
          </w:tcPr>
          <w:p>
            <w:pPr>
              <w:spacing w:before="40" w:after="40" w:line="276" w:lineRule="auto"/>
            </w:pPr>
            <w:r/>
            <w:r>
              <w:rPr>
                <w:rFonts w:ascii="Times New Roman" w:hAnsi="Times New Roman" w:eastAsia="宋体"/>
                <w:sz w:val="19"/>
              </w:rPr>
              <w:t>用户物理主键，自增 ID</w:t>
            </w:r>
          </w:p>
        </w:tc>
      </w:tr>
      <w:tr w14:paraId="2C6C1D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2</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open_id</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64</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微信唯一授权标识 openId</w:t>
            </w:r>
          </w:p>
        </w:tc>
      </w:tr>
      <w:tr w14:paraId="78479D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3</w:t>
            </w:r>
          </w:p>
        </w:tc>
        <w:tc>
          <w:tcPr>
            <w:tcW w:w="1009"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username</w:t>
            </w:r>
          </w:p>
        </w:tc>
        <w:tc>
          <w:tcPr>
            <w:tcW w:w="1029"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50</w:t>
            </w:r>
          </w:p>
        </w:tc>
        <w:tc>
          <w:tcPr>
            <w:tcW w:w="739"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single" w:color="auto" w:sz="12" w:space="0"/>
              <w:right w:val="nil"/>
            </w:tcBorders>
            <w:shd w:val="clear" w:color="auto" w:fill="auto"/>
            <w:vAlign w:val="center"/>
          </w:tcPr>
          <w:p>
            <w:pPr>
              <w:spacing w:before="40" w:after="40" w:line="276" w:lineRule="auto"/>
            </w:pPr>
            <w:r/>
            <w:r>
              <w:rPr>
                <w:rFonts w:ascii="Times New Roman" w:hAnsi="Times New Roman" w:eastAsia="宋体"/>
                <w:sz w:val="19"/>
              </w:rPr>
              <w:t>学员在系统注册的唯一账户名称</w:t>
            </w:r>
          </w:p>
        </w:tc>
      </w:tr>
    </w:tbl>
    <w:p w14:paraId="09F5DC64">
      <w:pPr>
        <w:jc w:val="center"/>
      </w:pPr>
      <w:r>
        <w:rPr>
          <w:rFonts w:hint="eastAsia"/>
        </w:rPr>
        <w:t>表 3-1（续）</w:t>
      </w:r>
    </w:p>
    <w:tbl>
      <w:tblPr>
        <w:tblStyle w:val="15"/>
        <w:tblW w:w="4815"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7" w:type="dxa"/>
          <w:bottom w:w="0" w:type="dxa"/>
          <w:right w:w="107" w:type="dxa"/>
        </w:tblCellMar>
      </w:tblPr>
      <w:tblGrid>
        <w:gridCol w:w="867"/>
        <w:gridCol w:w="1749"/>
        <w:gridCol w:w="1784"/>
        <w:gridCol w:w="868"/>
        <w:gridCol w:w="1281"/>
        <w:gridCol w:w="2118"/>
      </w:tblGrid>
      <w:tr w14:paraId="09D630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68" w:hRule="atLeast"/>
          <w:jc w:val="center"/>
        </w:trPr>
        <w:tc>
          <w:tcPr>
            <w:tcW w:w="500" w:type="pct"/>
            <w:tcBorders>
              <w:top w:val="single" w:color="auto" w:sz="12" w:space="0"/>
              <w:left w:val="nil"/>
              <w:bottom w:val="single" w:color="auto" w:sz="6" w:space="0"/>
              <w:right w:val="nil"/>
            </w:tcBorders>
            <w:shd w:val="clear" w:color="auto" w:fill="auto"/>
            <w:vAlign w:val="center"/>
          </w:tcPr>
          <w:p w14:paraId="6C7D77ED">
            <w:pPr>
              <w:pStyle w:val="35"/>
            </w:pPr>
            <w:r>
              <w:rPr>
                <w:rFonts w:hint="eastAsia"/>
              </w:rPr>
              <w:t>序号</w:t>
            </w:r>
          </w:p>
        </w:tc>
        <w:tc>
          <w:tcPr>
            <w:tcW w:w="1009" w:type="pct"/>
            <w:tcBorders>
              <w:top w:val="single" w:color="auto" w:sz="12" w:space="0"/>
              <w:left w:val="nil"/>
              <w:bottom w:val="single" w:color="auto" w:sz="6" w:space="0"/>
              <w:right w:val="nil"/>
            </w:tcBorders>
            <w:shd w:val="clear" w:color="auto" w:fill="auto"/>
            <w:vAlign w:val="center"/>
          </w:tcPr>
          <w:p w14:paraId="246EADB2">
            <w:pPr>
              <w:pStyle w:val="35"/>
            </w:pPr>
            <w:r>
              <w:rPr>
                <w:rFonts w:hint="eastAsia"/>
              </w:rPr>
              <w:t>字段名</w:t>
            </w:r>
          </w:p>
        </w:tc>
        <w:tc>
          <w:tcPr>
            <w:tcW w:w="1029" w:type="pct"/>
            <w:tcBorders>
              <w:top w:val="single" w:color="auto" w:sz="12" w:space="0"/>
              <w:left w:val="nil"/>
              <w:bottom w:val="single" w:color="auto" w:sz="6" w:space="0"/>
              <w:right w:val="nil"/>
            </w:tcBorders>
            <w:shd w:val="clear" w:color="auto" w:fill="auto"/>
            <w:vAlign w:val="center"/>
          </w:tcPr>
          <w:p w14:paraId="450A3D09">
            <w:pPr>
              <w:pStyle w:val="35"/>
            </w:pPr>
            <w:r>
              <w:rPr>
                <w:rFonts w:hint="eastAsia"/>
              </w:rPr>
              <w:t>类型</w:t>
            </w:r>
          </w:p>
        </w:tc>
        <w:tc>
          <w:tcPr>
            <w:tcW w:w="501" w:type="pct"/>
            <w:tcBorders>
              <w:top w:val="single" w:color="auto" w:sz="12" w:space="0"/>
              <w:left w:val="nil"/>
              <w:bottom w:val="single" w:color="auto" w:sz="6" w:space="0"/>
              <w:right w:val="nil"/>
            </w:tcBorders>
            <w:shd w:val="clear" w:color="auto" w:fill="auto"/>
            <w:vAlign w:val="center"/>
          </w:tcPr>
          <w:p w14:paraId="34D46507">
            <w:pPr>
              <w:pStyle w:val="35"/>
            </w:pPr>
            <w:r>
              <w:rPr>
                <w:rFonts w:hint="eastAsia"/>
              </w:rPr>
              <w:t>长度</w:t>
            </w:r>
          </w:p>
        </w:tc>
        <w:tc>
          <w:tcPr>
            <w:tcW w:w="739" w:type="pct"/>
            <w:tcBorders>
              <w:top w:val="single" w:color="auto" w:sz="12" w:space="0"/>
              <w:left w:val="nil"/>
              <w:bottom w:val="single" w:color="auto" w:sz="6" w:space="0"/>
              <w:right w:val="nil"/>
            </w:tcBorders>
            <w:shd w:val="clear" w:color="auto" w:fill="auto"/>
            <w:vAlign w:val="center"/>
          </w:tcPr>
          <w:p w14:paraId="53348074">
            <w:pPr>
              <w:pStyle w:val="35"/>
            </w:pPr>
            <w:r>
              <w:rPr>
                <w:rFonts w:hint="eastAsia"/>
              </w:rPr>
              <w:t>是否为空</w:t>
            </w:r>
          </w:p>
        </w:tc>
        <w:tc>
          <w:tcPr>
            <w:tcW w:w="1222" w:type="pct"/>
            <w:tcBorders>
              <w:top w:val="single" w:color="auto" w:sz="12" w:space="0"/>
              <w:left w:val="nil"/>
              <w:bottom w:val="single" w:color="auto" w:sz="6" w:space="0"/>
              <w:right w:val="nil"/>
            </w:tcBorders>
            <w:shd w:val="clear" w:color="auto" w:fill="auto"/>
            <w:vAlign w:val="center"/>
          </w:tcPr>
          <w:p w14:paraId="2030C3D9">
            <w:pPr>
              <w:pStyle w:val="35"/>
            </w:pPr>
            <w:r>
              <w:rPr>
                <w:rFonts w:hint="eastAsia"/>
              </w:rPr>
              <w:t>注释</w:t>
            </w:r>
          </w:p>
        </w:tc>
      </w:tr>
      <w:tr w14:paraId="1916A0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4</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phone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11</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用户绑定用于验证码登录的手机号</w:t>
            </w:r>
          </w:p>
        </w:tc>
      </w:tr>
      <w:tr w14:paraId="019B21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5</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gender</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tinyint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用户性别：0-未知，1-男，2-女，默认0</w:t>
            </w:r>
          </w:p>
        </w:tc>
      </w:tr>
      <w:tr w14:paraId="0DB030B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6</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avatar</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255</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用户头像在腾讯云/阿里云 OSS 中的访问 URL</w:t>
            </w:r>
          </w:p>
        </w:tc>
      </w:tr>
      <w:tr w14:paraId="2A7593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7</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user_type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tinyint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用户类型：1-普通用户 2-管理员，默认1</w:t>
            </w:r>
          </w:p>
        </w:tc>
      </w:tr>
      <w:tr w14:paraId="4002CD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8</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member_info_id</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bigint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关联的会员信息表主键 ID</w:t>
            </w:r>
          </w:p>
        </w:tc>
      </w:tr>
      <w:tr w14:paraId="65E3EA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9</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consumption_info_id</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bigint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关联的消费详情表主键 ID</w:t>
            </w:r>
          </w:p>
        </w:tc>
      </w:tr>
      <w:tr w14:paraId="6BAAA7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10</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create_time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datetime</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账户在系统创建的初始时间</w:t>
            </w:r>
          </w:p>
        </w:tc>
      </w:tr>
      <w:tr w14:paraId="1D0D7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11</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update_time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datetime</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账户信息最近一次修改更新时间</w:t>
            </w:r>
          </w:p>
        </w:tc>
      </w:tr>
      <w:tr w14:paraId="18533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12</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status</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tinyint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账户状态（0=禁用, 1=激活），默认1</w:t>
            </w:r>
          </w:p>
        </w:tc>
      </w:tr>
      <w:tr w14:paraId="0E75F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13</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last_ip</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varchar</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45</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最后登录 IP</w:t>
            </w:r>
          </w:p>
        </w:tc>
      </w:tr>
      <w:tr w14:paraId="5E2293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14</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last_time</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datetime</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最后登录时间</w:t>
            </w:r>
          </w:p>
        </w:tc>
      </w:tr>
      <w:tr w14:paraId="2A667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15</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remark</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text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是</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备注说明</w:t>
            </w:r>
          </w:p>
        </w:tc>
      </w:tr>
      <w:tr w14:paraId="138A48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16</w:t>
            </w:r>
          </w:p>
        </w:tc>
        <w:tc>
          <w:tcPr>
            <w:tcW w:w="100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deleted</w:t>
            </w:r>
          </w:p>
        </w:tc>
        <w:tc>
          <w:tcPr>
            <w:tcW w:w="102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tinyint</w:t>
            </w:r>
          </w:p>
        </w:tc>
        <w:tc>
          <w:tcPr>
            <w:tcW w:w="501"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w:t>
            </w:r>
          </w:p>
        </w:tc>
        <w:tc>
          <w:tcPr>
            <w:tcW w:w="739"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否</w:t>
            </w:r>
          </w:p>
        </w:tc>
        <w:tc>
          <w:tcPr>
            <w:tcW w:w="1222" w:type="pct"/>
            <w:tcBorders>
              <w:top w:val="nil"/>
              <w:left w:val="nil"/>
              <w:bottom w:val="nil"/>
              <w:right w:val="nil"/>
            </w:tcBorders>
            <w:shd w:val="clear" w:color="auto" w:fill="auto"/>
            <w:vAlign w:val="center"/>
          </w:tcPr>
          <w:p>
            <w:pPr>
              <w:spacing w:before="40" w:after="40" w:line="276" w:lineRule="auto"/>
            </w:pPr>
            <w:r/>
            <w:r>
              <w:rPr>
                <w:rFonts w:ascii="Times New Roman" w:hAnsi="Times New Roman" w:eastAsia="宋体"/>
                <w:sz w:val="19"/>
              </w:rPr>
              <w:t>逻辑删除（0=正常, 1=删除），默认0</w:t>
            </w:r>
          </w:p>
        </w:tc>
      </w:tr>
      <w:tr w14:paraId="1F7633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nil"/>
              <w:right w:val="nil"/>
            </w:tcBorders>
            <w:shd w:val="clear" w:color="auto" w:fill="auto"/>
            <w:vAlign w:val="center"/>
          </w:tcPr>
          <w:p w14:paraId="3B0519BA">
            <w:pPr>
              <w:pStyle w:val="35"/>
            </w:pPr>
            <w:r>
              <w:t>17</w:t>
            </w:r>
          </w:p>
        </w:tc>
        <w:tc>
          <w:tcPr>
            <w:tcW w:w="1009" w:type="pct"/>
            <w:tcBorders>
              <w:top w:val="nil"/>
              <w:left w:val="nil"/>
              <w:bottom w:val="nil"/>
              <w:right w:val="nil"/>
            </w:tcBorders>
            <w:shd w:val="clear" w:color="auto" w:fill="auto"/>
            <w:vAlign w:val="center"/>
          </w:tcPr>
          <w:p w14:paraId="4DB8C74A">
            <w:pPr>
              <w:pStyle w:val="35"/>
            </w:pPr>
            <w:r>
              <w:t>bankCard</w:t>
            </w:r>
          </w:p>
        </w:tc>
        <w:tc>
          <w:tcPr>
            <w:tcW w:w="1029" w:type="pct"/>
            <w:tcBorders>
              <w:top w:val="nil"/>
              <w:left w:val="nil"/>
              <w:bottom w:val="nil"/>
              <w:right w:val="nil"/>
            </w:tcBorders>
            <w:shd w:val="clear" w:color="auto" w:fill="auto"/>
            <w:vAlign w:val="center"/>
          </w:tcPr>
          <w:p w14:paraId="44C2501A">
            <w:pPr>
              <w:pStyle w:val="35"/>
            </w:pPr>
            <w:r>
              <w:t>varchar</w:t>
            </w:r>
          </w:p>
        </w:tc>
        <w:tc>
          <w:tcPr>
            <w:tcW w:w="501" w:type="pct"/>
            <w:tcBorders>
              <w:top w:val="nil"/>
              <w:left w:val="nil"/>
              <w:bottom w:val="nil"/>
              <w:right w:val="nil"/>
            </w:tcBorders>
            <w:shd w:val="clear" w:color="auto" w:fill="auto"/>
            <w:vAlign w:val="center"/>
          </w:tcPr>
          <w:p w14:paraId="6D87D6B3">
            <w:pPr>
              <w:pStyle w:val="35"/>
            </w:pPr>
            <w:r>
              <w:rPr>
                <w:rFonts w:hint="eastAsia"/>
              </w:rPr>
              <w:t>20</w:t>
            </w:r>
          </w:p>
        </w:tc>
        <w:tc>
          <w:tcPr>
            <w:tcW w:w="739" w:type="pct"/>
            <w:tcBorders>
              <w:top w:val="nil"/>
              <w:left w:val="nil"/>
              <w:bottom w:val="nil"/>
              <w:right w:val="nil"/>
            </w:tcBorders>
            <w:shd w:val="clear" w:color="auto" w:fill="auto"/>
            <w:vAlign w:val="center"/>
          </w:tcPr>
          <w:p w14:paraId="0F448864">
            <w:pPr>
              <w:pStyle w:val="35"/>
            </w:pPr>
            <w:r>
              <w:rPr>
                <w:rFonts w:hint="eastAsia"/>
              </w:rPr>
              <w:t>是</w:t>
            </w:r>
          </w:p>
        </w:tc>
        <w:tc>
          <w:tcPr>
            <w:tcW w:w="1222" w:type="pct"/>
            <w:tcBorders>
              <w:top w:val="nil"/>
              <w:left w:val="nil"/>
              <w:bottom w:val="nil"/>
              <w:right w:val="nil"/>
            </w:tcBorders>
            <w:shd w:val="clear" w:color="auto" w:fill="auto"/>
            <w:vAlign w:val="center"/>
          </w:tcPr>
          <w:p w14:paraId="53312571">
            <w:pPr>
              <w:pStyle w:val="35"/>
            </w:pPr>
            <w:r>
              <w:rPr>
                <w:rFonts w:hint="eastAsia"/>
              </w:rPr>
              <w:t>银行卡</w:t>
            </w:r>
          </w:p>
        </w:tc>
      </w:tr>
      <w:tr w14:paraId="39F63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7" w:type="dxa"/>
            <w:bottom w:w="0" w:type="dxa"/>
            <w:right w:w="107" w:type="dxa"/>
          </w:tblCellMar>
        </w:tblPrEx>
        <w:trPr>
          <w:trHeight w:val="313" w:hRule="atLeast"/>
          <w:jc w:val="center"/>
        </w:trPr>
        <w:tc>
          <w:tcPr>
            <w:tcW w:w="500" w:type="pct"/>
            <w:tcBorders>
              <w:top w:val="nil"/>
              <w:left w:val="nil"/>
              <w:bottom w:val="single" w:color="auto" w:sz="12" w:space="0"/>
              <w:right w:val="nil"/>
            </w:tcBorders>
            <w:shd w:val="clear" w:color="auto" w:fill="auto"/>
            <w:vAlign w:val="center"/>
          </w:tcPr>
          <w:p w14:paraId="14B49BB8">
            <w:pPr>
              <w:pStyle w:val="35"/>
            </w:pPr>
            <w:r>
              <w:t>18</w:t>
            </w:r>
          </w:p>
        </w:tc>
        <w:tc>
          <w:tcPr>
            <w:tcW w:w="1009" w:type="pct"/>
            <w:tcBorders>
              <w:top w:val="nil"/>
              <w:left w:val="nil"/>
              <w:bottom w:val="single" w:color="auto" w:sz="12" w:space="0"/>
              <w:right w:val="nil"/>
            </w:tcBorders>
            <w:shd w:val="clear" w:color="auto" w:fill="auto"/>
            <w:vAlign w:val="center"/>
          </w:tcPr>
          <w:p w14:paraId="6FC6A786">
            <w:pPr>
              <w:pStyle w:val="35"/>
            </w:pPr>
            <w:r>
              <w:t>userRank</w:t>
            </w:r>
          </w:p>
        </w:tc>
        <w:tc>
          <w:tcPr>
            <w:tcW w:w="1029" w:type="pct"/>
            <w:tcBorders>
              <w:top w:val="nil"/>
              <w:left w:val="nil"/>
              <w:bottom w:val="single" w:color="auto" w:sz="12" w:space="0"/>
              <w:right w:val="nil"/>
            </w:tcBorders>
            <w:shd w:val="clear" w:color="auto" w:fill="auto"/>
            <w:vAlign w:val="center"/>
          </w:tcPr>
          <w:p w14:paraId="3315BD09">
            <w:pPr>
              <w:pStyle w:val="35"/>
            </w:pPr>
            <w:r>
              <w:t>varchar</w:t>
            </w:r>
          </w:p>
        </w:tc>
        <w:tc>
          <w:tcPr>
            <w:tcW w:w="501" w:type="pct"/>
            <w:tcBorders>
              <w:top w:val="nil"/>
              <w:left w:val="nil"/>
              <w:bottom w:val="single" w:color="auto" w:sz="12" w:space="0"/>
              <w:right w:val="nil"/>
            </w:tcBorders>
            <w:shd w:val="clear" w:color="auto" w:fill="auto"/>
            <w:vAlign w:val="center"/>
          </w:tcPr>
          <w:p w14:paraId="6401D7C3">
            <w:pPr>
              <w:pStyle w:val="35"/>
            </w:pPr>
            <w:r>
              <w:rPr>
                <w:rFonts w:hint="eastAsia"/>
              </w:rPr>
              <w:t>2</w:t>
            </w:r>
          </w:p>
        </w:tc>
        <w:tc>
          <w:tcPr>
            <w:tcW w:w="739" w:type="pct"/>
            <w:tcBorders>
              <w:top w:val="nil"/>
              <w:left w:val="nil"/>
              <w:bottom w:val="single" w:color="auto" w:sz="12" w:space="0"/>
              <w:right w:val="nil"/>
            </w:tcBorders>
            <w:shd w:val="clear" w:color="auto" w:fill="auto"/>
            <w:vAlign w:val="center"/>
          </w:tcPr>
          <w:p w14:paraId="35BF3758">
            <w:pPr>
              <w:pStyle w:val="35"/>
            </w:pPr>
            <w:r>
              <w:rPr>
                <w:rFonts w:hint="eastAsia"/>
              </w:rPr>
              <w:t>否</w:t>
            </w:r>
          </w:p>
        </w:tc>
        <w:tc>
          <w:tcPr>
            <w:tcW w:w="1222" w:type="pct"/>
            <w:tcBorders>
              <w:top w:val="nil"/>
              <w:left w:val="nil"/>
              <w:bottom w:val="single" w:color="auto" w:sz="12" w:space="0"/>
              <w:right w:val="nil"/>
            </w:tcBorders>
            <w:shd w:val="clear" w:color="auto" w:fill="auto"/>
            <w:vAlign w:val="center"/>
          </w:tcPr>
          <w:p w14:paraId="03BB0D34">
            <w:pPr>
              <w:pStyle w:val="35"/>
            </w:pPr>
            <w:r>
              <w:rPr>
                <w:rFonts w:hint="eastAsia"/>
              </w:rPr>
              <w:t>客户等级</w:t>
            </w:r>
          </w:p>
        </w:tc>
      </w:tr>
    </w:tbl>
    <w:p w14:paraId="7D4B1A98"/>
    <w:p w14:paraId="7D2017AB">
      <w:pPr>
        <w:pStyle w:val="26"/>
        <w:numPr>
          <w:ilvl w:val="1"/>
          <w:numId w:val="4"/>
        </w:numPr>
        <w:spacing w:line="460" w:lineRule="exact"/>
        <w:ind w:left="0" w:firstLine="480"/>
        <w:rPr>
          <w:rFonts w:eastAsiaTheme="minorEastAsia"/>
          <w:sz w:val="24"/>
        </w:rPr>
      </w:pPr>
      <w:r>
        <w:rPr>
          <w:rFonts w:hint="eastAsia"/>
          <w:sz w:val="24"/>
        </w:rPr>
        <w:t>activation_codes 表结构如表 3-2 所示。</w:t>
      </w:r>
    </w:p>
    <w:p w14:paraId="53390357">
      <w:pPr>
        <w:pStyle w:val="5"/>
        <w:keepNext/>
        <w:jc w:val="center"/>
        <w:rPr>
          <w:rFonts w:hint="eastAsia" w:asciiTheme="minorEastAsia" w:hAnsiTheme="minorEastAsia" w:eastAsiaTheme="minorEastAsia"/>
          <w:sz w:val="21"/>
          <w:szCs w:val="21"/>
        </w:rPr>
      </w:pPr>
      <w:r>
        <w:rPr>
          <w:rFonts w:hint="eastAsia" w:ascii="宋体" w:hAnsi="宋体" w:eastAsia="宋体"/>
          <w:sz w:val="21"/>
          <w:szCs w:val="21"/>
        </w:rPr>
        <w:t>表 3-2 activation_codes 激活码表</w:t>
      </w:r>
      <w:r>
        <w:rPr>
          <w:rFonts w:ascii="Times New Roman" w:hAnsi="Times New Roman" w:eastAsia="宋体" w:cs="Times New Roman"/>
          <w:sz w:val="21"/>
          <w:szCs w:val="21"/>
        </w:rPr>
      </w:r>
      <w:r>
        <w:rPr>
          <w:rFonts w:ascii="Times New Roman" w:hAnsi="Times New Roman" w:cs="Times New Roman"/>
          <w:sz w:val="21"/>
          <w:szCs w:val="21"/>
        </w:rPr>
      </w:r>
      <w:r>
        <w:rPr>
          <w:rFonts w:hint="eastAsia" w:asciiTheme="minorEastAsia" w:hAnsiTheme="minorEastAsia" w:eastAsiaTheme="minorEastAsia"/>
          <w:sz w:val="21"/>
          <w:szCs w:val="21"/>
        </w:rPr>
      </w:r>
    </w:p>
    <w:tbl>
      <w:tblPr>
        <w:tblStyle w:val="15"/>
        <w:tblW w:w="850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27"/>
        <w:gridCol w:w="1661"/>
        <w:gridCol w:w="1731"/>
        <w:gridCol w:w="819"/>
        <w:gridCol w:w="1235"/>
        <w:gridCol w:w="2131"/>
      </w:tblGrid>
      <w:tr w14:paraId="37A0E7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61" w:hRule="atLeast"/>
          <w:jc w:val="center"/>
        </w:trPr>
        <w:tc>
          <w:tcPr>
            <w:tcW w:w="927" w:type="dxa"/>
            <w:tcBorders>
              <w:top w:val="single" w:color="auto" w:sz="12" w:space="0"/>
              <w:left w:val="nil"/>
              <w:bottom w:val="single" w:color="auto" w:sz="4" w:space="0"/>
              <w:right w:val="nil"/>
            </w:tcBorders>
            <w:vAlign w:val="center"/>
          </w:tcPr>
          <w:p w14:paraId="5DA5317F">
            <w:pPr>
              <w:pStyle w:val="35"/>
            </w:pPr>
            <w:r>
              <w:rPr>
                <w:rFonts w:hint="eastAsia"/>
              </w:rPr>
              <w:t>序号</w:t>
            </w:r>
          </w:p>
        </w:tc>
        <w:tc>
          <w:tcPr>
            <w:tcW w:w="1661" w:type="dxa"/>
            <w:tcBorders>
              <w:top w:val="single" w:color="auto" w:sz="12" w:space="0"/>
              <w:left w:val="nil"/>
              <w:bottom w:val="single" w:color="auto" w:sz="4" w:space="0"/>
              <w:right w:val="nil"/>
            </w:tcBorders>
            <w:vAlign w:val="center"/>
          </w:tcPr>
          <w:p w14:paraId="2568B7F8">
            <w:pPr>
              <w:pStyle w:val="35"/>
            </w:pPr>
            <w:r>
              <w:rPr>
                <w:rFonts w:hint="eastAsia"/>
              </w:rPr>
              <w:t>字段名</w:t>
            </w:r>
          </w:p>
        </w:tc>
        <w:tc>
          <w:tcPr>
            <w:tcW w:w="1731" w:type="dxa"/>
            <w:tcBorders>
              <w:top w:val="single" w:color="auto" w:sz="12" w:space="0"/>
              <w:left w:val="nil"/>
              <w:bottom w:val="single" w:color="auto" w:sz="4" w:space="0"/>
              <w:right w:val="nil"/>
            </w:tcBorders>
            <w:vAlign w:val="center"/>
          </w:tcPr>
          <w:p w14:paraId="3D666EF9">
            <w:pPr>
              <w:pStyle w:val="35"/>
            </w:pPr>
            <w:r>
              <w:rPr>
                <w:rFonts w:hint="eastAsia"/>
              </w:rPr>
              <w:t>类型</w:t>
            </w:r>
          </w:p>
        </w:tc>
        <w:tc>
          <w:tcPr>
            <w:tcW w:w="819" w:type="dxa"/>
            <w:tcBorders>
              <w:top w:val="single" w:color="auto" w:sz="12" w:space="0"/>
              <w:left w:val="nil"/>
              <w:bottom w:val="single" w:color="auto" w:sz="4" w:space="0"/>
              <w:right w:val="nil"/>
            </w:tcBorders>
            <w:vAlign w:val="center"/>
          </w:tcPr>
          <w:p w14:paraId="1DBC240B">
            <w:pPr>
              <w:pStyle w:val="35"/>
            </w:pPr>
            <w:r>
              <w:rPr>
                <w:rFonts w:hint="eastAsia"/>
              </w:rPr>
              <w:t>长度</w:t>
            </w:r>
          </w:p>
        </w:tc>
        <w:tc>
          <w:tcPr>
            <w:tcW w:w="1235" w:type="dxa"/>
            <w:tcBorders>
              <w:top w:val="single" w:color="auto" w:sz="12" w:space="0"/>
              <w:left w:val="nil"/>
              <w:bottom w:val="single" w:color="auto" w:sz="4" w:space="0"/>
              <w:right w:val="nil"/>
            </w:tcBorders>
            <w:vAlign w:val="center"/>
          </w:tcPr>
          <w:p w14:paraId="55BF8ED0">
            <w:pPr>
              <w:pStyle w:val="35"/>
            </w:pPr>
            <w:r>
              <w:rPr>
                <w:rFonts w:hint="eastAsia"/>
              </w:rPr>
              <w:t>是否为空</w:t>
            </w:r>
          </w:p>
        </w:tc>
        <w:tc>
          <w:tcPr>
            <w:tcW w:w="2131" w:type="dxa"/>
            <w:tcBorders>
              <w:top w:val="single" w:color="auto" w:sz="12" w:space="0"/>
              <w:left w:val="nil"/>
              <w:bottom w:val="single" w:color="auto" w:sz="4" w:space="0"/>
              <w:right w:val="nil"/>
            </w:tcBorders>
            <w:vAlign w:val="center"/>
          </w:tcPr>
          <w:p w14:paraId="30D6B315">
            <w:pPr>
              <w:pStyle w:val="35"/>
            </w:pPr>
            <w:r>
              <w:rPr>
                <w:rFonts w:hint="eastAsia"/>
              </w:rPr>
              <w:t>说明</w:t>
            </w:r>
          </w:p>
        </w:tc>
      </w:tr>
      <w:tr w14:paraId="4DE860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2" w:hRule="atLeast"/>
          <w:jc w:val="center"/>
        </w:trPr>
        <w:tc>
          <w:tcPr>
            <w:tcW w:w="927"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1</w:t>
            </w:r>
          </w:p>
        </w:tc>
        <w:tc>
          <w:tcPr>
            <w:tcW w:w="1661"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id</w:t>
            </w:r>
          </w:p>
        </w:tc>
        <w:tc>
          <w:tcPr>
            <w:tcW w:w="1731"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bigint</w:t>
            </w:r>
          </w:p>
        </w:tc>
        <w:tc>
          <w:tcPr>
            <w:tcW w:w="819"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否</w:t>
            </w:r>
          </w:p>
        </w:tc>
        <w:tc>
          <w:tcPr>
            <w:tcW w:w="2131" w:type="dxa"/>
            <w:tcBorders>
              <w:top w:val="single" w:color="auto" w:sz="4" w:space="0"/>
              <w:left w:val="nil"/>
              <w:bottom w:val="nil"/>
              <w:right w:val="nil"/>
            </w:tcBorders>
            <w:vAlign w:val="center"/>
          </w:tcPr>
          <w:p>
            <w:pPr>
              <w:spacing w:before="40" w:after="40" w:line="276" w:lineRule="auto"/>
            </w:pPr>
            <w:r/>
            <w:r>
              <w:rPr>
                <w:rFonts w:ascii="Times New Roman" w:hAnsi="Times New Roman" w:eastAsia="宋体"/>
                <w:sz w:val="19"/>
              </w:rPr>
              <w:t>主键，自增 ID</w:t>
            </w:r>
          </w:p>
        </w:tc>
      </w:tr>
      <w:tr w14:paraId="2580DA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7"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2</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code</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varchar</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8</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否</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8位大小写字母和数字组合的唯一激活码</w:t>
            </w:r>
          </w:p>
        </w:tc>
      </w:tr>
      <w:tr w14:paraId="669608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3</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member_level</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tinyint</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是</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会员等级：0-非会员，1-普通会员，2-高级会员</w:t>
            </w:r>
          </w:p>
        </w:tc>
      </w:tr>
      <w:tr w14:paraId="3DA26B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4</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duration_days</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int</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是</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会员兑换有效天数，如 30 天</w:t>
            </w:r>
          </w:p>
        </w:tc>
      </w:tr>
      <w:tr w14:paraId="28DF5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18"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5</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status</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tinyint</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否</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状态：0-有效，1-已使用，2-已过期</w:t>
            </w:r>
          </w:p>
        </w:tc>
      </w:tr>
      <w:tr w14:paraId="084FC0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nil"/>
              <w:right w:val="nil"/>
            </w:tcBorders>
            <w:vAlign w:val="center"/>
          </w:tcPr>
          <w:p>
            <w:pPr>
              <w:spacing w:before="40" w:after="40" w:line="276" w:lineRule="auto"/>
            </w:pPr>
            <w:r/>
            <w:r>
              <w:rPr>
                <w:rFonts w:ascii="Times New Roman" w:hAnsi="Times New Roman" w:eastAsia="宋体"/>
                <w:sz w:val="19"/>
              </w:rPr>
              <w:t>6</w:t>
            </w:r>
          </w:p>
        </w:tc>
        <w:tc>
          <w:tcPr>
            <w:tcW w:w="1661" w:type="dxa"/>
            <w:tcBorders>
              <w:top w:val="nil"/>
              <w:left w:val="nil"/>
              <w:bottom w:val="nil"/>
              <w:right w:val="nil"/>
            </w:tcBorders>
            <w:vAlign w:val="center"/>
          </w:tcPr>
          <w:p>
            <w:pPr>
              <w:spacing w:before="40" w:after="40" w:line="276" w:lineRule="auto"/>
            </w:pPr>
            <w:r/>
            <w:r>
              <w:rPr>
                <w:rFonts w:ascii="Times New Roman" w:hAnsi="Times New Roman" w:eastAsia="宋体"/>
                <w:sz w:val="19"/>
              </w:rPr>
              <w:t>user_id</w:t>
            </w:r>
          </w:p>
        </w:tc>
        <w:tc>
          <w:tcPr>
            <w:tcW w:w="1731" w:type="dxa"/>
            <w:tcBorders>
              <w:top w:val="nil"/>
              <w:left w:val="nil"/>
              <w:bottom w:val="nil"/>
              <w:right w:val="nil"/>
            </w:tcBorders>
            <w:vAlign w:val="center"/>
          </w:tcPr>
          <w:p>
            <w:pPr>
              <w:spacing w:before="40" w:after="40" w:line="276" w:lineRule="auto"/>
            </w:pPr>
            <w:r/>
            <w:r>
              <w:rPr>
                <w:rFonts w:ascii="Times New Roman" w:hAnsi="Times New Roman" w:eastAsia="宋体"/>
                <w:sz w:val="19"/>
              </w:rPr>
              <w:t>bigint</w:t>
            </w:r>
          </w:p>
        </w:tc>
        <w:tc>
          <w:tcPr>
            <w:tcW w:w="819" w:type="dxa"/>
            <w:tcBorders>
              <w:top w:val="nil"/>
              <w:left w:val="nil"/>
              <w:bottom w:val="nil"/>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nil"/>
              <w:right w:val="nil"/>
            </w:tcBorders>
            <w:vAlign w:val="center"/>
          </w:tcPr>
          <w:p>
            <w:pPr>
              <w:spacing w:before="40" w:after="40" w:line="276" w:lineRule="auto"/>
            </w:pPr>
            <w:r/>
            <w:r>
              <w:rPr>
                <w:rFonts w:ascii="Times New Roman" w:hAnsi="Times New Roman" w:eastAsia="宋体"/>
                <w:sz w:val="19"/>
              </w:rPr>
              <w:t>是</w:t>
            </w:r>
          </w:p>
        </w:tc>
        <w:tc>
          <w:tcPr>
            <w:tcW w:w="2131" w:type="dxa"/>
            <w:tcBorders>
              <w:top w:val="nil"/>
              <w:left w:val="nil"/>
              <w:bottom w:val="nil"/>
              <w:right w:val="nil"/>
            </w:tcBorders>
            <w:vAlign w:val="center"/>
          </w:tcPr>
          <w:p>
            <w:pPr>
              <w:spacing w:before="40" w:after="40" w:line="276" w:lineRule="auto"/>
            </w:pPr>
            <w:r/>
            <w:r>
              <w:rPr>
                <w:rFonts w:ascii="Times New Roman" w:hAnsi="Times New Roman" w:eastAsia="宋体"/>
                <w:sz w:val="19"/>
              </w:rPr>
              <w:t>使用该激活码兑换的用户唯一主键 ID</w:t>
            </w:r>
          </w:p>
        </w:tc>
      </w:tr>
      <w:tr w14:paraId="017235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9" w:hRule="atLeast"/>
          <w:jc w:val="center"/>
        </w:trPr>
        <w:tc>
          <w:tcPr>
            <w:tcW w:w="927"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7</w:t>
            </w:r>
          </w:p>
        </w:tc>
        <w:tc>
          <w:tcPr>
            <w:tcW w:w="1661"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use_time</w:t>
            </w:r>
          </w:p>
        </w:tc>
        <w:tc>
          <w:tcPr>
            <w:tcW w:w="1731"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datetime</w:t>
            </w:r>
          </w:p>
        </w:tc>
        <w:tc>
          <w:tcPr>
            <w:tcW w:w="819"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w:t>
            </w:r>
          </w:p>
        </w:tc>
        <w:tc>
          <w:tcPr>
            <w:tcW w:w="1235"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是</w:t>
            </w:r>
          </w:p>
        </w:tc>
        <w:tc>
          <w:tcPr>
            <w:tcW w:w="2131" w:type="dxa"/>
            <w:tcBorders>
              <w:top w:val="nil"/>
              <w:left w:val="nil"/>
              <w:bottom w:val="single" w:color="auto" w:sz="12" w:space="0"/>
              <w:right w:val="nil"/>
            </w:tcBorders>
            <w:vAlign w:val="center"/>
          </w:tcPr>
          <w:p>
            <w:pPr>
              <w:spacing w:before="40" w:after="40" w:line="276" w:lineRule="auto"/>
            </w:pPr>
            <w:r/>
            <w:r>
              <w:rPr>
                <w:rFonts w:ascii="Times New Roman" w:hAnsi="Times New Roman" w:eastAsia="宋体"/>
                <w:sz w:val="19"/>
              </w:rPr>
              <w:t>该激活码被用户兑换使用的时间</w:t>
            </w:r>
          </w:p>
        </w:tc>
      </w:tr>
    </w:tbl>
    <w:p w14:paraId="36A4718E"/>
    <w:p w14:paraId="7193750B">
      <w:pPr>
        <w:pStyle w:val="3"/>
        <w:spacing w:line="460" w:lineRule="exact"/>
        <w:rPr>
          <w:rStyle w:val="28"/>
          <w:rFonts w:ascii="Times New Roman" w:hAnsi="Times New Roman" w:eastAsia="黑体"/>
          <w:b w:val="0"/>
          <w:bCs/>
          <w:sz w:val="30"/>
          <w:szCs w:val="30"/>
        </w:rPr>
      </w:pPr>
      <w:bookmarkStart w:id="44" w:name="_Toc18126"/>
      <w:r>
        <w:rPr>
          <w:rStyle w:val="28"/>
          <w:rFonts w:hint="eastAsia" w:ascii="Times New Roman" w:hAnsi="Times New Roman" w:eastAsia="黑体"/>
          <w:b w:val="0"/>
          <w:bCs/>
          <w:sz w:val="30"/>
          <w:szCs w:val="30"/>
        </w:rPr>
        <w:t>3.4 本章小结</w:t>
      </w:r>
      <w:bookmarkEnd w:id="44"/>
    </w:p>
    <w:p w14:paraId="40FE0A93">
      <w:pPr>
        <w:spacing w:line="460" w:lineRule="exact"/>
        <w:ind w:firstLine="480" w:firstLineChars="200"/>
        <w:rPr>
          <w:rFonts w:hint="eastAsia" w:ascii="黑体" w:hAnsi="黑体" w:eastAsia="黑体"/>
          <w:szCs w:val="21"/>
        </w:rPr>
      </w:pPr>
      <w:r>
        <w:rPr>
          <w:sz w:val="24"/>
        </w:rPr>
        <w:t>本章重点完成了 OYY学院后端管理平台的总体设计。确立了高安全性、核心业务松耦合与强并发结算一致性的设计原则，设计了分层清晰的五大核心功能模块结构树，绘制了全局概念模型的 E-R 图及实体属性图，并给出了 users 表与 activation_codes 表的高规格物理数据库表设计，为具体的编码编码与详细实现构筑了完备的底层底座。</w:t>
      </w:r>
      <w:r>
        <w:rPr>
          <w:rFonts w:hint="eastAsia"/>
          <w:sz w:val="24"/>
        </w:rPr>
      </w:r>
      <w:r>
        <w:rPr>
          <w:rFonts w:hint="eastAsia" w:eastAsiaTheme="minorEastAsia"/>
          <w:sz w:val="24"/>
        </w:rPr>
      </w:r>
      <w:r>
        <w:rPr>
          <w:rFonts w:ascii="黑体" w:hAnsi="黑体" w:eastAsia="黑体"/>
          <w:szCs w:val="21"/>
        </w:rPr>
      </w:r>
    </w:p>
    <w:p w14:paraId="6CE892AD">
      <w:pPr>
        <w:pStyle w:val="2"/>
        <w:numPr>
          <w:ilvl w:val="0"/>
          <w:numId w:val="1"/>
        </w:numPr>
        <w:spacing w:before="156" w:beforeLines="50" w:after="468" w:afterLines="150" w:line="460" w:lineRule="exact"/>
        <w:jc w:val="center"/>
        <w:rPr>
          <w:rFonts w:hint="default" w:ascii="Times New Roman" w:hAnsi="Times New Roman" w:eastAsia="黑体" w:cs="Times New Roman"/>
          <w:b w:val="0"/>
          <w:bCs w:val="0"/>
          <w:sz w:val="32"/>
          <w:szCs w:val="32"/>
        </w:rPr>
      </w:pPr>
      <w:bookmarkStart w:id="45" w:name="_Toc3101"/>
      <w:r>
        <w:rPr>
          <w:rFonts w:hint="default" w:ascii="Times New Roman" w:hAnsi="Times New Roman" w:eastAsia="黑体" w:cs="Times New Roman"/>
          <w:b w:val="0"/>
          <w:bCs w:val="0"/>
          <w:sz w:val="32"/>
          <w:szCs w:val="32"/>
        </w:rPr>
        <w:t>系统详细设计与实现</w:t>
      </w:r>
      <w:r>
        <w:rPr>
          <w:rFonts w:hint="default" w:ascii="Times New Roman" w:hAnsi="Times New Roman" w:cs="Times New Roman"/>
        </w:rPr>
      </w:r>
      <w:r>
        <w:rPr>
          <w:rFonts w:hint="default" w:ascii="Times New Roman" w:hAnsi="Times New Roman" w:eastAsia="黑体" w:cs="Times New Roman"/>
          <w:b w:val="0"/>
          <w:bCs w:val="0"/>
          <w:sz w:val="32"/>
          <w:szCs w:val="32"/>
        </w:rPr>
      </w:r>
      <w:bookmarkEnd w:id="45"/>
    </w:p>
    <w:p w14:paraId="5F33940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OYY学院后端平台的详细设计与实现章节主要介绍“智能 AI 插件工作流编排计费模块”与“会员激活码兑换结算模块”的详细设计。每个核心模块都配备了规范的 UML 时序图、程序流程图和实现说明，以清晰表达核心多线程逻辑与事务结算一致性的编码实践。</w:t>
      </w:r>
    </w:p>
    <w:p w14:paraId="58C2C594">
      <w:pPr>
        <w:pStyle w:val="3"/>
        <w:spacing w:line="460" w:lineRule="exact"/>
        <w:rPr>
          <w:rStyle w:val="28"/>
          <w:rFonts w:hint="default" w:ascii="Times New Roman" w:hAnsi="Times New Roman" w:eastAsia="黑体" w:cs="Times New Roman"/>
          <w:b w:val="0"/>
          <w:bCs/>
          <w:sz w:val="30"/>
          <w:szCs w:val="30"/>
        </w:rPr>
      </w:pPr>
      <w:bookmarkStart w:id="46" w:name="_Toc20871"/>
      <w:r>
        <w:rPr>
          <w:rStyle w:val="28"/>
          <w:rFonts w:hint="default" w:ascii="Times New Roman" w:hAnsi="Times New Roman" w:eastAsia="黑体" w:cs="Times New Roman"/>
          <w:b w:val="0"/>
          <w:bCs/>
          <w:sz w:val="30"/>
          <w:szCs w:val="30"/>
        </w:rPr>
        <w:t>4.1 智能AI插件工作流编排计费模块</w:t>
      </w:r>
      <w:bookmarkEnd w:id="46"/>
    </w:p>
    <w:p w14:paraId="4322B454">
      <w:pPr>
        <w:pStyle w:val="4"/>
        <w:spacing w:line="460" w:lineRule="exact"/>
        <w:rPr>
          <w:rFonts w:hint="default" w:ascii="Times New Roman" w:hAnsi="Times New Roman" w:eastAsia="黑体" w:cs="Times New Roman"/>
          <w:b w:val="0"/>
          <w:bCs w:val="0"/>
          <w:sz w:val="28"/>
          <w:szCs w:val="28"/>
        </w:rPr>
      </w:pPr>
      <w:bookmarkStart w:id="47" w:name="_Toc2485"/>
      <w:r>
        <w:rPr>
          <w:rFonts w:hint="default" w:ascii="Times New Roman" w:hAnsi="Times New Roman" w:eastAsia="黑体" w:cs="Times New Roman"/>
          <w:b w:val="0"/>
          <w:bCs w:val="0"/>
          <w:sz w:val="28"/>
          <w:szCs w:val="28"/>
        </w:rPr>
        <w:t>4.1.1 模块时序图与交互</w:t>
      </w:r>
      <w:bookmarkEnd w:id="47"/>
    </w:p>
    <w:p w14:paraId="48FE3527">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智能 AI 插件工作流编排计费模块是系统提供自动化任务调用的核心。为了实现无状态且并发安全的积分计费，后端基于标准的 JWT 过滤器拦截校验，将学员 ID 注入 ThreadLocal 上下文生命周期，并在统一事务边界内对积分缓存和消费日志进行操作。工作流执行时序图如图 4-1 所示。</w:t>
      </w:r>
    </w:p>
    <w:p w14:paraId="256CD422">
      <w:pPr>
        <w:spacing w:line="460" w:lineRule="exact"/>
        <w:ind w:firstLine="480" w:firstLineChars="200"/>
        <w:rPr>
          <w:rFonts w:hint="default" w:ascii="Times New Roman" w:hAnsi="Times New Roman" w:cs="Times New Roman"/>
        </w:rPr>
      </w:pPr>
      <w:r>
        <w:rPr>
          <w:rFonts w:hint="default" w:ascii="Times New Roman" w:hAnsi="Times New Roman" w:cs="Times New Roman"/>
          <w:sz w:val="24"/>
        </w:rPr>
        <w:t>工作流执行与积分扣减结算时序图如图 4-1 所示。</w:t>
      </w:r>
    </w:p>
    <w:p w14:paraId="10D8235B">
      <w:pPr>
        <w:jc w:val="center"/>
        <w:rPr>
          <w:rFonts w:hint="default" w:ascii="Times New Roman" w:hAnsi="Times New Roman" w:cs="Times New Roman"/>
          <w:szCs w:val="21"/>
        </w:rPr>
      </w:pPr>
      <w:r>
        <w:rPr>
          <w:rFonts w:hint="default" w:ascii="Times New Roman" w:hAnsi="Times New Roman" w:cs="Times New Roman"/>
        </w:rPr>
        <w:drawing>
          <wp:inline distT="0" distB="0" distL="114300" distR="114300">
            <wp:extent cx="3764280" cy="3916045"/>
            <wp:effectExtent l="0" t="0" r="0" b="635"/>
            <wp:docPr id="102"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62"/>
                    <pic:cNvPicPr>
                      <a:picLocks noChangeAspect="1"/>
                    </pic:cNvPicPr>
                  </pic:nvPicPr>
                  <pic:blipFill>
                    <a:blip r:embed="rId18"/>
                    <a:srcRect b="1671"/>
                    <a:stretch>
                      <a:fillRect/>
                    </a:stretch>
                  </pic:blipFill>
                  <pic:spPr>
                    <a:xfrm>
                      <a:off x="0" y="0"/>
                      <a:ext cx="3764280" cy="3916045"/>
                    </a:xfrm>
                    <a:prstGeom prst="rect">
                      <a:avLst/>
                    </a:prstGeom>
                    <a:noFill/>
                    <a:ln>
                      <a:noFill/>
                    </a:ln>
                  </pic:spPr>
                </pic:pic>
              </a:graphicData>
            </a:graphic>
          </wp:inline>
        </w:drawing>
      </w:r>
    </w:p>
    <w:p w14:paraId="5B12D91E">
      <w:pPr>
        <w:jc w:val="center"/>
        <w:rPr>
          <w:rFonts w:hint="default" w:ascii="Times New Roman" w:hAnsi="Times New Roman" w:cs="Times New Roman"/>
        </w:rPr>
      </w:pPr>
      <w:r>
        <w:rPr>
          <w:rFonts w:hint="default" w:ascii="Times New Roman" w:hAnsi="Times New Roman" w:cs="Times New Roman"/>
          <w:szCs w:val="21"/>
        </w:rPr>
        <w:t>图 4-1 工作流执行与积分扣减结算时序图</w:t>
      </w:r>
    </w:p>
    <w:p w14:paraId="60D63FA1">
      <w:pPr>
        <w:pStyle w:val="4"/>
        <w:spacing w:line="460" w:lineRule="exact"/>
        <w:rPr>
          <w:rFonts w:hint="default" w:ascii="Times New Roman" w:hAnsi="Times New Roman" w:eastAsia="黑体" w:cs="Times New Roman"/>
          <w:b w:val="0"/>
          <w:bCs w:val="0"/>
          <w:sz w:val="28"/>
          <w:szCs w:val="28"/>
        </w:rPr>
      </w:pPr>
      <w:bookmarkStart w:id="48" w:name="_Toc11933"/>
      <w:r>
        <w:rPr>
          <w:rFonts w:hint="default" w:ascii="Times New Roman" w:hAnsi="Times New Roman" w:eastAsia="黑体" w:cs="Times New Roman"/>
          <w:b w:val="0"/>
          <w:bCs w:val="0"/>
          <w:sz w:val="28"/>
          <w:szCs w:val="28"/>
        </w:rPr>
        <w:t>4.1.2 计费与结算核心逻辑流程图</w:t>
      </w:r>
      <w:bookmarkEnd w:id="48"/>
    </w:p>
    <w:p w14:paraId="10C0A228">
      <w:pPr>
        <w:spacing w:line="460" w:lineRule="exact"/>
        <w:ind w:firstLine="480" w:firstLineChars="200"/>
        <w:rPr>
          <w:rFonts w:hint="default" w:ascii="Times New Roman" w:hAnsi="Times New Roman" w:cs="Times New Roman"/>
          <w:sz w:val="24"/>
        </w:rPr>
      </w:pPr>
      <w:r>
        <w:rPr>
          <w:rFonts w:hint="default" w:ascii="Times New Roman" w:hAnsi="Times New Roman" w:cs="Times New Roman"/>
          <w:sz w:val="24"/>
        </w:rPr>
        <w:t>学员在前端工作流配置页面中提交多步 JSON 编排链条并点击“执行”，请求经过 JwtInterceptor 会话拦截注入用户 ID；随后，执行引擎在 @Transactional 事务边界内扣减 Redis 缓存余额并物理持久化消费流水。系统详细流程如图 4-2 所示。</w:t>
      </w:r>
    </w:p>
    <w:p w14:paraId="1653EA98">
      <w:pPr>
        <w:spacing w:line="460" w:lineRule="exact"/>
        <w:ind w:firstLine="480" w:firstLineChars="200"/>
        <w:jc w:val="left"/>
        <w:rPr>
          <w:rFonts w:hint="default" w:ascii="Times New Roman" w:hAnsi="Times New Roman" w:cs="Times New Roman" w:eastAsiaTheme="minorEastAsia"/>
          <w:sz w:val="24"/>
        </w:rPr>
      </w:pPr>
      <w:r>
        <w:rPr>
          <w:rFonts w:hint="default" w:ascii="Times New Roman" w:hAnsi="Times New Roman" w:cs="Times New Roman"/>
          <w:sz w:val="24"/>
        </w:rPr>
        <w:t>会员激活码兑换与结算系统流程图如图 4-2 所示。</w:t>
      </w:r>
      <w:r>
        <w:rPr>
          <w:rFonts w:hint="default" w:ascii="Times New Roman" w:hAnsi="Times New Roman" w:cs="Times New Roman" w:eastAsiaTheme="minorEastAsia"/>
          <w:sz w:val="24"/>
        </w:rPr>
      </w:r>
    </w:p>
    <w:p w14:paraId="2C5B7A4C">
      <w:pPr>
        <w:keepNext/>
        <w:spacing w:line="360" w:lineRule="auto"/>
        <w:jc w:val="center"/>
        <w:rPr>
          <w:rFonts w:hint="default" w:ascii="Times New Roman" w:hAnsi="Times New Roman" w:cs="Times New Roman"/>
        </w:rPr>
      </w:pPr>
      <w:r>
        <w:rPr>
          <w:rFonts w:hint="default" w:ascii="Times New Roman" w:hAnsi="Times New Roman" w:cs="Times New Roman"/>
        </w:rPr>
        <w:drawing>
          <wp:inline distT="0" distB="0" distL="114300" distR="114300">
            <wp:extent cx="2648585" cy="4783455"/>
            <wp:effectExtent l="0" t="0" r="3175" b="1905"/>
            <wp:docPr id="93"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53"/>
                    <pic:cNvPicPr>
                      <a:picLocks noChangeAspect="1"/>
                    </pic:cNvPicPr>
                  </pic:nvPicPr>
                  <pic:blipFill>
                    <a:blip r:embed="rId19"/>
                    <a:stretch>
                      <a:fillRect/>
                    </a:stretch>
                  </pic:blipFill>
                  <pic:spPr>
                    <a:xfrm>
                      <a:off x="0" y="0"/>
                      <a:ext cx="2648585" cy="4783455"/>
                    </a:xfrm>
                    <a:prstGeom prst="rect">
                      <a:avLst/>
                    </a:prstGeom>
                    <a:noFill/>
                    <a:ln>
                      <a:noFill/>
                    </a:ln>
                  </pic:spPr>
                </pic:pic>
              </a:graphicData>
            </a:graphic>
          </wp:inline>
        </w:drawing>
      </w:r>
    </w:p>
    <w:p w14:paraId="31FC7836">
      <w:pPr>
        <w:jc w:val="center"/>
        <w:rPr>
          <w:rFonts w:hint="default" w:ascii="Times New Roman" w:hAnsi="Times New Roman" w:cs="Times New Roman"/>
        </w:rPr>
      </w:pPr>
      <w:r>
        <w:rPr>
          <w:rFonts w:hint="default" w:ascii="Times New Roman" w:hAnsi="Times New Roman" w:cs="Times New Roman"/>
          <w:szCs w:val="21"/>
        </w:rPr>
        <w:t>图 4-2 会员激活码兑换与结算系统流程图</w:t>
      </w:r>
    </w:p>
    <w:p w14:paraId="3D9C7A9F">
      <w:pPr>
        <w:pStyle w:val="3"/>
        <w:spacing w:line="460" w:lineRule="exact"/>
        <w:rPr>
          <w:rStyle w:val="28"/>
          <w:rFonts w:hint="default" w:ascii="Times New Roman" w:hAnsi="Times New Roman" w:eastAsia="黑体" w:cs="Times New Roman"/>
          <w:b w:val="0"/>
          <w:bCs/>
          <w:sz w:val="30"/>
          <w:szCs w:val="30"/>
        </w:rPr>
      </w:pPr>
      <w:bookmarkStart w:id="49" w:name="_Toc25469"/>
      <w:r>
        <w:rPr>
          <w:rStyle w:val="28"/>
          <w:rFonts w:hint="default" w:ascii="Times New Roman" w:hAnsi="Times New Roman" w:eastAsia="黑体" w:cs="Times New Roman"/>
          <w:b w:val="0"/>
          <w:bCs/>
          <w:sz w:val="30"/>
          <w:szCs w:val="30"/>
        </w:rPr>
        <w:t>4.2 会员激活码兑换结算模块</w:t>
      </w:r>
      <w:bookmarkEnd w:id="49"/>
    </w:p>
    <w:p w14:paraId="3718F8C8">
      <w:pPr>
        <w:pStyle w:val="4"/>
        <w:spacing w:line="460" w:lineRule="exact"/>
        <w:rPr>
          <w:rFonts w:hint="default" w:ascii="Times New Roman" w:hAnsi="Times New Roman" w:eastAsia="黑体" w:cs="Times New Roman"/>
          <w:b w:val="0"/>
          <w:bCs w:val="0"/>
          <w:sz w:val="28"/>
          <w:szCs w:val="28"/>
        </w:rPr>
      </w:pPr>
      <w:bookmarkStart w:id="50" w:name="_Toc30275"/>
      <w:r>
        <w:rPr>
          <w:rFonts w:hint="default" w:ascii="Times New Roman" w:hAnsi="Times New Roman" w:eastAsia="黑体" w:cs="Times New Roman"/>
          <w:b w:val="0"/>
          <w:bCs w:val="0"/>
          <w:sz w:val="28"/>
          <w:szCs w:val="28"/>
        </w:rPr>
        <w:t>4.2.1 模块时序图与交互</w:t>
      </w:r>
      <w:bookmarkEnd w:id="50"/>
    </w:p>
    <w:p w14:paraId="56EAF38E">
      <w:pPr>
        <w:jc w:val="center"/>
        <w:rPr>
          <w:rFonts w:hint="default" w:ascii="Times New Roman" w:hAnsi="Times New Roman" w:cs="Times New Roman" w:eastAsiaTheme="minorEastAsia"/>
          <w:kern w:val="0"/>
          <w:sz w:val="24"/>
        </w:rPr>
      </w:pPr>
      <w:r>
        <w:t>会员激活码兑换结算模块主要负责对学员前台提交的 8 位随机码进行极速判定。后端服务提取码元数据，在 MySQL 中进行乐观锁防重发状态拦截，随后动态根据激活码类型，流式将天数追加到 `member_info` 或累加积分至 `balance`，并同步更新 Redis 用户数据，返回统一的封装体。</w:t>
      </w:r>
    </w:p>
    <w:p w14:paraId="76AB0466">
      <w:pPr>
        <w:pStyle w:val="4"/>
        <w:spacing w:line="460" w:lineRule="exact"/>
        <w:rPr>
          <w:rFonts w:hint="default" w:ascii="Times New Roman" w:hAnsi="Times New Roman" w:eastAsia="黑体" w:cs="Times New Roman"/>
          <w:b w:val="0"/>
          <w:bCs w:val="0"/>
          <w:sz w:val="28"/>
          <w:szCs w:val="28"/>
        </w:rPr>
      </w:pPr>
      <w:bookmarkStart w:id="51" w:name="_Toc5429"/>
      <w:r>
        <w:rPr>
          <w:rFonts w:hint="default" w:ascii="Times New Roman" w:hAnsi="Times New Roman" w:eastAsia="黑体" w:cs="Times New Roman"/>
          <w:b w:val="0"/>
          <w:bCs w:val="0"/>
          <w:sz w:val="28"/>
          <w:szCs w:val="28"/>
        </w:rPr>
        <w:t>4.2.2 兑换入库程序流程图</w:t>
      </w:r>
      <w:bookmarkEnd w:id="51"/>
    </w:p>
    <w:p w14:paraId="1DAF9FB1">
      <w:pPr>
        <w:rPr>
          <w:rFonts w:hint="eastAsia" w:asciiTheme="minorEastAsia" w:hAnsiTheme="minorEastAsia" w:eastAsiaTheme="minorEastAsia"/>
        </w:rPr>
      </w:pPr>
      <w:r>
        <w:rPr>
          <w:rFonts w:hint="eastAsia" w:asciiTheme="minorEastAsia" w:hAnsiTheme="minorEastAsia" w:eastAsiaTheme="minorEastAsia"/>
        </w:rPr>
        <w:t>整个激活码兑换业务中，使用了悲观锁 (SELECT FOR UPDATE) 机制防止并发兑换攻击。在验证通过后，程序通过声明式事务自动保证了 `activation_codes` 状态更改与 `users` 会员/积分追加的物理同步。若在执行过程中调用外部短信或分销接口超时，事务立即自动回滚，确保数据的账目 100% 正确。</w:t>
      </w:r>
    </w:p>
    <w:p w14:paraId="40212EED">
      <w:pPr>
        <w:pStyle w:val="2"/>
        <w:keepNext/>
        <w:keepLines/>
        <w:pageBreakBefore w:val="0"/>
        <w:widowControl w:val="0"/>
        <w:kinsoku/>
        <w:wordWrap/>
        <w:overflowPunct/>
        <w:topLinePunct w:val="0"/>
        <w:autoSpaceDE/>
        <w:autoSpaceDN/>
        <w:bidi w:val="0"/>
        <w:adjustRightInd/>
        <w:snapToGrid/>
        <w:spacing w:before="156" w:beforeLines="50" w:after="468" w:afterLines="150" w:line="460" w:lineRule="exact"/>
        <w:jc w:val="center"/>
        <w:textAlignment w:val="auto"/>
        <w:rPr>
          <w:rFonts w:hint="eastAsia" w:ascii="Times New Roman" w:hAnsi="Times New Roman" w:eastAsia="黑体" w:cs="Times New Roman"/>
          <w:b w:val="0"/>
          <w:bCs w:val="0"/>
          <w:sz w:val="32"/>
          <w:szCs w:val="32"/>
        </w:rPr>
      </w:pPr>
      <w:bookmarkStart w:id="52" w:name="_Toc27755"/>
      <w:r>
        <w:rPr>
          <w:rFonts w:hint="eastAsia" w:ascii="Times New Roman" w:hAnsi="Times New Roman" w:eastAsia="黑体" w:cs="Times New Roman"/>
          <w:b w:val="0"/>
          <w:bCs w:val="0"/>
          <w:sz w:val="32"/>
          <w:szCs w:val="32"/>
        </w:rPr>
        <w:t>参考文献</w:t>
      </w:r>
      <w:bookmarkEnd w:id="52"/>
      <w:r/>
    </w:p>
    <w:p w14:paraId="2C63A1AA">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[1] 施海涛.基于Spring Boot的自托管在线IT教育平台系统设计[J].无线互联科技,2024,21(04):83-85.</w:t>
      </w:r>
      <w:r>
        <w:rPr>
          <w:rFonts w:hint="default" w:ascii="Times New Roman" w:hAnsi="Times New Roman" w:cs="Times New Roman"/>
          <w:sz w:val="24"/>
          <w:szCs w:val="24"/>
        </w:rPr>
      </w:r>
      <w:r/>
      <w:r>
        <w:rPr>
          <w:rFonts w:hint="default" w:ascii="Times New Roman" w:hAnsi="Times New Roman" w:cs="Times New Roman"/>
          <w:sz w:val="24"/>
          <w:szCs w:val="24"/>
        </w:rPr>
      </w:r>
    </w:p>
    <w:p w14:paraId="74F0BE0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[2] 陈晓华.基于微信小程序与Spring Boot的在线教务管理平台[J].电脑知识与技术,2023,19(12):55-57.</w:t>
      </w:r>
    </w:p>
    <w:p w14:paraId="087C2F7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[3] 陆俊羽.轻量级流程编排引擎在微服务架构中的设计与应用[J].微型电脑应用,2024,40(02):191-193.</w:t>
      </w:r>
    </w:p>
    <w:p w14:paraId="58CA663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[4] 金灵珠.基于JWT和Redis的高并发会话鉴权系统设计与实现[J].现代信息科技,2023,7(18):13-16.</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12C7F507">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[5] 张雪.基于Spring Boot 3和MyBatis-Plus的高扩展敏捷开发平台[J].信息技术与信息化,2024,28(01):37-40.</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025D988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[6] 施维奇.基于Redis缓存的主题规则与系统配置动态热生效技术研究[J].计算机工程与设计,2024,45(03):702-704.</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6705D596">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[7] 姚国强.高并发分布式ThreadLocal共享线程池防泄露优化与安全清理策略[J].软件学报,2023,34(11):5012-5014.</w:t>
      </w:r>
      <w:r>
        <w:rPr>
          <w:rFonts w:hint="default" w:ascii="Times New Roman" w:hAnsi="Times New Roman" w:cs="Times New Roman"/>
          <w:sz w:val="24"/>
          <w:szCs w:val="24"/>
          <w:lang w:val="en-US"/>
        </w:rPr>
      </w:r>
      <w:r>
        <w:rPr>
          <w:rFonts w:hint="default" w:ascii="Times New Roman" w:hAnsi="Times New Roman" w:cs="Times New Roman"/>
          <w:sz w:val="24"/>
          <w:szCs w:val="24"/>
        </w:rPr>
      </w:r>
    </w:p>
    <w:p w14:paraId="2A5B19C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[8] 董世明.高碰撞防御的批量激活码随机产生算法及其数据库事务处理[J].通信学报,2023,44(08):94-96.</w:t>
      </w:r>
    </w:p>
    <w:p w14:paraId="499DE61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[9] 马永生.基于数据库声明式事务@Transactional的悲观并发锁控制性能调优[J].计算机学报,2024,47(02):321-324.</w:t>
      </w:r>
    </w:p>
    <w:p w14:paraId="2B7DF13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[10] 汪明亮.基于多端邮箱/手机验证码的登录防刷限流中间件设计[J].计算机技术与发展,2023,33(10):113-116.</w:t>
      </w:r>
      <w:r>
        <w:rPr>
          <w:rFonts w:hint="default" w:ascii="Times New Roman" w:hAnsi="Times New Roman" w:cs="Times New Roman"/>
          <w:sz w:val="24"/>
          <w:szCs w:val="24"/>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p>
    <w:p w14:paraId="7C07633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[11] 郭子健.微信扫码回调授权机制的 Spring Boot 多线程长轮询交互开发[J].微电子学与计算机,2024,41(05):88-90.</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1D540C3F">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[12] 谭小军.基于 MyBatis-Plus 分页插件的精品课程多维条件高效检索[J].计算机系统应用,2024,33(01):145-147.</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72C25EC8">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[13] 李建新.基于 S3 协议的大文件分片并发上传与对象存储生命周期配置[J].软件导刊,2023,22(09):77-80.</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rPr>
      </w:r>
      <w:r>
        <w:rPr>
          <w:rFonts w:hint="default" w:ascii="Times New Roman" w:hAnsi="Times New Roman" w:cs="Times New Roman"/>
          <w:sz w:val="24"/>
          <w:szCs w:val="24"/>
          <w:lang w:val="en-US"/>
        </w:rPr>
      </w:r>
    </w:p>
    <w:p w14:paraId="4D20A385">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cs="Times New Roman"/>
          <w:sz w:val="24"/>
          <w:szCs w:val="24"/>
          <w:lang w:val="en-US"/>
        </w:rPr>
        <w:t>[14] Alen J. Design and Evaluation of Token-Based Stateless Authentication via Spring Boot 3[J]. Journal of Software Engineering, 2024, 18(2): 112-115.</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p>
    <w:p w14:paraId="3B1E1AC2">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cs="Times New Roman"/>
          <w:sz w:val="24"/>
          <w:szCs w:val="24"/>
          <w:lang w:val="en-US"/>
        </w:rPr>
        <w:t>[15] 袁林莹.基于多阶段 Docker 精简容器与流水线一键快速部署技术实践[J].信息与电脑,2023,35(22):10-12.</w:t>
      </w:r>
      <w:r>
        <w:rPr>
          <w:rFonts w:hint="default" w:ascii="Times New Roman" w:hAnsi="Times New Roman" w:cs="Times New Roman"/>
          <w:sz w:val="24"/>
          <w:szCs w:val="24"/>
          <w:lang w:val="en-US" w:eastAsia="zh-CN"/>
        </w:rPr>
      </w:r>
      <w:r>
        <w:rPr>
          <w:rFonts w:hint="default" w:ascii="Times New Roman" w:hAnsi="Times New Roman"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eastAsia="宋体" w:cs="Times New Roman"/>
          <w:sz w:val="24"/>
          <w:szCs w:val="24"/>
          <w:lang w:val="en-US"/>
        </w:rPr>
      </w:r>
    </w:p>
    <w:p w14:paraId="67D263BE">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[16] 王超峰.多角色权限控制框架 HandlerInterceptor 在微服务接口上的拦截审计[J].网络安全技术与应用,2024,22(04):55-57.</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cs="Times New Roman"/>
          <w:sz w:val="24"/>
          <w:szCs w:val="24"/>
          <w:lang w:val="en-US" w:eastAsia="zh-CN"/>
        </w:rPr>
      </w:r>
      <w:r>
        <w:rPr>
          <w:rFonts w:hint="default" w:ascii="Times New Roman" w:hAnsi="Times New Roman" w:eastAsia="宋体" w:cs="Times New Roman"/>
          <w:sz w:val="24"/>
          <w:szCs w:val="24"/>
          <w:lang w:val="en-US"/>
        </w:rPr>
      </w:r>
    </w:p>
    <w:p w14:paraId="324CBE09">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sz w:val="24"/>
          <w:szCs w:val="24"/>
          <w:lang w:val="en-US"/>
        </w:rPr>
      </w:pPr>
      <w:r>
        <w:rPr>
          <w:rFonts w:hint="default" w:ascii="Times New Roman" w:hAnsi="Times New Roman" w:eastAsia="宋体" w:cs="Times New Roman"/>
          <w:sz w:val="24"/>
          <w:szCs w:val="24"/>
          <w:lang w:val="en-US"/>
        </w:rPr>
        <w:t>[17] 姜红.分销分账推广分佣记录流水的高容错分布式一致性系统设计[J].计算机研究与发展,2023,60(09):2100-2103.</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cs="Times New Roman"/>
          <w:sz w:val="24"/>
          <w:szCs w:val="24"/>
          <w:lang w:val="en-US"/>
        </w:rPr>
      </w:r>
    </w:p>
    <w:p w14:paraId="4191268C">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[18] 段玉林.基于 MySQL 级联删除级和悲观行锁的批量数据物理删除方案优化[J].情报学报,2023,42(10):1201-1203.</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p w14:paraId="5CA60013">
      <w:pPr>
        <w:keepNext w:val="0"/>
        <w:keepLines w:val="0"/>
        <w:pageBreakBefore w:val="0"/>
        <w:widowControl w:val="0"/>
        <w:kinsoku/>
        <w:wordWrap w:val="0"/>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eastAsia="宋体" w:cs="Times New Roman"/>
          <w:sz w:val="24"/>
          <w:szCs w:val="24"/>
          <w:lang w:val="en-US"/>
        </w:rPr>
      </w:pPr>
      <w:r>
        <w:rPr>
          <w:rFonts w:hint="default" w:ascii="Times New Roman" w:hAnsi="Times New Roman" w:eastAsia="宋体" w:cs="Times New Roman"/>
          <w:sz w:val="24"/>
          <w:szCs w:val="24"/>
          <w:lang w:val="en-US"/>
        </w:rPr>
        <w:t>[19] 程旭.基于 Spring Boot 的高并发 API 审计日志落盘与异步线程池优化[J].自动化学报,2024,50(03):605-608.</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p w14:paraId="0884E056">
      <w:pPr>
        <w:keepNext w:val="0"/>
        <w:keepLines w:val="0"/>
        <w:pageBreakBefore w:val="0"/>
        <w:widowControl/>
        <w:kinsoku/>
        <w:overflowPunct/>
        <w:topLinePunct w:val="0"/>
        <w:autoSpaceDE/>
        <w:autoSpaceDN/>
        <w:bidi w:val="0"/>
        <w:adjustRightInd/>
        <w:snapToGrid/>
        <w:spacing w:line="460" w:lineRule="exact"/>
        <w:ind w:left="0" w:hanging="360" w:hangingChars="150"/>
        <w:jc w:val="left"/>
        <w:textAlignment w:val="auto"/>
        <w:rPr>
          <w:rFonts w:hint="default" w:ascii="Times New Roman" w:hAnsi="Times New Roman" w:cs="Times New Roman" w:eastAsiaTheme="minorEastAsia"/>
        </w:rPr>
      </w:pPr>
      <w:r>
        <w:rPr>
          <w:rFonts w:hint="default" w:ascii="Times New Roman" w:hAnsi="Times New Roman" w:eastAsia="宋体" w:cs="Times New Roman"/>
          <w:sz w:val="24"/>
          <w:szCs w:val="24"/>
          <w:lang w:val="en-US"/>
        </w:rPr>
        <w:t>[20] 赵永强.基于 @Schema 注解的 OpenAPI 3 接口文档多模块自动化构建[J].系统仿真学报,2024,36(04):901-904.</w:t>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r>
        <w:rPr>
          <w:rFonts w:hint="default" w:ascii="Times New Roman" w:hAnsi="Times New Roman" w:eastAsia="宋体" w:cs="Times New Roman"/>
          <w:sz w:val="24"/>
          <w:szCs w:val="24"/>
          <w:lang w:val="en-US" w:eastAsia="zh-CN"/>
        </w:rPr>
      </w:r>
      <w:r>
        <w:rPr>
          <w:rFonts w:hint="default" w:ascii="Times New Roman" w:hAnsi="Times New Roman" w:eastAsia="宋体" w:cs="Times New Roman"/>
          <w:sz w:val="24"/>
          <w:szCs w:val="24"/>
          <w:lang w:val="en-US"/>
        </w:rPr>
      </w:r>
    </w:p>
    <w:sectPr>
      <w:headerReference r:id="rId7" w:type="default"/>
      <w:footerReference r:id="rId8" w:type="default"/>
      <w:pgSz w:w="11906" w:h="16838"/>
      <w:pgMar w:top="1418" w:right="1418" w:bottom="1418" w:left="1418" w:header="851" w:footer="567" w:gutter="284"/>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ADD0EB2">
    <w:pPr>
      <w:pStyle w:val="1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86804292"/>
      <w:docPartObj>
        <w:docPartGallery w:val="autotext"/>
      </w:docPartObj>
    </w:sdtPr>
    <w:sdtEndPr>
      <w:rPr>
        <w:sz w:val="21"/>
        <w:szCs w:val="21"/>
      </w:rPr>
    </w:sdtEndPr>
    <w:sdtContent>
      <w:p w14:paraId="2EBA41CB">
        <w:pPr>
          <w:pStyle w:val="10"/>
          <w:jc w:val="center"/>
          <w:rPr>
            <w:sz w:val="21"/>
            <w:szCs w:val="21"/>
          </w:rPr>
        </w:pPr>
        <w:r>
          <w:rPr>
            <w:sz w:val="21"/>
            <w:szCs w:val="21"/>
          </w:rPr>
          <w:fldChar w:fldCharType="begin"/>
        </w:r>
        <w:r>
          <w:rPr>
            <w:sz w:val="21"/>
            <w:szCs w:val="21"/>
          </w:rPr>
          <w:instrText xml:space="preserve">PAGE   \* MERGEFORMAT</w:instrText>
        </w:r>
        <w:r>
          <w:rPr>
            <w:sz w:val="21"/>
            <w:szCs w:val="21"/>
          </w:rPr>
          <w:fldChar w:fldCharType="separate"/>
        </w:r>
        <w:r>
          <w:rPr>
            <w:sz w:val="21"/>
            <w:szCs w:val="21"/>
            <w:lang w:val="zh-CN"/>
          </w:rPr>
          <w:t>2</w:t>
        </w:r>
        <w:r>
          <w:rPr>
            <w:sz w:val="21"/>
            <w:szCs w:val="21"/>
          </w:rPr>
          <w:fldChar w:fldCharType="end"/>
        </w:r>
      </w:p>
    </w:sdtContent>
  </w:sdt>
  <w:p w14:paraId="3A7ACF8E">
    <w:pPr>
      <w:pStyle w:val="10"/>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EF0AA"/>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B97259">
    <w:pPr>
      <w:pStyle w:val="11"/>
      <w:rPr>
        <w:rFonts w:hint="default" w:ascii="宋体" w:hAnsi="宋体" w:eastAsia="宋体"/>
        <w:sz w:val="21"/>
        <w:szCs w:val="21"/>
        <w:lang w:val="en-US" w:eastAsia="zh-CN"/>
      </w:rPr>
    </w:pPr>
    <w:r>
      <w:rPr>
        <w:rFonts w:hint="eastAsia" w:ascii="宋体" w:hAnsi="宋体"/>
        <w:sz w:val="21"/>
        <w:szCs w:val="21"/>
      </w:rPr>
      <w:t>系统分析与设计</w:t>
    </w:r>
    <w:r>
      <w:rPr>
        <w:rFonts w:hint="eastAsia" w:ascii="宋体" w:hAnsi="宋体"/>
        <w:sz w:val="21"/>
        <w:szCs w:val="21"/>
        <w:lang w:val="en-US" w:eastAsia="zh-CN"/>
      </w:rPr>
      <w:t>课程报告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286A502"/>
    <w:multiLevelType w:val="multilevel"/>
    <w:tmpl w:val="C286A502"/>
    <w:lvl w:ilvl="0" w:tentative="0">
      <w:start w:val="1"/>
      <w:numFmt w:val="decimal"/>
      <w:lvlText w:val="%1."/>
      <w:lvlJc w:val="left"/>
      <w:pPr>
        <w:ind w:left="860" w:hanging="440"/>
      </w:pPr>
    </w:lvl>
    <w:lvl w:ilvl="1" w:tentative="0">
      <w:start w:val="1"/>
      <w:numFmt w:val="decimal"/>
      <w:lvlText w:val="%2."/>
      <w:lvlJc w:val="left"/>
      <w:pPr>
        <w:ind w:left="440" w:hanging="440"/>
      </w:pPr>
    </w:lvl>
    <w:lvl w:ilvl="2" w:tentative="0">
      <w:start w:val="1"/>
      <w:numFmt w:val="decimal"/>
      <w:lvlText w:val="%3."/>
      <w:lvlJc w:val="left"/>
      <w:pPr>
        <w:ind w:left="860" w:hanging="440"/>
      </w:pPr>
    </w:lvl>
    <w:lvl w:ilvl="3" w:tentative="0">
      <w:start w:val="1"/>
      <w:numFmt w:val="decimal"/>
      <w:isLgl/>
      <w:lvlText w:val="%1.%2.%3.%4"/>
      <w:lvlJc w:val="left"/>
      <w:pPr>
        <w:ind w:left="1140" w:hanging="720"/>
      </w:pPr>
      <w:rPr>
        <w:rFonts w:hint="default"/>
      </w:rPr>
    </w:lvl>
    <w:lvl w:ilvl="4" w:tentative="0">
      <w:start w:val="1"/>
      <w:numFmt w:val="decimal"/>
      <w:isLgl/>
      <w:lvlText w:val="%1.%2.%3.%4.%5"/>
      <w:lvlJc w:val="left"/>
      <w:pPr>
        <w:ind w:left="1500" w:hanging="1080"/>
      </w:pPr>
      <w:rPr>
        <w:rFonts w:hint="default"/>
      </w:rPr>
    </w:lvl>
    <w:lvl w:ilvl="5" w:tentative="0">
      <w:start w:val="1"/>
      <w:numFmt w:val="decimal"/>
      <w:isLgl/>
      <w:lvlText w:val="%1.%2.%3.%4.%5.%6"/>
      <w:lvlJc w:val="left"/>
      <w:pPr>
        <w:ind w:left="1500" w:hanging="1080"/>
      </w:pPr>
      <w:rPr>
        <w:rFonts w:hint="default"/>
      </w:rPr>
    </w:lvl>
    <w:lvl w:ilvl="6" w:tentative="0">
      <w:start w:val="1"/>
      <w:numFmt w:val="decimal"/>
      <w:isLgl/>
      <w:lvlText w:val="%1.%2.%3.%4.%5.%6.%7"/>
      <w:lvlJc w:val="left"/>
      <w:pPr>
        <w:ind w:left="1500" w:hanging="1080"/>
      </w:pPr>
      <w:rPr>
        <w:rFonts w:hint="default"/>
      </w:rPr>
    </w:lvl>
    <w:lvl w:ilvl="7" w:tentative="0">
      <w:start w:val="1"/>
      <w:numFmt w:val="decimal"/>
      <w:isLgl/>
      <w:lvlText w:val="%1.%2.%3.%4.%5.%6.%7.%8"/>
      <w:lvlJc w:val="left"/>
      <w:pPr>
        <w:ind w:left="1860" w:hanging="1440"/>
      </w:pPr>
      <w:rPr>
        <w:rFonts w:hint="default"/>
      </w:rPr>
    </w:lvl>
    <w:lvl w:ilvl="8" w:tentative="0">
      <w:start w:val="1"/>
      <w:numFmt w:val="decimal"/>
      <w:isLgl/>
      <w:lvlText w:val="%1.%2.%3.%4.%5.%6.%7.%8.%9"/>
      <w:lvlJc w:val="left"/>
      <w:pPr>
        <w:ind w:left="1860" w:hanging="1440"/>
      </w:pPr>
      <w:rPr>
        <w:rFonts w:hint="default"/>
      </w:rPr>
    </w:lvl>
  </w:abstractNum>
  <w:abstractNum w:abstractNumId="1">
    <w:nsid w:val="13171E89"/>
    <w:multiLevelType w:val="multilevel"/>
    <w:tmpl w:val="13171E89"/>
    <w:lvl w:ilvl="0" w:tentative="0">
      <w:start w:val="1"/>
      <w:numFmt w:val="decimal"/>
      <w:lvlText w:val="%1."/>
      <w:lvlJc w:val="left"/>
      <w:pPr>
        <w:ind w:left="920" w:hanging="440"/>
      </w:pPr>
      <w:rPr>
        <w:rFonts w:hint="eastAsia"/>
        <w:sz w:val="21"/>
        <w:szCs w:val="21"/>
      </w:rPr>
    </w:lvl>
    <w:lvl w:ilvl="1" w:tentative="0">
      <w:start w:val="1"/>
      <w:numFmt w:val="lowerLetter"/>
      <w:lvlText w:val="%2)"/>
      <w:lvlJc w:val="left"/>
      <w:pPr>
        <w:ind w:left="880" w:hanging="440"/>
      </w:pPr>
    </w:lvl>
    <w:lvl w:ilvl="2" w:tentative="0">
      <w:start w:val="1"/>
      <w:numFmt w:val="lowerRoman"/>
      <w:lvlText w:val="%3."/>
      <w:lvlJc w:val="right"/>
      <w:pPr>
        <w:ind w:left="1320" w:hanging="440"/>
      </w:pPr>
    </w:lvl>
    <w:lvl w:ilvl="3" w:tentative="0">
      <w:start w:val="1"/>
      <w:numFmt w:val="decimal"/>
      <w:lvlText w:val="%4."/>
      <w:lvlJc w:val="left"/>
      <w:pPr>
        <w:ind w:left="1760" w:hanging="440"/>
      </w:pPr>
    </w:lvl>
    <w:lvl w:ilvl="4" w:tentative="0">
      <w:start w:val="1"/>
      <w:numFmt w:val="lowerLetter"/>
      <w:lvlText w:val="%5)"/>
      <w:lvlJc w:val="left"/>
      <w:pPr>
        <w:ind w:left="2200" w:hanging="440"/>
      </w:pPr>
    </w:lvl>
    <w:lvl w:ilvl="5" w:tentative="0">
      <w:start w:val="1"/>
      <w:numFmt w:val="lowerRoman"/>
      <w:lvlText w:val="%6."/>
      <w:lvlJc w:val="right"/>
      <w:pPr>
        <w:ind w:left="2640" w:hanging="440"/>
      </w:pPr>
    </w:lvl>
    <w:lvl w:ilvl="6" w:tentative="0">
      <w:start w:val="1"/>
      <w:numFmt w:val="decimal"/>
      <w:lvlText w:val="%7."/>
      <w:lvlJc w:val="left"/>
      <w:pPr>
        <w:ind w:left="3080" w:hanging="440"/>
      </w:pPr>
    </w:lvl>
    <w:lvl w:ilvl="7" w:tentative="0">
      <w:start w:val="1"/>
      <w:numFmt w:val="lowerLetter"/>
      <w:lvlText w:val="%8)"/>
      <w:lvlJc w:val="left"/>
      <w:pPr>
        <w:ind w:left="3520" w:hanging="440"/>
      </w:pPr>
    </w:lvl>
    <w:lvl w:ilvl="8" w:tentative="0">
      <w:start w:val="1"/>
      <w:numFmt w:val="lowerRoman"/>
      <w:lvlText w:val="%9."/>
      <w:lvlJc w:val="right"/>
      <w:pPr>
        <w:ind w:left="3960" w:hanging="440"/>
      </w:pPr>
    </w:lvl>
  </w:abstractNum>
  <w:abstractNum w:abstractNumId="2">
    <w:nsid w:val="269E2822"/>
    <w:multiLevelType w:val="multilevel"/>
    <w:tmpl w:val="269E2822"/>
    <w:lvl w:ilvl="0" w:tentative="0">
      <w:start w:val="1"/>
      <w:numFmt w:val="decimal"/>
      <w:lvlText w:val="%1."/>
      <w:lvlJc w:val="left"/>
      <w:pPr>
        <w:ind w:left="920" w:hanging="440"/>
      </w:pPr>
      <w:rPr>
        <w:sz w:val="21"/>
        <w:szCs w:val="21"/>
      </w:rPr>
    </w:lvl>
    <w:lvl w:ilvl="1" w:tentative="0">
      <w:start w:val="1"/>
      <w:numFmt w:val="lowerLetter"/>
      <w:lvlText w:val="%2)"/>
      <w:lvlJc w:val="left"/>
      <w:pPr>
        <w:ind w:left="1360" w:hanging="440"/>
      </w:pPr>
    </w:lvl>
    <w:lvl w:ilvl="2" w:tentative="0">
      <w:start w:val="1"/>
      <w:numFmt w:val="lowerRoman"/>
      <w:lvlText w:val="%3."/>
      <w:lvlJc w:val="right"/>
      <w:pPr>
        <w:ind w:left="1800" w:hanging="440"/>
      </w:pPr>
    </w:lvl>
    <w:lvl w:ilvl="3" w:tentative="0">
      <w:start w:val="1"/>
      <w:numFmt w:val="decimal"/>
      <w:lvlText w:val="%4."/>
      <w:lvlJc w:val="left"/>
      <w:pPr>
        <w:ind w:left="2240" w:hanging="440"/>
      </w:pPr>
    </w:lvl>
    <w:lvl w:ilvl="4" w:tentative="0">
      <w:start w:val="1"/>
      <w:numFmt w:val="lowerLetter"/>
      <w:lvlText w:val="%5)"/>
      <w:lvlJc w:val="left"/>
      <w:pPr>
        <w:ind w:left="2680" w:hanging="440"/>
      </w:pPr>
    </w:lvl>
    <w:lvl w:ilvl="5" w:tentative="0">
      <w:start w:val="1"/>
      <w:numFmt w:val="lowerRoman"/>
      <w:lvlText w:val="%6."/>
      <w:lvlJc w:val="right"/>
      <w:pPr>
        <w:ind w:left="3120" w:hanging="440"/>
      </w:pPr>
    </w:lvl>
    <w:lvl w:ilvl="6" w:tentative="0">
      <w:start w:val="1"/>
      <w:numFmt w:val="decimal"/>
      <w:lvlText w:val="%7."/>
      <w:lvlJc w:val="left"/>
      <w:pPr>
        <w:ind w:left="3560" w:hanging="440"/>
      </w:pPr>
    </w:lvl>
    <w:lvl w:ilvl="7" w:tentative="0">
      <w:start w:val="1"/>
      <w:numFmt w:val="lowerLetter"/>
      <w:lvlText w:val="%8)"/>
      <w:lvlJc w:val="left"/>
      <w:pPr>
        <w:ind w:left="4000" w:hanging="440"/>
      </w:pPr>
    </w:lvl>
    <w:lvl w:ilvl="8" w:tentative="0">
      <w:start w:val="1"/>
      <w:numFmt w:val="lowerRoman"/>
      <w:lvlText w:val="%9."/>
      <w:lvlJc w:val="right"/>
      <w:pPr>
        <w:ind w:left="4440" w:hanging="440"/>
      </w:pPr>
    </w:lvl>
  </w:abstractNum>
  <w:abstractNum w:abstractNumId="3">
    <w:nsid w:val="3404DA1C"/>
    <w:multiLevelType w:val="singleLevel"/>
    <w:tmpl w:val="3404DA1C"/>
    <w:lvl w:ilvl="0" w:tentative="0">
      <w:start w:val="2"/>
      <w:numFmt w:val="decimal"/>
      <w:suff w:val="nothing"/>
      <w:lvlText w:val="第%1章　"/>
      <w:lvlJc w:val="left"/>
    </w:lvl>
  </w:abstractNum>
  <w:num w:numId="1">
    <w:abstractNumId w:val="3"/>
  </w:num>
  <w:num w:numId="2">
    <w:abstractNumId w:val="2"/>
  </w:num>
  <w:num w:numId="3">
    <w:abstractNumId w:val="1"/>
  </w:num>
  <w:num w:numId="4">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star [2]">
    <w15:presenceInfo w15:providerId="WPS Office" w15:userId="4390626203"/>
  </w15:person>
  <w15:person w15:author="L">
    <w15:presenceInfo w15:providerId="None" w15:userId="L"/>
  </w15:person>
  <w15:person w15:author="幻影">
    <w15:presenceInfo w15:providerId="None" w15:userId="幻影"/>
  </w15:person>
  <w15:person w15:author="star">
    <w15:presenceInfo w15:providerId="None" w15:userId="star"/>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4"/>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5MzhjOWY5ZDliZTM3OGQzNWI5YzBiYzgxMTBjMzUifQ=="/>
  </w:docVars>
  <w:rsids>
    <w:rsidRoot w:val="00BA6BEF"/>
    <w:rsid w:val="0000212C"/>
    <w:rsid w:val="000045C1"/>
    <w:rsid w:val="000047CB"/>
    <w:rsid w:val="00004BBB"/>
    <w:rsid w:val="00010BAB"/>
    <w:rsid w:val="000118A2"/>
    <w:rsid w:val="00012486"/>
    <w:rsid w:val="00012C29"/>
    <w:rsid w:val="0001320D"/>
    <w:rsid w:val="00015AC1"/>
    <w:rsid w:val="000176A9"/>
    <w:rsid w:val="00023F40"/>
    <w:rsid w:val="00027FED"/>
    <w:rsid w:val="0003115B"/>
    <w:rsid w:val="00032717"/>
    <w:rsid w:val="00037D2C"/>
    <w:rsid w:val="00043406"/>
    <w:rsid w:val="0004527F"/>
    <w:rsid w:val="000479AA"/>
    <w:rsid w:val="000505F6"/>
    <w:rsid w:val="00065EB8"/>
    <w:rsid w:val="00067E79"/>
    <w:rsid w:val="00072514"/>
    <w:rsid w:val="0007461F"/>
    <w:rsid w:val="0007463B"/>
    <w:rsid w:val="0007769D"/>
    <w:rsid w:val="00080253"/>
    <w:rsid w:val="00085837"/>
    <w:rsid w:val="00087FD7"/>
    <w:rsid w:val="00094C40"/>
    <w:rsid w:val="00094C9B"/>
    <w:rsid w:val="000B40C0"/>
    <w:rsid w:val="000C3184"/>
    <w:rsid w:val="000C5648"/>
    <w:rsid w:val="000D2DE6"/>
    <w:rsid w:val="000D5138"/>
    <w:rsid w:val="000D6C50"/>
    <w:rsid w:val="000D7A13"/>
    <w:rsid w:val="000F1F5C"/>
    <w:rsid w:val="00103A52"/>
    <w:rsid w:val="00114451"/>
    <w:rsid w:val="00115ACD"/>
    <w:rsid w:val="00130EBC"/>
    <w:rsid w:val="00140B5B"/>
    <w:rsid w:val="001557B6"/>
    <w:rsid w:val="00176150"/>
    <w:rsid w:val="001807A3"/>
    <w:rsid w:val="00181E7F"/>
    <w:rsid w:val="00181E82"/>
    <w:rsid w:val="00190C7C"/>
    <w:rsid w:val="00195A7E"/>
    <w:rsid w:val="0019600C"/>
    <w:rsid w:val="00196708"/>
    <w:rsid w:val="001A20EA"/>
    <w:rsid w:val="001A2828"/>
    <w:rsid w:val="001B36BE"/>
    <w:rsid w:val="001C1EC8"/>
    <w:rsid w:val="001C2325"/>
    <w:rsid w:val="001E0BA3"/>
    <w:rsid w:val="001E299E"/>
    <w:rsid w:val="001E5D15"/>
    <w:rsid w:val="001E6045"/>
    <w:rsid w:val="001F3E7F"/>
    <w:rsid w:val="001F447A"/>
    <w:rsid w:val="001F45CB"/>
    <w:rsid w:val="00200194"/>
    <w:rsid w:val="00201328"/>
    <w:rsid w:val="00201BB2"/>
    <w:rsid w:val="00205653"/>
    <w:rsid w:val="00245574"/>
    <w:rsid w:val="002503F2"/>
    <w:rsid w:val="00254054"/>
    <w:rsid w:val="00254BEA"/>
    <w:rsid w:val="0026293C"/>
    <w:rsid w:val="002668A0"/>
    <w:rsid w:val="002757A3"/>
    <w:rsid w:val="00282362"/>
    <w:rsid w:val="00282BA3"/>
    <w:rsid w:val="00283F73"/>
    <w:rsid w:val="00291C90"/>
    <w:rsid w:val="00295DF6"/>
    <w:rsid w:val="00297EFE"/>
    <w:rsid w:val="002A2BBD"/>
    <w:rsid w:val="002A41C5"/>
    <w:rsid w:val="002A6245"/>
    <w:rsid w:val="002A7615"/>
    <w:rsid w:val="002B240A"/>
    <w:rsid w:val="002B3E20"/>
    <w:rsid w:val="002B4B67"/>
    <w:rsid w:val="002C5DAE"/>
    <w:rsid w:val="002D686D"/>
    <w:rsid w:val="002E0CB1"/>
    <w:rsid w:val="002F0EA1"/>
    <w:rsid w:val="002F148B"/>
    <w:rsid w:val="002F618D"/>
    <w:rsid w:val="00303CD5"/>
    <w:rsid w:val="00307B02"/>
    <w:rsid w:val="00314247"/>
    <w:rsid w:val="00321B51"/>
    <w:rsid w:val="003333EF"/>
    <w:rsid w:val="00355638"/>
    <w:rsid w:val="00357C5D"/>
    <w:rsid w:val="0036094A"/>
    <w:rsid w:val="00362ECF"/>
    <w:rsid w:val="003720B0"/>
    <w:rsid w:val="00373550"/>
    <w:rsid w:val="0037362B"/>
    <w:rsid w:val="0037793C"/>
    <w:rsid w:val="00385E88"/>
    <w:rsid w:val="00391E80"/>
    <w:rsid w:val="00396FA9"/>
    <w:rsid w:val="003A5CAE"/>
    <w:rsid w:val="003A6186"/>
    <w:rsid w:val="003B11B0"/>
    <w:rsid w:val="003B4FCC"/>
    <w:rsid w:val="003B53A6"/>
    <w:rsid w:val="003C0546"/>
    <w:rsid w:val="003C1975"/>
    <w:rsid w:val="003D3A44"/>
    <w:rsid w:val="003D48BC"/>
    <w:rsid w:val="003E7BE9"/>
    <w:rsid w:val="003F0AEE"/>
    <w:rsid w:val="004105F7"/>
    <w:rsid w:val="00410E43"/>
    <w:rsid w:val="00415E17"/>
    <w:rsid w:val="00417BD2"/>
    <w:rsid w:val="00421DD5"/>
    <w:rsid w:val="00431F19"/>
    <w:rsid w:val="00435AD8"/>
    <w:rsid w:val="0043676E"/>
    <w:rsid w:val="00471584"/>
    <w:rsid w:val="004716DC"/>
    <w:rsid w:val="00484276"/>
    <w:rsid w:val="004911FB"/>
    <w:rsid w:val="00493E27"/>
    <w:rsid w:val="004A11F2"/>
    <w:rsid w:val="004C578E"/>
    <w:rsid w:val="004D2965"/>
    <w:rsid w:val="004F5134"/>
    <w:rsid w:val="005004E8"/>
    <w:rsid w:val="00501048"/>
    <w:rsid w:val="00501D71"/>
    <w:rsid w:val="0050693A"/>
    <w:rsid w:val="00506988"/>
    <w:rsid w:val="005136DD"/>
    <w:rsid w:val="005165C1"/>
    <w:rsid w:val="0052107C"/>
    <w:rsid w:val="00531145"/>
    <w:rsid w:val="00536206"/>
    <w:rsid w:val="0054126A"/>
    <w:rsid w:val="00545532"/>
    <w:rsid w:val="005522A6"/>
    <w:rsid w:val="00557FAD"/>
    <w:rsid w:val="00564950"/>
    <w:rsid w:val="0056767D"/>
    <w:rsid w:val="00575CD6"/>
    <w:rsid w:val="00585165"/>
    <w:rsid w:val="00590FF8"/>
    <w:rsid w:val="0059125F"/>
    <w:rsid w:val="00594939"/>
    <w:rsid w:val="005956A8"/>
    <w:rsid w:val="005A5916"/>
    <w:rsid w:val="005B2D4D"/>
    <w:rsid w:val="005B3C3C"/>
    <w:rsid w:val="005B69E9"/>
    <w:rsid w:val="005D27A1"/>
    <w:rsid w:val="005D75D1"/>
    <w:rsid w:val="005E04A1"/>
    <w:rsid w:val="005E5888"/>
    <w:rsid w:val="005F353F"/>
    <w:rsid w:val="006000EF"/>
    <w:rsid w:val="00601E76"/>
    <w:rsid w:val="00606548"/>
    <w:rsid w:val="00607FD1"/>
    <w:rsid w:val="00621841"/>
    <w:rsid w:val="00633A99"/>
    <w:rsid w:val="00635BBA"/>
    <w:rsid w:val="00644B91"/>
    <w:rsid w:val="00647526"/>
    <w:rsid w:val="0065069F"/>
    <w:rsid w:val="0065142D"/>
    <w:rsid w:val="006522E4"/>
    <w:rsid w:val="00663E89"/>
    <w:rsid w:val="0066418F"/>
    <w:rsid w:val="00665A6E"/>
    <w:rsid w:val="00666139"/>
    <w:rsid w:val="006714D6"/>
    <w:rsid w:val="00674621"/>
    <w:rsid w:val="0068061E"/>
    <w:rsid w:val="00680BD8"/>
    <w:rsid w:val="0068393A"/>
    <w:rsid w:val="00683F8F"/>
    <w:rsid w:val="00684EA7"/>
    <w:rsid w:val="006865F0"/>
    <w:rsid w:val="00686FF9"/>
    <w:rsid w:val="006A3C61"/>
    <w:rsid w:val="006A7DED"/>
    <w:rsid w:val="006B523F"/>
    <w:rsid w:val="006B6ACB"/>
    <w:rsid w:val="006C63E4"/>
    <w:rsid w:val="006C741F"/>
    <w:rsid w:val="006D01D8"/>
    <w:rsid w:val="006D2AAD"/>
    <w:rsid w:val="006E745F"/>
    <w:rsid w:val="006F3C6E"/>
    <w:rsid w:val="007042FB"/>
    <w:rsid w:val="00707B65"/>
    <w:rsid w:val="007236E0"/>
    <w:rsid w:val="007246E3"/>
    <w:rsid w:val="00727663"/>
    <w:rsid w:val="007307C5"/>
    <w:rsid w:val="00736666"/>
    <w:rsid w:val="0074338D"/>
    <w:rsid w:val="00753210"/>
    <w:rsid w:val="00754A0B"/>
    <w:rsid w:val="0077610F"/>
    <w:rsid w:val="00782C6E"/>
    <w:rsid w:val="007846FC"/>
    <w:rsid w:val="00790BA6"/>
    <w:rsid w:val="007B4473"/>
    <w:rsid w:val="007B5776"/>
    <w:rsid w:val="007B7899"/>
    <w:rsid w:val="007C4DFE"/>
    <w:rsid w:val="007C5401"/>
    <w:rsid w:val="007C6D32"/>
    <w:rsid w:val="007D0D92"/>
    <w:rsid w:val="007E1211"/>
    <w:rsid w:val="007E252A"/>
    <w:rsid w:val="007E3FE4"/>
    <w:rsid w:val="007F1E07"/>
    <w:rsid w:val="007F2F5F"/>
    <w:rsid w:val="00800D41"/>
    <w:rsid w:val="00803424"/>
    <w:rsid w:val="00804133"/>
    <w:rsid w:val="00822BCF"/>
    <w:rsid w:val="008262E9"/>
    <w:rsid w:val="008354DC"/>
    <w:rsid w:val="00846923"/>
    <w:rsid w:val="008500DF"/>
    <w:rsid w:val="00852E51"/>
    <w:rsid w:val="00873A38"/>
    <w:rsid w:val="008803E9"/>
    <w:rsid w:val="00880776"/>
    <w:rsid w:val="00881121"/>
    <w:rsid w:val="00890EB1"/>
    <w:rsid w:val="008A19D1"/>
    <w:rsid w:val="008A2A2B"/>
    <w:rsid w:val="008A494D"/>
    <w:rsid w:val="008A7FD1"/>
    <w:rsid w:val="008B0685"/>
    <w:rsid w:val="008C1A54"/>
    <w:rsid w:val="008D06D4"/>
    <w:rsid w:val="008D4B7B"/>
    <w:rsid w:val="008E3872"/>
    <w:rsid w:val="008F280D"/>
    <w:rsid w:val="00910970"/>
    <w:rsid w:val="0092460D"/>
    <w:rsid w:val="00927BCE"/>
    <w:rsid w:val="00930E44"/>
    <w:rsid w:val="009342DB"/>
    <w:rsid w:val="00941DBD"/>
    <w:rsid w:val="009517E2"/>
    <w:rsid w:val="0095254A"/>
    <w:rsid w:val="00953E33"/>
    <w:rsid w:val="00974DB9"/>
    <w:rsid w:val="009766F4"/>
    <w:rsid w:val="009810A1"/>
    <w:rsid w:val="00987451"/>
    <w:rsid w:val="009957E6"/>
    <w:rsid w:val="00996402"/>
    <w:rsid w:val="009A13C2"/>
    <w:rsid w:val="009B07DD"/>
    <w:rsid w:val="009B3476"/>
    <w:rsid w:val="009B76F7"/>
    <w:rsid w:val="009C26C0"/>
    <w:rsid w:val="009C4204"/>
    <w:rsid w:val="009D4AE6"/>
    <w:rsid w:val="009F02FD"/>
    <w:rsid w:val="009F6794"/>
    <w:rsid w:val="009F77AA"/>
    <w:rsid w:val="00A16DAE"/>
    <w:rsid w:val="00A16E1A"/>
    <w:rsid w:val="00A17FEA"/>
    <w:rsid w:val="00A2789A"/>
    <w:rsid w:val="00A357E8"/>
    <w:rsid w:val="00A6019D"/>
    <w:rsid w:val="00A772B0"/>
    <w:rsid w:val="00A800B8"/>
    <w:rsid w:val="00A83D1C"/>
    <w:rsid w:val="00A963C6"/>
    <w:rsid w:val="00A97A72"/>
    <w:rsid w:val="00A97CB7"/>
    <w:rsid w:val="00AA015B"/>
    <w:rsid w:val="00AA1DC2"/>
    <w:rsid w:val="00AB07E5"/>
    <w:rsid w:val="00AC43EB"/>
    <w:rsid w:val="00AD5958"/>
    <w:rsid w:val="00AE168D"/>
    <w:rsid w:val="00AE2A1E"/>
    <w:rsid w:val="00AF47E7"/>
    <w:rsid w:val="00AF79A5"/>
    <w:rsid w:val="00AF7AFB"/>
    <w:rsid w:val="00B10FE3"/>
    <w:rsid w:val="00B22069"/>
    <w:rsid w:val="00B23F36"/>
    <w:rsid w:val="00B244D7"/>
    <w:rsid w:val="00B27987"/>
    <w:rsid w:val="00B408D5"/>
    <w:rsid w:val="00B41D83"/>
    <w:rsid w:val="00B4343B"/>
    <w:rsid w:val="00B50DE2"/>
    <w:rsid w:val="00B559B9"/>
    <w:rsid w:val="00B603F1"/>
    <w:rsid w:val="00B605B3"/>
    <w:rsid w:val="00B60F9C"/>
    <w:rsid w:val="00B61E3D"/>
    <w:rsid w:val="00B6370D"/>
    <w:rsid w:val="00B67B0B"/>
    <w:rsid w:val="00B74248"/>
    <w:rsid w:val="00B82376"/>
    <w:rsid w:val="00B8407B"/>
    <w:rsid w:val="00B84FDC"/>
    <w:rsid w:val="00BA0162"/>
    <w:rsid w:val="00BA500E"/>
    <w:rsid w:val="00BA6551"/>
    <w:rsid w:val="00BA6BEF"/>
    <w:rsid w:val="00BB29EA"/>
    <w:rsid w:val="00BB3ABD"/>
    <w:rsid w:val="00BB7979"/>
    <w:rsid w:val="00BC2920"/>
    <w:rsid w:val="00BC53D1"/>
    <w:rsid w:val="00BC5CC1"/>
    <w:rsid w:val="00BC6133"/>
    <w:rsid w:val="00BD252C"/>
    <w:rsid w:val="00BD5003"/>
    <w:rsid w:val="00BE443A"/>
    <w:rsid w:val="00BE5923"/>
    <w:rsid w:val="00BF5AC9"/>
    <w:rsid w:val="00C01191"/>
    <w:rsid w:val="00C037F3"/>
    <w:rsid w:val="00C057D1"/>
    <w:rsid w:val="00C11608"/>
    <w:rsid w:val="00C1351C"/>
    <w:rsid w:val="00C165F3"/>
    <w:rsid w:val="00C23BDA"/>
    <w:rsid w:val="00C26F82"/>
    <w:rsid w:val="00C27384"/>
    <w:rsid w:val="00C34AAC"/>
    <w:rsid w:val="00C3526E"/>
    <w:rsid w:val="00C35A94"/>
    <w:rsid w:val="00C4068A"/>
    <w:rsid w:val="00C47E08"/>
    <w:rsid w:val="00C51471"/>
    <w:rsid w:val="00C63B17"/>
    <w:rsid w:val="00C64BFB"/>
    <w:rsid w:val="00C73078"/>
    <w:rsid w:val="00C81523"/>
    <w:rsid w:val="00C8681A"/>
    <w:rsid w:val="00C86B15"/>
    <w:rsid w:val="00CA5BC6"/>
    <w:rsid w:val="00CB3B93"/>
    <w:rsid w:val="00CB7F69"/>
    <w:rsid w:val="00CC08B1"/>
    <w:rsid w:val="00CC4042"/>
    <w:rsid w:val="00CC65A5"/>
    <w:rsid w:val="00CE4739"/>
    <w:rsid w:val="00CF1F2B"/>
    <w:rsid w:val="00D03A10"/>
    <w:rsid w:val="00D2707F"/>
    <w:rsid w:val="00D27EEE"/>
    <w:rsid w:val="00D30327"/>
    <w:rsid w:val="00D36431"/>
    <w:rsid w:val="00D41224"/>
    <w:rsid w:val="00D51539"/>
    <w:rsid w:val="00D529D2"/>
    <w:rsid w:val="00D603F8"/>
    <w:rsid w:val="00D6331F"/>
    <w:rsid w:val="00D70D4F"/>
    <w:rsid w:val="00D71AE7"/>
    <w:rsid w:val="00D778F6"/>
    <w:rsid w:val="00D816B6"/>
    <w:rsid w:val="00D93D71"/>
    <w:rsid w:val="00D96575"/>
    <w:rsid w:val="00DA2DB9"/>
    <w:rsid w:val="00DB0179"/>
    <w:rsid w:val="00DB744D"/>
    <w:rsid w:val="00DC6EFE"/>
    <w:rsid w:val="00DC78F5"/>
    <w:rsid w:val="00DD02AA"/>
    <w:rsid w:val="00DD4714"/>
    <w:rsid w:val="00DD6106"/>
    <w:rsid w:val="00DD6F6C"/>
    <w:rsid w:val="00DE16CB"/>
    <w:rsid w:val="00DE2905"/>
    <w:rsid w:val="00DE5BB0"/>
    <w:rsid w:val="00DE6C90"/>
    <w:rsid w:val="00DE6CEC"/>
    <w:rsid w:val="00DF2920"/>
    <w:rsid w:val="00DF3523"/>
    <w:rsid w:val="00DF5010"/>
    <w:rsid w:val="00E00BFD"/>
    <w:rsid w:val="00E03052"/>
    <w:rsid w:val="00E064E8"/>
    <w:rsid w:val="00E10E12"/>
    <w:rsid w:val="00E1356A"/>
    <w:rsid w:val="00E23AED"/>
    <w:rsid w:val="00E3026B"/>
    <w:rsid w:val="00E344EB"/>
    <w:rsid w:val="00E356FB"/>
    <w:rsid w:val="00E37333"/>
    <w:rsid w:val="00E4013D"/>
    <w:rsid w:val="00E53F8D"/>
    <w:rsid w:val="00E67777"/>
    <w:rsid w:val="00E73FF9"/>
    <w:rsid w:val="00E84F97"/>
    <w:rsid w:val="00E87235"/>
    <w:rsid w:val="00EA0197"/>
    <w:rsid w:val="00EA2C25"/>
    <w:rsid w:val="00EB2F0D"/>
    <w:rsid w:val="00EB37C8"/>
    <w:rsid w:val="00EB7E26"/>
    <w:rsid w:val="00EC4231"/>
    <w:rsid w:val="00ED18B2"/>
    <w:rsid w:val="00ED2611"/>
    <w:rsid w:val="00EE09B2"/>
    <w:rsid w:val="00EE3D48"/>
    <w:rsid w:val="00F0646A"/>
    <w:rsid w:val="00F0681A"/>
    <w:rsid w:val="00F10311"/>
    <w:rsid w:val="00F106F2"/>
    <w:rsid w:val="00F16FD2"/>
    <w:rsid w:val="00F24A23"/>
    <w:rsid w:val="00F26BA5"/>
    <w:rsid w:val="00F3482A"/>
    <w:rsid w:val="00F3654E"/>
    <w:rsid w:val="00F44950"/>
    <w:rsid w:val="00F47E2A"/>
    <w:rsid w:val="00F60B08"/>
    <w:rsid w:val="00F672BD"/>
    <w:rsid w:val="00F74FB5"/>
    <w:rsid w:val="00F911D8"/>
    <w:rsid w:val="00F9507E"/>
    <w:rsid w:val="00FA58ED"/>
    <w:rsid w:val="00FC50B9"/>
    <w:rsid w:val="00FC652C"/>
    <w:rsid w:val="00FD00C2"/>
    <w:rsid w:val="00FD2EDA"/>
    <w:rsid w:val="00FD5625"/>
    <w:rsid w:val="00FF443E"/>
    <w:rsid w:val="00FF5A0E"/>
    <w:rsid w:val="00FF7369"/>
    <w:rsid w:val="016C3F25"/>
    <w:rsid w:val="03F1578E"/>
    <w:rsid w:val="04207E21"/>
    <w:rsid w:val="047363CB"/>
    <w:rsid w:val="04F33A06"/>
    <w:rsid w:val="05167916"/>
    <w:rsid w:val="05B42D7A"/>
    <w:rsid w:val="062E5B7F"/>
    <w:rsid w:val="067032E2"/>
    <w:rsid w:val="06C12E7B"/>
    <w:rsid w:val="07313970"/>
    <w:rsid w:val="07A75160"/>
    <w:rsid w:val="08A07782"/>
    <w:rsid w:val="08A77D1D"/>
    <w:rsid w:val="095D58D4"/>
    <w:rsid w:val="099077F7"/>
    <w:rsid w:val="0A680DC7"/>
    <w:rsid w:val="0A812F49"/>
    <w:rsid w:val="0AAC7535"/>
    <w:rsid w:val="0B29497C"/>
    <w:rsid w:val="0B310B66"/>
    <w:rsid w:val="0B755F08"/>
    <w:rsid w:val="0B8B7CB8"/>
    <w:rsid w:val="0BA94BA0"/>
    <w:rsid w:val="0DDE3227"/>
    <w:rsid w:val="0EA63619"/>
    <w:rsid w:val="0ECE64E3"/>
    <w:rsid w:val="0FBC3932"/>
    <w:rsid w:val="0FF860F6"/>
    <w:rsid w:val="11A92D5A"/>
    <w:rsid w:val="137653B0"/>
    <w:rsid w:val="13951656"/>
    <w:rsid w:val="150426E8"/>
    <w:rsid w:val="15745D7E"/>
    <w:rsid w:val="19C00AF0"/>
    <w:rsid w:val="19EB0503"/>
    <w:rsid w:val="1A170473"/>
    <w:rsid w:val="1ADA2FC8"/>
    <w:rsid w:val="1AF06347"/>
    <w:rsid w:val="1C5D475B"/>
    <w:rsid w:val="20E26683"/>
    <w:rsid w:val="22C10C1F"/>
    <w:rsid w:val="23EE53EE"/>
    <w:rsid w:val="254E5B2F"/>
    <w:rsid w:val="26935EDB"/>
    <w:rsid w:val="26B134AE"/>
    <w:rsid w:val="26E16DB9"/>
    <w:rsid w:val="27630943"/>
    <w:rsid w:val="2813740A"/>
    <w:rsid w:val="284B7865"/>
    <w:rsid w:val="28C82F8B"/>
    <w:rsid w:val="2921629D"/>
    <w:rsid w:val="2AA7304B"/>
    <w:rsid w:val="2BE247D1"/>
    <w:rsid w:val="2BEB7DAC"/>
    <w:rsid w:val="2CB847EB"/>
    <w:rsid w:val="2D55028C"/>
    <w:rsid w:val="2E272EDA"/>
    <w:rsid w:val="2EA820C4"/>
    <w:rsid w:val="2F977028"/>
    <w:rsid w:val="301D3F44"/>
    <w:rsid w:val="306F7387"/>
    <w:rsid w:val="30934AE0"/>
    <w:rsid w:val="346266E6"/>
    <w:rsid w:val="35C6441D"/>
    <w:rsid w:val="36795ABE"/>
    <w:rsid w:val="37160690"/>
    <w:rsid w:val="379967C7"/>
    <w:rsid w:val="39183968"/>
    <w:rsid w:val="39545290"/>
    <w:rsid w:val="3CF015B5"/>
    <w:rsid w:val="3D4147A5"/>
    <w:rsid w:val="3DBA4867"/>
    <w:rsid w:val="3E470031"/>
    <w:rsid w:val="3E8C7A1C"/>
    <w:rsid w:val="3E9F580B"/>
    <w:rsid w:val="3F444158"/>
    <w:rsid w:val="424E715C"/>
    <w:rsid w:val="43741014"/>
    <w:rsid w:val="43E21CFA"/>
    <w:rsid w:val="44B4509B"/>
    <w:rsid w:val="45854AAA"/>
    <w:rsid w:val="46F05EFE"/>
    <w:rsid w:val="479D61E8"/>
    <w:rsid w:val="47D26E2E"/>
    <w:rsid w:val="48F70F7F"/>
    <w:rsid w:val="49441489"/>
    <w:rsid w:val="49451246"/>
    <w:rsid w:val="496F3AAC"/>
    <w:rsid w:val="49BA01F4"/>
    <w:rsid w:val="4AA46683"/>
    <w:rsid w:val="4B054C48"/>
    <w:rsid w:val="4B2104F5"/>
    <w:rsid w:val="4B9A1834"/>
    <w:rsid w:val="4D0E78D2"/>
    <w:rsid w:val="4D5A3E8D"/>
    <w:rsid w:val="4F442C6E"/>
    <w:rsid w:val="4F8B3806"/>
    <w:rsid w:val="4FBA3A5A"/>
    <w:rsid w:val="4FDC039B"/>
    <w:rsid w:val="50E658BB"/>
    <w:rsid w:val="520F42B6"/>
    <w:rsid w:val="537B772A"/>
    <w:rsid w:val="541128AF"/>
    <w:rsid w:val="55D9212D"/>
    <w:rsid w:val="56897637"/>
    <w:rsid w:val="56A63783"/>
    <w:rsid w:val="56DE2487"/>
    <w:rsid w:val="57133727"/>
    <w:rsid w:val="572E0BA1"/>
    <w:rsid w:val="57315742"/>
    <w:rsid w:val="575E0358"/>
    <w:rsid w:val="579979EC"/>
    <w:rsid w:val="590B5F53"/>
    <w:rsid w:val="5921149D"/>
    <w:rsid w:val="598E4111"/>
    <w:rsid w:val="59CF0B48"/>
    <w:rsid w:val="5A76346C"/>
    <w:rsid w:val="5BE24CBF"/>
    <w:rsid w:val="5C5770D0"/>
    <w:rsid w:val="5CB3754B"/>
    <w:rsid w:val="5CD964C5"/>
    <w:rsid w:val="5E644EDF"/>
    <w:rsid w:val="5FE7498C"/>
    <w:rsid w:val="603C5150"/>
    <w:rsid w:val="60B116A2"/>
    <w:rsid w:val="62656D48"/>
    <w:rsid w:val="63EB0A27"/>
    <w:rsid w:val="63F707DF"/>
    <w:rsid w:val="67F00651"/>
    <w:rsid w:val="6853303E"/>
    <w:rsid w:val="68F42855"/>
    <w:rsid w:val="6A1B3EF6"/>
    <w:rsid w:val="6A2F4921"/>
    <w:rsid w:val="6B5A338D"/>
    <w:rsid w:val="6BE762E1"/>
    <w:rsid w:val="6CD01102"/>
    <w:rsid w:val="6F2B6AC3"/>
    <w:rsid w:val="6F3C482C"/>
    <w:rsid w:val="6F6758BF"/>
    <w:rsid w:val="73A60B2C"/>
    <w:rsid w:val="73F751C6"/>
    <w:rsid w:val="740C296D"/>
    <w:rsid w:val="78A7191D"/>
    <w:rsid w:val="79AF6B6B"/>
    <w:rsid w:val="7A614800"/>
    <w:rsid w:val="7A6B1332"/>
    <w:rsid w:val="7BE14791"/>
    <w:rsid w:val="7C8E41ED"/>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qFormat="1"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27"/>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8"/>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9"/>
    <w:unhideWhenUsed/>
    <w:qFormat/>
    <w:uiPriority w:val="9"/>
    <w:pPr>
      <w:keepNext/>
      <w:keepLines/>
      <w:spacing w:before="260" w:after="260" w:line="416" w:lineRule="auto"/>
      <w:outlineLvl w:val="2"/>
    </w:pPr>
    <w:rPr>
      <w:b/>
      <w:bCs/>
      <w:sz w:val="32"/>
      <w:szCs w:val="32"/>
    </w:rPr>
  </w:style>
  <w:style w:type="character" w:default="1" w:styleId="17">
    <w:name w:val="Default Paragraph Font"/>
    <w:semiHidden/>
    <w:unhideWhenUsed/>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annotation text"/>
    <w:basedOn w:val="1"/>
    <w:link w:val="23"/>
    <w:unhideWhenUsed/>
    <w:qFormat/>
    <w:uiPriority w:val="99"/>
    <w:pPr>
      <w:jc w:val="left"/>
    </w:pPr>
  </w:style>
  <w:style w:type="paragraph" w:styleId="7">
    <w:name w:val="toc 3"/>
    <w:basedOn w:val="1"/>
    <w:next w:val="1"/>
    <w:unhideWhenUsed/>
    <w:qFormat/>
    <w:uiPriority w:val="39"/>
    <w:pPr>
      <w:tabs>
        <w:tab w:val="right" w:leader="dot" w:pos="7770"/>
        <w:tab w:val="left" w:leader="dot" w:pos="8400"/>
        <w:tab w:val="right" w:leader="dot" w:pos="8931"/>
      </w:tabs>
      <w:spacing w:line="460" w:lineRule="exact"/>
      <w:ind w:firstLine="960" w:firstLineChars="400"/>
      <w:jc w:val="center"/>
    </w:pPr>
    <w:rPr>
      <w:sz w:val="24"/>
    </w:rPr>
  </w:style>
  <w:style w:type="paragraph" w:styleId="8">
    <w:name w:val="Date"/>
    <w:basedOn w:val="1"/>
    <w:next w:val="1"/>
    <w:link w:val="31"/>
    <w:semiHidden/>
    <w:unhideWhenUsed/>
    <w:qFormat/>
    <w:uiPriority w:val="99"/>
    <w:pPr>
      <w:ind w:left="100" w:leftChars="2500"/>
    </w:pPr>
  </w:style>
  <w:style w:type="paragraph" w:styleId="9">
    <w:name w:val="Balloon Text"/>
    <w:basedOn w:val="1"/>
    <w:link w:val="22"/>
    <w:semiHidden/>
    <w:unhideWhenUsed/>
    <w:qFormat/>
    <w:uiPriority w:val="99"/>
    <w:rPr>
      <w:sz w:val="18"/>
      <w:szCs w:val="18"/>
    </w:rPr>
  </w:style>
  <w:style w:type="paragraph" w:styleId="10">
    <w:name w:val="footer"/>
    <w:basedOn w:val="1"/>
    <w:link w:val="21"/>
    <w:unhideWhenUsed/>
    <w:qFormat/>
    <w:uiPriority w:val="99"/>
    <w:pPr>
      <w:tabs>
        <w:tab w:val="center" w:pos="4153"/>
        <w:tab w:val="right" w:pos="8306"/>
      </w:tabs>
      <w:snapToGrid w:val="0"/>
      <w:jc w:val="left"/>
    </w:pPr>
    <w:rPr>
      <w:sz w:val="18"/>
      <w:szCs w:val="18"/>
    </w:rPr>
  </w:style>
  <w:style w:type="paragraph" w:styleId="11">
    <w:name w:val="header"/>
    <w:basedOn w:val="1"/>
    <w:link w:val="20"/>
    <w:unhideWhenUsed/>
    <w:qFormat/>
    <w:uiPriority w:val="0"/>
    <w:pPr>
      <w:pBdr>
        <w:bottom w:val="single" w:color="auto" w:sz="6" w:space="1"/>
      </w:pBdr>
      <w:tabs>
        <w:tab w:val="center" w:pos="4153"/>
        <w:tab w:val="right" w:pos="8306"/>
      </w:tabs>
      <w:snapToGrid w:val="0"/>
      <w:jc w:val="center"/>
    </w:pPr>
    <w:rPr>
      <w:sz w:val="18"/>
      <w:szCs w:val="18"/>
    </w:rPr>
  </w:style>
  <w:style w:type="paragraph" w:styleId="12">
    <w:name w:val="toc 1"/>
    <w:basedOn w:val="1"/>
    <w:next w:val="1"/>
    <w:unhideWhenUsed/>
    <w:qFormat/>
    <w:uiPriority w:val="39"/>
    <w:pPr>
      <w:widowControl/>
      <w:tabs>
        <w:tab w:val="left" w:leader="dot" w:pos="8190"/>
      </w:tabs>
    </w:pPr>
    <w:rPr>
      <w:rFonts w:ascii="Calibri" w:hAnsi="Calibri" w:cs="黑体" w:eastAsiaTheme="minorEastAsia"/>
      <w:sz w:val="24"/>
    </w:rPr>
  </w:style>
  <w:style w:type="paragraph" w:styleId="13">
    <w:name w:val="toc 2"/>
    <w:basedOn w:val="1"/>
    <w:next w:val="1"/>
    <w:unhideWhenUsed/>
    <w:qFormat/>
    <w:uiPriority w:val="39"/>
    <w:pPr>
      <w:tabs>
        <w:tab w:val="right" w:leader="dot" w:pos="8296"/>
      </w:tabs>
      <w:spacing w:line="460" w:lineRule="exact"/>
      <w:ind w:firstLine="480" w:firstLineChars="200"/>
      <w:jc w:val="left"/>
    </w:pPr>
    <w:rPr>
      <w:sz w:val="24"/>
    </w:rPr>
  </w:style>
  <w:style w:type="paragraph" w:styleId="14">
    <w:name w:val="annotation subject"/>
    <w:basedOn w:val="6"/>
    <w:next w:val="6"/>
    <w:link w:val="24"/>
    <w:semiHidden/>
    <w:unhideWhenUsed/>
    <w:qFormat/>
    <w:uiPriority w:val="99"/>
    <w:rPr>
      <w:b/>
      <w:bCs/>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Hyperlink"/>
    <w:unhideWhenUsed/>
    <w:qFormat/>
    <w:uiPriority w:val="99"/>
    <w:rPr>
      <w:color w:val="0000FF"/>
      <w:u w:val="single"/>
    </w:rPr>
  </w:style>
  <w:style w:type="character" w:styleId="19">
    <w:name w:val="annotation reference"/>
    <w:basedOn w:val="17"/>
    <w:semiHidden/>
    <w:unhideWhenUsed/>
    <w:qFormat/>
    <w:uiPriority w:val="99"/>
    <w:rPr>
      <w:sz w:val="21"/>
      <w:szCs w:val="21"/>
    </w:rPr>
  </w:style>
  <w:style w:type="character" w:customStyle="1" w:styleId="20">
    <w:name w:val="页眉 字符"/>
    <w:basedOn w:val="17"/>
    <w:link w:val="11"/>
    <w:qFormat/>
    <w:uiPriority w:val="99"/>
    <w:rPr>
      <w:rFonts w:ascii="Times New Roman" w:hAnsi="Times New Roman" w:eastAsia="宋体" w:cs="Times New Roman"/>
      <w:sz w:val="18"/>
      <w:szCs w:val="18"/>
    </w:rPr>
  </w:style>
  <w:style w:type="character" w:customStyle="1" w:styleId="21">
    <w:name w:val="页脚 字符"/>
    <w:basedOn w:val="17"/>
    <w:link w:val="10"/>
    <w:qFormat/>
    <w:uiPriority w:val="99"/>
    <w:rPr>
      <w:rFonts w:ascii="Times New Roman" w:hAnsi="Times New Roman" w:eastAsia="宋体" w:cs="Times New Roman"/>
      <w:sz w:val="18"/>
      <w:szCs w:val="18"/>
    </w:rPr>
  </w:style>
  <w:style w:type="character" w:customStyle="1" w:styleId="22">
    <w:name w:val="批注框文本 字符"/>
    <w:basedOn w:val="17"/>
    <w:link w:val="9"/>
    <w:semiHidden/>
    <w:qFormat/>
    <w:uiPriority w:val="99"/>
    <w:rPr>
      <w:rFonts w:ascii="Times New Roman" w:hAnsi="Times New Roman" w:eastAsia="宋体" w:cs="Times New Roman"/>
      <w:sz w:val="18"/>
      <w:szCs w:val="18"/>
    </w:rPr>
  </w:style>
  <w:style w:type="character" w:customStyle="1" w:styleId="23">
    <w:name w:val="批注文字 字符"/>
    <w:basedOn w:val="17"/>
    <w:link w:val="6"/>
    <w:qFormat/>
    <w:uiPriority w:val="99"/>
    <w:rPr>
      <w:rFonts w:ascii="Times New Roman" w:hAnsi="Times New Roman" w:eastAsia="宋体" w:cs="Times New Roman"/>
      <w:szCs w:val="24"/>
    </w:rPr>
  </w:style>
  <w:style w:type="character" w:customStyle="1" w:styleId="24">
    <w:name w:val="批注主题 字符"/>
    <w:basedOn w:val="23"/>
    <w:link w:val="14"/>
    <w:semiHidden/>
    <w:qFormat/>
    <w:uiPriority w:val="99"/>
    <w:rPr>
      <w:rFonts w:ascii="Times New Roman" w:hAnsi="Times New Roman" w:eastAsia="宋体" w:cs="Times New Roman"/>
      <w:b/>
      <w:bCs/>
      <w:szCs w:val="24"/>
    </w:rPr>
  </w:style>
  <w:style w:type="paragraph" w:customStyle="1" w:styleId="25">
    <w:name w:val="修订1"/>
    <w:hidden/>
    <w:semiHidden/>
    <w:qFormat/>
    <w:uiPriority w:val="99"/>
    <w:rPr>
      <w:rFonts w:ascii="Times New Roman" w:hAnsi="Times New Roman" w:eastAsia="宋体" w:cs="Times New Roman"/>
      <w:kern w:val="2"/>
      <w:sz w:val="21"/>
      <w:szCs w:val="24"/>
      <w:lang w:val="en-US" w:eastAsia="zh-CN" w:bidi="ar-SA"/>
    </w:rPr>
  </w:style>
  <w:style w:type="paragraph" w:styleId="26">
    <w:name w:val="List Paragraph"/>
    <w:basedOn w:val="1"/>
    <w:qFormat/>
    <w:uiPriority w:val="34"/>
    <w:pPr>
      <w:ind w:firstLine="420" w:firstLineChars="200"/>
    </w:pPr>
  </w:style>
  <w:style w:type="character" w:customStyle="1" w:styleId="27">
    <w:name w:val="标题 1 字符"/>
    <w:basedOn w:val="17"/>
    <w:link w:val="2"/>
    <w:uiPriority w:val="9"/>
    <w:rPr>
      <w:rFonts w:ascii="Times New Roman" w:hAnsi="Times New Roman" w:eastAsia="宋体" w:cs="Times New Roman"/>
      <w:b/>
      <w:bCs/>
      <w:kern w:val="44"/>
      <w:sz w:val="44"/>
      <w:szCs w:val="44"/>
    </w:rPr>
  </w:style>
  <w:style w:type="character" w:customStyle="1" w:styleId="28">
    <w:name w:val="标题 2 字符"/>
    <w:basedOn w:val="17"/>
    <w:link w:val="3"/>
    <w:qFormat/>
    <w:uiPriority w:val="9"/>
    <w:rPr>
      <w:rFonts w:asciiTheme="majorHAnsi" w:hAnsiTheme="majorHAnsi" w:eastAsiaTheme="majorEastAsia" w:cstheme="majorBidi"/>
      <w:b/>
      <w:bCs/>
      <w:sz w:val="32"/>
      <w:szCs w:val="32"/>
    </w:rPr>
  </w:style>
  <w:style w:type="character" w:customStyle="1" w:styleId="29">
    <w:name w:val="标题 3 字符"/>
    <w:basedOn w:val="17"/>
    <w:link w:val="4"/>
    <w:qFormat/>
    <w:uiPriority w:val="9"/>
    <w:rPr>
      <w:rFonts w:ascii="Times New Roman" w:hAnsi="Times New Roman" w:eastAsia="宋体" w:cs="Times New Roman"/>
      <w:b/>
      <w:bCs/>
      <w:sz w:val="32"/>
      <w:szCs w:val="32"/>
    </w:rPr>
  </w:style>
  <w:style w:type="paragraph" w:customStyle="1" w:styleId="30">
    <w:name w:val="TOC 标题1"/>
    <w:basedOn w:val="2"/>
    <w:next w:val="1"/>
    <w:unhideWhenUsed/>
    <w:qFormat/>
    <w:uiPriority w:val="39"/>
    <w:pPr>
      <w:widowControl/>
      <w:spacing w:before="240" w:after="0" w:line="259" w:lineRule="auto"/>
      <w:jc w:val="left"/>
      <w:outlineLvl w:val="9"/>
    </w:pPr>
    <w:rPr>
      <w:rFonts w:asciiTheme="majorHAnsi" w:hAnsiTheme="majorHAnsi" w:eastAsiaTheme="majorEastAsia" w:cstheme="majorBidi"/>
      <w:b w:val="0"/>
      <w:bCs w:val="0"/>
      <w:color w:val="376092" w:themeColor="accent1" w:themeShade="BF"/>
      <w:kern w:val="0"/>
      <w:sz w:val="32"/>
      <w:szCs w:val="32"/>
    </w:rPr>
  </w:style>
  <w:style w:type="character" w:customStyle="1" w:styleId="31">
    <w:name w:val="日期 字符"/>
    <w:basedOn w:val="17"/>
    <w:link w:val="8"/>
    <w:semiHidden/>
    <w:qFormat/>
    <w:uiPriority w:val="99"/>
    <w:rPr>
      <w:rFonts w:ascii="Times New Roman" w:hAnsi="Times New Roman" w:eastAsia="宋体" w:cs="Times New Roman"/>
      <w:szCs w:val="24"/>
    </w:rPr>
  </w:style>
  <w:style w:type="paragraph" w:customStyle="1" w:styleId="32">
    <w:name w:val="_Style 29"/>
    <w:basedOn w:val="1"/>
    <w:next w:val="1"/>
    <w:uiPriority w:val="39"/>
    <w:pPr>
      <w:tabs>
        <w:tab w:val="right" w:leader="dot" w:pos="9344"/>
      </w:tabs>
      <w:spacing w:line="360" w:lineRule="auto"/>
    </w:pPr>
    <w:rPr>
      <w:rFonts w:hAnsi="宋体"/>
      <w:bCs/>
      <w:kern w:val="0"/>
      <w:sz w:val="24"/>
      <w:szCs w:val="32"/>
    </w:rPr>
  </w:style>
  <w:style w:type="paragraph" w:customStyle="1" w:styleId="33">
    <w:name w:val="_Style 30"/>
    <w:basedOn w:val="1"/>
    <w:next w:val="1"/>
    <w:qFormat/>
    <w:uiPriority w:val="39"/>
    <w:pPr>
      <w:spacing w:line="360" w:lineRule="auto"/>
    </w:pPr>
    <w:rPr>
      <w:rFonts w:eastAsia="黑体"/>
      <w:sz w:val="24"/>
      <w:szCs w:val="20"/>
    </w:rPr>
  </w:style>
  <w:style w:type="table" w:customStyle="1" w:styleId="34">
    <w:name w:val="TableGrid"/>
    <w:qFormat/>
    <w:uiPriority w:val="0"/>
    <w:tblPr>
      <w:tblCellMar>
        <w:top w:w="0" w:type="dxa"/>
        <w:left w:w="0" w:type="dxa"/>
        <w:bottom w:w="0" w:type="dxa"/>
        <w:right w:w="0" w:type="dxa"/>
      </w:tblCellMar>
    </w:tblPr>
  </w:style>
  <w:style w:type="paragraph" w:customStyle="1" w:styleId="35">
    <w:name w:val="12表格内容"/>
    <w:basedOn w:val="1"/>
    <w:autoRedefine/>
    <w:qFormat/>
    <w:uiPriority w:val="0"/>
    <w:pPr>
      <w:jc w:val="center"/>
    </w:pPr>
    <w:rPr>
      <w:szCs w:val="21"/>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23" Type="http://schemas.microsoft.com/office/2011/relationships/people" Target="people.xml"/><Relationship Id="rId22" Type="http://schemas.openxmlformats.org/officeDocument/2006/relationships/fontTable" Target="fontTable.xml"/><Relationship Id="rId21" Type="http://schemas.openxmlformats.org/officeDocument/2006/relationships/customXml" Target="../customXml/item1.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image" Target="media/image10.png"/><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jpe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1D9217-CAB5-4425-AB94-3B9EBAE0EA0D}">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21</Pages>
  <Words>454</Words>
  <Characters>669</Characters>
  <Lines>84</Lines>
  <Paragraphs>23</Paragraphs>
  <TotalTime>3</TotalTime>
  <ScaleCrop>false</ScaleCrop>
  <LinksUpToDate>false</LinksUpToDate>
  <CharactersWithSpaces>774</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2021-09-16T10:05:00Z</dcterms:created>
  <dc:creator>胡志远</dc:creator>
  <cp:lastModifiedBy>star</cp:lastModifiedBy>
  <cp:lastPrinted>2024-08-16T02:01:00Z</cp:lastPrinted>
  <dcterms:modified xsi:type="dcterms:W3CDTF">2026-03-01T00:50:44Z</dcterms:modified>
  <cp:revision>172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6C81DA162A1B40E79D954F400E93AE9F_13</vt:lpwstr>
  </property>
  <property fmtid="{D5CDD505-2E9C-101B-9397-08002B2CF9AE}" pid="4" name="KSOTemplateDocerSaveRecord">
    <vt:lpwstr>eyJoZGlkIjoiMjA5MDFjZTYwODUwNmQzOWE4YTg3YWE3ZTUwZWU3NmQiLCJ1c2VySWQiOiIxMTM2NjEyMjE2In0=</vt:lpwstr>
  </property>
</Properties>
</file>