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206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construire_modele.m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à partir de zéro le modèle Simulink : chart Stateflow identique au firmware, modèle physique, scénarios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Simulation_Sechoir_Hybride.slx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 (généré)</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en boucle fermée : FSM + puissance + thermique + séchage + brûleur</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BRULEUR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 de flamme simulé : flamme si une vanne de gaz est ouverte (au pas précédent), sauf panne ; flamme parasite simulable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MODELE_SECHAGE + intégrateur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de l'air extrait H_sec (modèle illustratif),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From Workspace (sc_*)</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Scénarios : boutons, consignes, capteurs, défauts, apport solaire P_sol — définis dans </w:t>
            </w:r>
            <w:r>
              <w:rPr>
                <w:rFonts w:ascii="Consolas" w:cs="Consolas" w:eastAsia="Consolas" w:hAnsi="Consolas"/>
                <w:color w:val="1F3864"/>
                <w:sz w:val="20"/>
                <w:szCs w:val="20"/>
              </w:rPr>
              <w:t xml:space="preserve">scenario_sechoir.m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 SUIVI, blocs To Workspace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en direct (T_sec, H_sec, état) et enregistrement des signaux pour les figures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spacing w:after="120" w:line="276"/>
        <w:jc w:val="both"/>
      </w:pPr>
      <w:r>
        <w:t xml:space="preserve">Le modèle est </w:t>
      </w:r>
      <w:r>
        <w:rPr>
          <w:b/>
          <w:bCs/>
        </w:rPr>
        <w:t xml:space="preserve">construit entièrement par script, à partir de zéro</w:t>
      </w:r>
      <w:r>
        <w:t xml:space="preserve"> (</w:t>
      </w:r>
      <w:r>
        <w:rPr>
          <w:rFonts w:ascii="Consolas" w:cs="Consolas" w:eastAsia="Consolas" w:hAnsi="Consolas"/>
          <w:color w:val="1F3864"/>
          <w:sz w:val="20"/>
          <w:szCs w:val="20"/>
        </w:rPr>
        <w:t xml:space="preserve">construire_modele.m</w:t>
      </w:r>
      <w:r>
        <w:t xml:space="preserve">) : aucun fichier </w:t>
      </w:r>
      <w:r>
        <w:rPr>
          <w:rFonts w:ascii="Consolas" w:cs="Consolas" w:eastAsia="Consolas" w:hAnsi="Consolas"/>
          <w:color w:val="1F3864"/>
          <w:sz w:val="20"/>
          <w:szCs w:val="20"/>
        </w:rPr>
        <w:t xml:space="preserve">.slx</w:t>
      </w:r>
      <w:r>
        <w:t xml:space="preserve"> n'est édité à la main, et le modèle peut être reconstruit à l'identique à tout moment. Chaque état du chart est créé directement dans son parent, ce qui garantit la hiérarchie. Une première approche, qui complétait le modèle fourni au départ, a été abandonnée : ses ports n'étaient pas câblés et son chart ne comportait aucune transition par défaut. Dans MATLAB R2025b, dossier </w:t>
      </w:r>
      <w:r>
        <w:rPr>
          <w:rFonts w:ascii="Consolas" w:cs="Consolas" w:eastAsia="Consolas" w:hAnsi="Consolas"/>
          <w:color w:val="1F3864"/>
          <w:sz w:val="20"/>
          <w:szCs w:val="20"/>
        </w:rPr>
        <w:t xml:space="preserve">matlab/</w:t>
      </w:r>
      <w:r>
        <w:t xml:space="preserve"> :</w:t>
      </w:r>
    </w:p>
    <w:p>
      <w:pPr>
        <w:pStyle w:val="ListParagraph"/>
        <w:numPr>
          <w:ilvl w:val="0"/>
          <w:numId w:val="4"/>
        </w:numPr>
        <w:spacing w:after="60" w:line="264"/>
        <w:jc w:val="left"/>
      </w:pPr>
      <w:r>
        <w:rPr>
          <w:rFonts w:ascii="Consolas" w:cs="Consolas" w:eastAsia="Consolas" w:hAnsi="Consolas"/>
          <w:color w:val="1F3864"/>
          <w:sz w:val="20"/>
          <w:szCs w:val="20"/>
        </w:rPr>
        <w:t xml:space="preserve">construire_modele</w:t>
      </w:r>
      <w:r>
        <w:t xml:space="preserve"> : crée </w:t>
      </w:r>
      <w:r>
        <w:rPr>
          <w:rFonts w:ascii="Consolas" w:cs="Consolas" w:eastAsia="Consolas" w:hAnsi="Consolas"/>
          <w:color w:val="1F3864"/>
          <w:sz w:val="20"/>
          <w:szCs w:val="20"/>
        </w:rPr>
        <w:t xml:space="preserve">Simulation_Sechoir_Hybride.slx</w:t>
      </w:r>
      <w:r>
        <w:t xml:space="preserve"> — chart Stateflow (89 données, 20 états, transitions du firmware), câblage de ses 21 entrées, conversion de puissance, modèle thermique, séchage, brûleur, apport solaire, scénarios et enregistrement — règle le solveur, puis compile le modèle.</w:t>
      </w:r>
    </w:p>
    <w:p>
      <w:pPr>
        <w:pStyle w:val="ListParagraph"/>
        <w:numPr>
          <w:ilvl w:val="0"/>
          <w:numId w:val="4"/>
        </w:numPr>
        <w:spacing w:after="60" w:line="264"/>
        <w:jc w:val="left"/>
      </w:pPr>
      <w:r>
        <w:rPr>
          <w:rFonts w:ascii="Consolas" w:cs="Consolas" w:eastAsia="Consolas" w:hAnsi="Consolas"/>
          <w:color w:val="1F3864"/>
          <w:sz w:val="20"/>
          <w:szCs w:val="20"/>
        </w:rPr>
        <w:t xml:space="preserve">lancer_simulation(1)</w:t>
      </w:r>
      <w:r>
        <w:t xml:space="preserve"> : simule le scénario 1, affiche la chronologie des états et enregistre la figure </w:t>
      </w:r>
      <w:r>
        <w:rPr>
          <w:rFonts w:ascii="Consolas" w:cs="Consolas" w:eastAsia="Consolas" w:hAnsi="Consolas"/>
          <w:color w:val="1F3864"/>
          <w:sz w:val="20"/>
          <w:szCs w:val="20"/>
        </w:rPr>
        <w:t xml:space="preserve">captures/scenario_01.png</w:t>
      </w:r>
      <w:r>
        <w:t xml:space="preserve"> (300 dpi). </w:t>
      </w:r>
      <w:r>
        <w:rPr>
          <w:rFonts w:ascii="Consolas" w:cs="Consolas" w:eastAsia="Consolas" w:hAnsi="Consolas"/>
          <w:color w:val="1F3864"/>
          <w:sz w:val="20"/>
          <w:szCs w:val="20"/>
        </w:rPr>
        <w:t xml:space="preserve">lancer_simulation(1:12)</w:t>
      </w:r>
      <w:r>
        <w:t xml:space="preserve"> enchaîne les douze scénarios.</w:t>
      </w:r>
    </w:p>
    <w:p>
      <w:pPr>
        <w:pStyle w:val="ListParagraph"/>
        <w:numPr>
          <w:ilvl w:val="0"/>
          <w:numId w:val="4"/>
        </w:numPr>
        <w:spacing w:after="60" w:line="264"/>
        <w:jc w:val="left"/>
      </w:pPr>
      <w:r>
        <w:rPr>
          <w:rFonts w:ascii="Consolas" w:cs="Consolas" w:eastAsia="Consolas" w:hAnsi="Consolas"/>
          <w:color w:val="1F3864"/>
          <w:sz w:val="20"/>
          <w:szCs w:val="20"/>
        </w:rPr>
        <w:t xml:space="preserve">comparer_scenario(1)</w:t>
      </w:r>
      <w:r>
        <w:t xml:space="preserve"> : superpose la simulation Simulink et la référence du firmware (§15.3), liste l'écart de temps de chaque changement d'état et enregistre </w:t>
      </w:r>
      <w:r>
        <w:rPr>
          <w:rFonts w:ascii="Consolas" w:cs="Consolas" w:eastAsia="Consolas" w:hAnsi="Consolas"/>
          <w:color w:val="1F3864"/>
          <w:sz w:val="20"/>
          <w:szCs w:val="20"/>
        </w:rPr>
        <w:t xml:space="preserve">captures/comparaison_01.png</w:t>
      </w:r>
      <w:r>
        <w:t xml:space="preserve">.</w:t>
      </w:r>
    </w:p>
    <w:p>
      <w:pPr>
        <w:pStyle w:val="ListParagraph"/>
        <w:numPr>
          <w:ilvl w:val="0"/>
          <w:numId w:val="4"/>
        </w:numPr>
        <w:spacing w:after="60" w:line="264"/>
        <w:jc w:val="left"/>
      </w:pPr>
      <w:r>
        <w:rPr>
          <w:rFonts w:ascii="Consolas" w:cs="Consolas" w:eastAsia="Consolas" w:hAnsi="Consolas"/>
          <w:color w:val="1F3864"/>
          <w:sz w:val="20"/>
          <w:szCs w:val="20"/>
        </w:rPr>
        <w:t xml:space="preserve">capturer_modele</w:t>
      </w:r>
      <w:r>
        <w:t xml:space="preserve"> : exporte les images du modèle, du sous-système FSM et du chart Stateflow pour ce document.</w:t>
      </w:r>
    </w:p>
    <w:p>
      <w:pPr>
        <w:pStyle w:val="Heading2"/>
      </w:pPr>
      <w:r>
        <w:t xml:space="preserve">14.3 Réglages faits par construire_modele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réglage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BRULEUR : flamme = (V_H2 OU V_But) au pas précédent, sauf panne simulée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Une constante 1 déclencherait l'urgence « flamme parasite » gaz fermé ; une constante 0,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MODELE_SECHAGE + intégrateur (départ 90 %)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P_sol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Apport du capteur solaire (W), 20 / 0,098 ≈ 204 W par ciel clair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Cohérent avec T_cap estimée = T_amb + 20 °C</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Impulsions de 1 s (Btn_Start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 réponses de l'opérateur</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MQ8_H2, MQ6_But, 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 bar ; 50 ; 50 ; 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 pas de fuite, 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(ode4), chart discret à 0,1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du modèle de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 ; P_sol = 204 W</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 T_sec monte vers 55 °C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8 → 0,5 bar à 1250 s (brûleur à 33 %)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rallumage GPL à 33 %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et P_sol : rampe de 1200 à 2400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70 ; flamme perdue 5 s à 350 s et à 700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 ; réarmement à 900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 ; T_sec atteint 90 °C vers 32 min → TERMINE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0 (100 %)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vers 10,5 min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Les scripts ont été vérifiés par analyse statique (chapitre 15). Les premiers essais sous MATLAB R2025b ont validé la création des données, de la hiérarchie et des transitions ; le modèle construit à partir de zéro </w:t>
            </w:r>
            <w:r>
              <w:rPr>
                <w:b/>
                <w:bCs/>
              </w:rPr>
              <w:t xml:space="preserve">compile sans erreur</w:t>
            </w:r>
            <w:r>
              <w:t xml:space="preserve"> ; la simulation des scénarios est à confirmer.</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pendant la veille à 0 % : veille conservée, aucune ouverture de gaz avant le retour de la demande (défaut trouvé par la simulation, §15.3)</w:t>
            </w:r>
          </w:p>
        </w:tc>
      </w:tr>
    </w:tbl>
    <w:p>
      <w:pPr>
        <w:spacing w:after="200" w:before="60"/>
        <w:jc w:val="center"/>
      </w:pPr>
      <w:r>
        <w:rPr>
          <w:i/>
          <w:iCs/>
          <w:color w:val="4A5568"/>
          <w:sz w:val="19"/>
          <w:szCs w:val="19"/>
        </w:rPr>
        <w:t xml:space="preserve">Tableau 28 : Cas de test (206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toutes les vérifications.</w:t>
      </w:r>
    </w:p>
    <w:p>
      <w:pPr>
        <w:pStyle w:val="Heading2"/>
      </w:pPr>
      <w:r>
        <w:t xml:space="preserve">15.3 Simulation de référence des scénarios et défaut trouvé</w:t>
      </w:r>
    </w:p>
    <w:p>
      <w:pPr>
        <w:spacing w:after="120" w:line="276"/>
        <w:jc w:val="both"/>
      </w:pPr>
      <w:r>
        <w:t xml:space="preserve">Le programme </w:t>
      </w:r>
      <w:r>
        <w:rPr>
          <w:rFonts w:ascii="Consolas" w:cs="Consolas" w:eastAsia="Consolas" w:hAnsi="Consolas"/>
          <w:color w:val="1F3864"/>
          <w:sz w:val="20"/>
          <w:szCs w:val="20"/>
        </w:rPr>
        <w:t xml:space="preserve">tests/simulation_scenarios.cpp</w:t>
      </w:r>
      <w:r>
        <w:t xml:space="preserve"> exécute le </w:t>
      </w:r>
      <w:r>
        <w:rPr>
          <w:b/>
          <w:bCs/>
        </w:rPr>
        <w:t xml:space="preserve">firmware réel</w:t>
      </w:r>
      <w:r>
        <w:t xml:space="preserve"> sur les douze scénarios du tableau 14.4, bouclé sur le </w:t>
      </w:r>
      <w:r>
        <w:rPr>
          <w:b/>
          <w:bCs/>
        </w:rPr>
        <w:t xml:space="preserve">même modèle physique</w:t>
      </w:r>
      <w:r>
        <w:t xml:space="preserve"> que Simulink (Pnom = 5000 W, Kth = 0,098 K/W, τ = 3530 s, même brûleur, même séchage). Les scénarios sont lus dans </w:t>
      </w:r>
      <w:r>
        <w:rPr>
          <w:rFonts w:ascii="Consolas" w:cs="Consolas" w:eastAsia="Consolas" w:hAnsi="Consolas"/>
          <w:color w:val="1F3864"/>
          <w:sz w:val="20"/>
          <w:szCs w:val="20"/>
        </w:rPr>
        <w:t xml:space="preserve">scenario_sechoir.m</w:t>
      </w:r>
      <w:r>
        <w:t xml:space="preserve"> : une seule définition sert aux deux simulations. Les courbes obtenues (</w:t>
      </w:r>
      <w:r>
        <w:rPr>
          <w:rFonts w:ascii="Consolas" w:cs="Consolas" w:eastAsia="Consolas" w:hAnsi="Consolas"/>
          <w:color w:val="1F3864"/>
          <w:sz w:val="20"/>
          <w:szCs w:val="20"/>
        </w:rPr>
        <w:t xml:space="preserve">matlab/reference/</w:t>
      </w:r>
      <w:r>
        <w:t xml:space="preserve">) sont les </w:t>
      </w:r>
      <w:r>
        <w:rPr>
          <w:b/>
          <w:bCs/>
        </w:rPr>
        <w:t xml:space="preserve">résultats attendus</w:t>
      </w:r>
      <w:r>
        <w:t xml:space="preserve"> du modèle Stateflow ; </w:t>
      </w:r>
      <w:r>
        <w:rPr>
          <w:rFonts w:ascii="Consolas" w:cs="Consolas" w:eastAsia="Consolas" w:hAnsi="Consolas"/>
          <w:color w:val="1F3864"/>
          <w:sz w:val="20"/>
          <w:szCs w:val="20"/>
        </w:rPr>
        <w:t xml:space="preserve">comparer_scenario</w:t>
      </w:r>
      <w:r>
        <w:t xml:space="preserve"> mesure l'écart entre les deux.</w:t>
      </w:r>
    </w:p>
    <w:p>
      <w:pPr>
        <w:spacing w:after="120" w:line="276"/>
        <w:jc w:val="both"/>
      </w:pPr>
      <w:r>
        <w:t xml:space="preserve">Cette simulation a mis en évidence un défaut que le banc de tests ne couvrait pas. Quand la bascule H2 → GPL survient </w:t>
      </w:r>
      <w:r>
        <w:rPr>
          <w:b/>
          <w:bCs/>
        </w:rPr>
        <w:t xml:space="preserve">pendant la veille à 0 %</w:t>
      </w:r>
      <w:r>
        <w:t xml:space="preserve">, la purge de bascule se terminait par un allumage </w:t>
      </w:r>
      <w:r>
        <w:rPr>
          <w:b/>
          <w:bCs/>
        </w:rPr>
        <w:t xml:space="preserve">au palier 0 %</w:t>
      </w:r>
      <w:r>
        <w:t xml:space="preserve"> : vanne source GPL et étincelle actives, aucune électrovanne de rampe ouverte. La flamme détectée renvoyait aussitôt en purge sans relancer la temporisation, et la vanne GPL s'ouvrait et se fermait à chaque itération. Sur le prototype, sans électrovanne de rampe ouverte, la flamme ne s'établirait pas : trois échecs d'allumage et une ERREUR_COMBUSTION injustifiée. Correction : en fin de purge, la règle de la veille (attendre T_sec &lt; T3 − Hhyst/2 puis rallumer à 33 %) s'applique dès que le palier vaut 0 %, quelle que soit la raison de la purge. La même correction est portée dans le chart Stateflow, et le cas de test 22 vérifie ce comportement.</w:t>
      </w:r>
    </w:p>
    <w:p>
      <w:pPr>
        <w:spacing w:after="120" w:line="276"/>
        <w:jc w:val="both"/>
      </w:pPr>
      <w:r>
        <w:rPr>
          <w:b/>
          <w:bCs/>
        </w:rPr>
        <w:t xml:space="preserve">Premier essai Simulink (MATLAB R2025b, scénario 1)</w:t>
      </w:r>
      <w:r>
        <w:t xml:space="preserve"> : le modèle Stateflow reproduit la même séquence que le firmware (MODE_H2 à 10 s, allumage à 100 % à 130 s, 67 % à 222 s, 33 % à 335 s, veille à 597 s, rallumage à 33 % à 1189 s…), avec des écarts inférieurs à 1 s pendant les vingt premières minutes. Un écart d'environ 4 s s'accumule ensuite à chaque cycle de veille (14 s après une heure) : le firmware lit la sonde T_sec une fois par seconde avec une conversion asynchrone du DS18B20, alors que Simulink la lit tous les 0,1 s. Ce retard de mesure fait légèrement dépasser le seuil de coupure, et la veille dure un peu plus longtemps. La séquence des états reste identique.</w:t>
      </w:r>
    </w:p>
    <w:p>
      <w:pPr>
        <w:pStyle w:val="Heading2"/>
      </w:pPr>
      <w:r>
        <w:t xml:space="preserve">15.4 Vérification du modèle Stateflow</w:t>
      </w:r>
    </w:p>
    <w:p>
      <w:pPr>
        <w:spacing w:after="120" w:line="276"/>
        <w:jc w:val="both"/>
      </w:pPr>
      <w:r>
        <w:t xml:space="preserve">Le script de construction et les libellés qu'il génère (actions des 20 états, conditions et actions des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 Sous MATLAB R2025b, les premiers essais ont révélé deux problèmes, corrigés : une syntaxe d'appel refusée par cette version (</w:t>
      </w:r>
      <w:r>
        <w:rPr>
          <w:rFonts w:ascii="Consolas" w:cs="Consolas" w:eastAsia="Consolas" w:hAnsi="Consolas"/>
          <w:color w:val="1F3864"/>
          <w:sz w:val="20"/>
          <w:szCs w:val="20"/>
        </w:rPr>
        <w:t xml:space="preserve">sfroot.find</w:t>
      </w:r>
      <w:r>
        <w:t xml:space="preserve">), et l'absence de transition par défaut dans le chart d'origine — raison du passage à une construction complète à partir de zéro.</w:t>
      </w:r>
    </w:p>
    <w:p>
      <w:pPr>
        <w:pStyle w:val="Heading2"/>
      </w:pPr>
      <w:r>
        <w:t xml:space="preserve">15.5 Ce qui reste à valider</w:t>
      </w:r>
    </w:p>
    <w:p>
      <w:pPr>
        <w:pStyle w:val="ListParagraph"/>
        <w:numPr>
          <w:ilvl w:val="0"/>
          <w:numId w:val="2"/>
        </w:numPr>
        <w:spacing w:after="60" w:line="264"/>
        <w:jc w:val="left"/>
      </w:pPr>
      <w:r>
        <w:t xml:space="preserve">Exécution des scripts dans MATLAB/Simulink, puis comparaison des douze scénarios avec la référence du firmware (</w:t>
      </w:r>
      <w:r>
        <w:rPr>
          <w:rFonts w:ascii="Consolas" w:cs="Consolas" w:eastAsia="Consolas" w:hAnsi="Consolas"/>
          <w:color w:val="1F3864"/>
          <w:sz w:val="20"/>
          <w:szCs w:val="20"/>
        </w:rPr>
        <w:t xml:space="preserve">comparer_scenario</w:t>
      </w:r>
      <w:r>
        <w:t xml:space="preserve">).</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des simulations de référence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GNU Octave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Écriture des scénarios pour le banc firmware ; vérification des scripts de tracé hors MATLAB</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 (R2025b)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29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zsuw7pedhgdnxsmrcrk0_">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kcmsih2_tf1iauj__hcov">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1tcf_tzcrqn6ltq2jskj4">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v3mrjirc-jdovyozqlcmw">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tfyvtwwumfveu092-nizp">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qwp2h5hkwcz7etjveitke">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xdd5786z2ngmz46orgz6n">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br8iopzm6hzkuw0k85zjg">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4v580w5hmdqpjc6jzzqrh">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ned9pejm8gaksmxq39tod">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r2fmmwwluvo_2lzp2y2_">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uj0eajjk9jkvo8dp-f6na">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gfhs6sgxzt040taw8e1dj">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f_gsrpatfu2qctnqpbjoc">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i3b5bnv3dfpqppkio1hpc">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dwhdld1o2jym-i-fd1tfc">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gsdylkekhwc4qekria8oh">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txaf27d-jtynidwj2pp3q">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9pyxut036zcn51zhbo5dk">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iry_fvruq1t9nxz10oszy">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oqu6dkhorkiutguztcv5h">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wgyblctefrklmr0xybxzr">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avfrq3rrkdxebdlsvh75x">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cgxzyskgny_e2q5j4fxxn">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hizkmlfogvjbkjl83wlk5">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rsl0wqbajk_eui3i9iagj">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n7eybsepuyp5p43sxlzzi">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p5eij-pihgssuqdhca-ak">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p3fdc9eirweore30y1xuf">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n2lyska6k3sptyslngjmi">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ae2-510itupqe1tu5nqx">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vlxawydm2wo6pnjupjgyg">
        <w:r>
          <w:rPr>
            <w:rStyle w:val="Hyperlink"/>
            <w:sz w:val="19"/>
            <w:szCs w:val="19"/>
          </w:rPr>
          <w:t xml:space="preserve">https://gcc.gnu.org/</w:t>
        </w:r>
      </w:hyperlink>
    </w:p>
    <w:p>
      <w:pPr>
        <w:spacing w:after="100"/>
        <w:ind w:left="567" w:hanging="567"/>
        <w:jc w:val="left"/>
      </w:pPr>
      <w:r>
        <w:rPr>
          <w:b/>
          <w:bCs/>
        </w:rPr>
        <w:t xml:space="preserve">[35]	</w:t>
      </w:r>
      <w:r>
        <w:t xml:space="preserve">J. W. Eaton, D. Bateman, S. Hauberg et R. Wehbring, </w:t>
      </w:r>
      <w:r>
        <w:rPr>
          <w:i/>
          <w:iCs/>
        </w:rPr>
        <w:t xml:space="preserve">GNU Octave — manuel de référence</w:t>
      </w:r>
      <w:r>
        <w:t xml:space="preserve">.</w:t>
      </w:r>
      <w:r>
        <w:t xml:space="preserve"> </w:t>
      </w:r>
      <w:hyperlink w:history="1" r:id="rIdq_feo6kmtpisptylgbslg">
        <w:r>
          <w:rPr>
            <w:rStyle w:val="Hyperlink"/>
            <w:sz w:val="19"/>
            <w:szCs w:val="19"/>
          </w:rPr>
          <w:t xml:space="preserve">https://octave.org/doc/</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30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31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zsuw7pedhgdnxsmrcrk0_" Type="http://schemas.openxmlformats.org/officeDocument/2006/relationships/hyperlink" Target="https://doi.org/10.1016/0167-6423(87)90035-9" TargetMode="External"/><Relationship Id="rIdkcmsih2_tf1iauj__hcov" Type="http://schemas.openxmlformats.org/officeDocument/2006/relationships/hyperlink" Target="https://ptolemy.berkeley.edu/books/leeseshia/" TargetMode="External"/><Relationship Id="rId1tcf_tzcrqn6ltq2jskj4" Type="http://schemas.openxmlformats.org/officeDocument/2006/relationships/hyperlink" Target="https://www.state-machine.com/psicc2" TargetMode="External"/><Relationship Id="rIdv3mrjirc-jdovyozqlcmw" Type="http://schemas.openxmlformats.org/officeDocument/2006/relationships/hyperlink" Target="https://fbswiki.org/wiki/index.php/Feedback_Systems:_An_Introduction_for_Scientists_and_Engineers" TargetMode="External"/><Relationship Id="rIdtfyvtwwumfveu092-nizp" Type="http://schemas.openxmlformats.org/officeDocument/2006/relationships/hyperlink" Target="https://doi.org/10.1002/9781118671603" TargetMode="External"/><Relationship Id="rIdqwp2h5hkwcz7etjveitke" Type="http://schemas.openxmlformats.org/officeDocument/2006/relationships/hyperlink" Target="https://doi.org/10.1201/b17208" TargetMode="External"/><Relationship Id="rIdxdd5786z2ngmz46orgz6n" Type="http://schemas.openxmlformats.org/officeDocument/2006/relationships/hyperlink" Target="https://doi.org/10.1016/j.solener.2009.10.001" TargetMode="External"/><Relationship Id="rIdbr8iopzm6hzkuw0k85zjg" Type="http://schemas.openxmlformats.org/officeDocument/2006/relationships/hyperlink" Target="https://doi.org/10.1016/S0196-8904(98)00093-4" TargetMode="External"/><Relationship Id="rId4v580w5hmdqpjc6jzzqrh" Type="http://schemas.openxmlformats.org/officeDocument/2006/relationships/hyperlink" Target="https://doi.org/10.1016/j.rser.2009.07.032" TargetMode="External"/><Relationship Id="rIdned9pejm8gaksmxq39tod" Type="http://schemas.openxmlformats.org/officeDocument/2006/relationships/hyperlink" Target="https://www.sciencedirect.com/science/article/abs/pii/S0038092X13000546" TargetMode="External"/><Relationship Id="rId-r2fmmwwluvo_2lzp2y2_" Type="http://schemas.openxmlformats.org/officeDocument/2006/relationships/hyperlink" Target="https://www.sciencedirect.com/science/article/abs/pii/S0960148119314934" TargetMode="External"/><Relationship Id="rIduj0eajjk9jkvo8dp-f6na" Type="http://schemas.openxmlformats.org/officeDocument/2006/relationships/hyperlink" Target="https://standards.iteh.ai/catalog/standards/cen/8d0d6146-ea22-4c79-9626-38cc9d3ab760/en-298-2022" TargetMode="External"/><Relationship Id="rIdgfhs6sgxzt040taw8e1dj" Type="http://schemas.openxmlformats.org/officeDocument/2006/relationships/hyperlink" Target="https://eur-lex.europa.eu/legal-content/EN/TXT/PDF/?uri=CELEX:32014L0034" TargetMode="External"/><Relationship Id="rIdf_gsrpatfu2qctnqpbjoc" Type="http://schemas.openxmlformats.org/officeDocument/2006/relationships/hyperlink" Target="https://www.sciencedirect.com/science/article/abs/pii/S036031991301358X" TargetMode="External"/><Relationship Id="rIdi3b5bnv3dfpqppkio1hpc" Type="http://schemas.openxmlformats.org/officeDocument/2006/relationships/hyperlink" Target="https://doi.org/10.1109/C-M.1978.218136" TargetMode="External"/><Relationship Id="rIddwhdld1o2jym-i-fd1tfc" Type="http://schemas.openxmlformats.org/officeDocument/2006/relationships/hyperlink" Target="https://doi.org/10.1109/TSE.2010.62" TargetMode="External"/><Relationship Id="rIdgsdylkekhwc4qekria8oh" Type="http://schemas.openxmlformats.org/officeDocument/2006/relationships/hyperlink" Target="https://www.mathworks.com/help/stateflow/ug/using-temporal-logic-in-state-actions-and-transitions.html" TargetMode="External"/><Relationship Id="rIdtxaf27d-jtynidwj2pp3q" Type="http://schemas.openxmlformats.org/officeDocument/2006/relationships/hyperlink" Target="https://www.mathworks.com/help/stateflow/ref/temporalcount.html" TargetMode="External"/><Relationship Id="rId9pyxut036zcn51zhbo5dk" Type="http://schemas.openxmlformats.org/officeDocument/2006/relationships/hyperlink" Target="https://www.mathworks.com/help/stateflow/ref/duration.html" TargetMode="External"/><Relationship Id="rIdiry_fvruq1t9nxz10oszy" Type="http://schemas.openxmlformats.org/officeDocument/2006/relationships/hyperlink" Target="https://docs.arduino.cc/hardware/mega-2560/" TargetMode="External"/><Relationship Id="rIdoqu6dkhorkiutguztcv5h" Type="http://schemas.openxmlformats.org/officeDocument/2006/relationships/hyperlink" Target="https://analog.com/media/en/technical-documentation/data-sheets/ds18b20.pdf" TargetMode="External"/><Relationship Id="rIdwgyblctefrklmr0xybxzr" Type="http://schemas.openxmlformats.org/officeDocument/2006/relationships/hyperlink" Target="https://www.adafruit.com/product/385" TargetMode="External"/><Relationship Id="rIdavfrq3rrkdxebdlsvh75x" Type="http://schemas.openxmlformats.org/officeDocument/2006/relationships/hyperlink" Target="https://github.com/PaulStoffregen/OneWire" TargetMode="External"/><Relationship Id="rIdcgxzyskgny_e2q5j4fxxn" Type="http://schemas.openxmlformats.org/officeDocument/2006/relationships/hyperlink" Target="https://github.com/milesburton/Arduino-Temperature-Control-Library" TargetMode="External"/><Relationship Id="rIdhizkmlfogvjbkjl83wlk5" Type="http://schemas.openxmlformats.org/officeDocument/2006/relationships/hyperlink" Target="https://github.com/adafruit/DHT-sensor-library" TargetMode="External"/><Relationship Id="rIdrsl0wqbajk_eui3i9iagj" Type="http://schemas.openxmlformats.org/officeDocument/2006/relationships/hyperlink" Target="https://github.com/johnrickman/LiquidCrystal_I2C" TargetMode="External"/><Relationship Id="rIdn7eybsepuyp5p43sxlzzi" Type="http://schemas.openxmlformats.org/officeDocument/2006/relationships/hyperlink" Target="https://misshit.org/" TargetMode="External"/><Relationship Id="rIdp5eij-pihgssuqdhca-ak" Type="http://schemas.openxmlformats.org/officeDocument/2006/relationships/hyperlink" Target="https://www.arduino.cc/en/software" TargetMode="External"/><Relationship Id="rIdp3fdc9eirweore30y1xuf" Type="http://schemas.openxmlformats.org/officeDocument/2006/relationships/hyperlink" Target="https://www.mathworks.com/products/stateflow.html" TargetMode="External"/><Relationship Id="rIdn2lyska6k3sptyslngjmi" Type="http://schemas.openxmlformats.org/officeDocument/2006/relationships/hyperlink" Target="https://doi.org/10.1109/MCSE.2007.55" TargetMode="External"/><Relationship Id="rId-ae2-510itupqe1tu5nqx" Type="http://schemas.openxmlformats.org/officeDocument/2006/relationships/hyperlink" Target="https://git-scm.com/" TargetMode="External"/><Relationship Id="rIdvlxawydm2wo6pnjupjgyg" Type="http://schemas.openxmlformats.org/officeDocument/2006/relationships/hyperlink" Target="https://gcc.gnu.org/" TargetMode="External"/><Relationship Id="rIdq_feo6kmtpisptylgbslg" Type="http://schemas.openxmlformats.org/officeDocument/2006/relationships/hyperlink" Target="https://octave.org/doc/"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2026-09-26T03:50:52.944Z</dcterms:created>
  <dcterms:modified xsi:type="dcterms:W3CDTF">2026-09-26T03:50:52.946Z</dcterms:modified>
</cp:coreProperties>
</file>

<file path=docProps/custom.xml><?xml version="1.0" encoding="utf-8"?>
<Properties xmlns="http://schemas.openxmlformats.org/officeDocument/2006/custom-properties" xmlns:vt="http://schemas.openxmlformats.org/officeDocument/2006/docPropsVTypes"/>
</file>