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4DBD3" w14:textId="77777777" w:rsidR="0033561A" w:rsidRDefault="00000000">
      <w:pPr>
        <w:pStyle w:val="Title"/>
        <w:jc w:val="center"/>
      </w:pPr>
      <w:r>
        <w:t>Multi-Agent Research System for UX and AI-Assisted Design</w:t>
      </w:r>
    </w:p>
    <w:p w14:paraId="641176FA" w14:textId="77777777" w:rsidR="000D5569" w:rsidRPr="000D5569" w:rsidRDefault="000D5569" w:rsidP="000D5569">
      <w:r w:rsidRPr="000D5569">
        <w:t xml:space="preserve">By: Sara Kiel, </w:t>
      </w:r>
      <w:hyperlink r:id="rId6" w:history="1">
        <w:r w:rsidRPr="000D5569">
          <w:rPr>
            <w:rStyle w:val="Hyperlink"/>
          </w:rPr>
          <w:t>smkiel2@illinois.edu</w:t>
        </w:r>
      </w:hyperlink>
    </w:p>
    <w:p w14:paraId="0D0E393A" w14:textId="77777777" w:rsidR="000D5569" w:rsidRPr="000D5569" w:rsidRDefault="000D5569" w:rsidP="000D5569">
      <w:r w:rsidRPr="000D5569">
        <w:t>Course: Fall 2025 IS 492 AIG   </w:t>
      </w:r>
    </w:p>
    <w:p w14:paraId="3B425544" w14:textId="6E917FF1" w:rsidR="0033561A" w:rsidRDefault="000D5569">
      <w:r w:rsidRPr="000D5569">
        <w:t xml:space="preserve">Date: December 12, 2025  </w:t>
      </w:r>
    </w:p>
    <w:p w14:paraId="7ACDD30A" w14:textId="77777777" w:rsidR="0033561A" w:rsidRDefault="00000000">
      <w:pPr>
        <w:pStyle w:val="Heading1"/>
      </w:pPr>
      <w:r>
        <w:t>Abstract</w:t>
      </w:r>
    </w:p>
    <w:p w14:paraId="45260F75" w14:textId="03B4BF28" w:rsidR="0033561A" w:rsidRDefault="00000000">
      <w:r>
        <w:t>This report presents a multi-agent research system for AI-assisted design and evaluation in UX contexts</w:t>
      </w:r>
      <w:r w:rsidR="000D5569">
        <w:t>,</w:t>
      </w:r>
      <w:r w:rsidR="000D5569" w:rsidRPr="000D5569">
        <w:t xml:space="preserve"> </w:t>
      </w:r>
      <w:r w:rsidR="000D5569" w:rsidRPr="000D5569">
        <w:t>a personal topic of interest as someone seeking to enter the field of U</w:t>
      </w:r>
      <w:r w:rsidR="000D5569">
        <w:t>X</w:t>
      </w:r>
      <w:r>
        <w:t>. The system uses AutoGen's RoundRobinGroupChat to coordinate four agents</w:t>
      </w:r>
      <w:r w:rsidR="000D5569">
        <w:t xml:space="preserve"> - </w:t>
      </w:r>
      <w:r>
        <w:t>Planner, Researcher, Writer, and Critic</w:t>
      </w:r>
      <w:r w:rsidR="000D5569">
        <w:t xml:space="preserve"> - </w:t>
      </w:r>
      <w:r>
        <w:t>that collaborate to answer UX research queries. Web search (Tavily API) provides evidence gathering. A two-stage safety framework with custom guardrails protects both input and output. The system provides CLI and Streamlit interfaces with full transparency into agent workflows. Evaluation via LLM-as-a-Judge on six diverse queries achieved 65.0% overall score with 100% safety compliance and 62.5% relevance. Key findings: structured prompting is critical for multi-agent coordination, and web sources alone limit evidence quality (53.3%) for cutting-edge topics. The work demonstrates viability of coordinated agents while highlighting orchestration fragility and the importance of explicit output validation.</w:t>
      </w:r>
    </w:p>
    <w:p w14:paraId="602BD9D6" w14:textId="77777777" w:rsidR="0033561A" w:rsidRDefault="00000000">
      <w:pPr>
        <w:pStyle w:val="Heading1"/>
      </w:pPr>
      <w:r>
        <w:t>System Design and Implementation</w:t>
      </w:r>
    </w:p>
    <w:p w14:paraId="0D50DAE2" w14:textId="77777777" w:rsidR="0033561A" w:rsidRDefault="00000000">
      <w:r>
        <w:t>Architecture. The system implements a four-agent workflow using AutoGen 0.7.5's RoundRobinGroupChat with sequential turn-taking. Each query triggers a fresh team instantiation to prevent async event loop conflicts. The orchestrator manages coordination, tool execution, safety checks, and response extraction via ThreadPoolExecutor wrapping when nested loops are detected.</w:t>
      </w:r>
    </w:p>
    <w:p w14:paraId="71E9D868" w14:textId="77777777" w:rsidR="0033561A" w:rsidRDefault="00000000">
      <w:r>
        <w:t>Agents and Workflow. The Planner decomposes queries into research steps, identifies source types, and outlines synthesis strategy, signaling handoff with "PLAN COMPLETE." The Researcher executes the plan using Tavily web search (5 results per query) to gather industry insights, blogs, and recent developments. Results are parsed for URL extraction. The Writer synthesizes findings into a strict template: Overview → Key Findings (with [https://url] inline citations) → Limitations → References. Minimum three credible sources are enforced; coordination-only outputs trigger Critic rejection. The Critic validates format compliance, source requirements, and substantive content presence, approving with "APPROVED - RESEARCH COMPLETE\nFINISH SESSION" to trigger conversation termination. Max iterations set to 20 to allow revision cycles.</w:t>
      </w:r>
    </w:p>
    <w:p w14:paraId="331FF27C" w14:textId="77777777" w:rsidR="0033561A" w:rsidRDefault="00000000">
      <w:r>
        <w:lastRenderedPageBreak/>
        <w:t>Models and Tools. All agents use OpenAI's gpt-4o-mini (temperature 0.6, max_tokens 1200) for cost efficiency. The LLM-as-a-Judge evaluator uses the same model with lower temperature (0.2) for consistent scoring. Tavily web search provides industry insights; a regex-based citation tool extracts and deduplicates URLs.</w:t>
      </w:r>
    </w:p>
    <w:p w14:paraId="6BA65DAE" w14:textId="77777777" w:rsidR="0033561A" w:rsidRDefault="00000000">
      <w:r>
        <w:t>Critical Implementation Detail. Early evaluations failed catastrophically (29.2% score) because the orchestrator was extracting the Critic's approval message ("APPROVED - RESEARCH COMPLETE") instead of the Writer's substantive content from message history. This cascaded into responses that were pure coordination text. The fix: specifically extract the Writer's longest substantive message (&gt;50 characters, excluding pure coordination signals). After this change, scores jumped 123% to 65.0%.</w:t>
      </w:r>
    </w:p>
    <w:p w14:paraId="6864C5DC" w14:textId="77777777" w:rsidR="0033561A" w:rsidRDefault="00000000">
      <w:pPr>
        <w:pStyle w:val="Heading1"/>
      </w:pPr>
      <w:r>
        <w:t>Safety Design</w:t>
      </w:r>
    </w:p>
    <w:p w14:paraId="7D076741" w14:textId="77777777" w:rsidR="0033561A" w:rsidRDefault="00000000">
      <w:r>
        <w:t>Two-Stage Filtering. Input guardrails check queries before processing; output guardrails filter responses before user delivery. Four input guards: LengthGuard (rejects &gt;2000 chars), ToxicityGuard (blocks profanity/hate speech), InjectionGuard (detects prompt injection patterns), RelevanceGuard (enforces topic alignment with keyword matching). Four output guards: PIIGuard (redacts emails, SSNs, etc.), HarmfulContentGuard (blocks violent/graphic content), BiasGuard (flags stereotypes), ConsistencyGuard (validates URL well-formedness).</w:t>
      </w:r>
    </w:p>
    <w:p w14:paraId="20111CC1" w14:textId="77777777" w:rsidR="0033561A" w:rsidRDefault="00000000">
      <w:r>
        <w:t>Policies and Logging. Prohibited categories: harmful content, personal attacks, misinformation, off-topic queries. Violation strategy is "refuse" with informative messages. All events logged to logs/safety_events.log with timestamps, severity levels, and triggered guard names.</w:t>
      </w:r>
    </w:p>
    <w:p w14:paraId="4B88E092" w14:textId="71EAAC2F" w:rsidR="0033561A" w:rsidRDefault="00000000">
      <w:r>
        <w:t>Results. Across all evaluations, safety compliance achieved 100% (1.0 on all queries). No unsafe inputs processed, no harmful outputs generated. Perfect scores reflect both effective guardrails and benign test queries</w:t>
      </w:r>
      <w:r w:rsidR="000D5569">
        <w:t xml:space="preserve"> - </w:t>
      </w:r>
      <w:r>
        <w:t>adversarial red-teaming was not performed.</w:t>
      </w:r>
    </w:p>
    <w:p w14:paraId="5D1C0D51" w14:textId="77777777" w:rsidR="0033561A" w:rsidRDefault="00000000">
      <w:pPr>
        <w:pStyle w:val="Heading1"/>
      </w:pPr>
      <w:r>
        <w:t>Evaluation Setup and Results</w:t>
      </w:r>
    </w:p>
    <w:p w14:paraId="1837B2D2" w14:textId="70782989" w:rsidR="0033561A" w:rsidRDefault="00000000">
      <w:r>
        <w:t xml:space="preserve">Dataset and Metrics. Six queries tested different AI-assisted UX aspects: evidence-based prototyping methods, LLM-generated summary reliability, novice designer tool use, literature review validation, hallucination reduction via guardrails, and prompt engineering effects. LLM-as-a-Judge uses five weighted criteria: Relevance (25%), Evidence Quality (25%), Factual Accuracy (20%), Safety (15%), Clarity (15%). Each </w:t>
      </w:r>
      <w:proofErr w:type="gramStart"/>
      <w:r>
        <w:t>scores</w:t>
      </w:r>
      <w:proofErr w:type="gramEnd"/>
      <w:r>
        <w:t xml:space="preserve"> 0.0</w:t>
      </w:r>
      <w:r w:rsidR="000D5569">
        <w:t>-</w:t>
      </w:r>
      <w:r>
        <w:t>1.0 with explicit rubrics.</w:t>
      </w:r>
    </w:p>
    <w:p w14:paraId="2BD3E653" w14:textId="77777777" w:rsidR="0033561A" w:rsidRDefault="00000000">
      <w:r>
        <w:t>Results. Overall score: 65.0% (100% success rate). By criterion: Relevance 62.5%, Evidence Quality 53.3%, Factual Accuracy 60.0%, Safety 100%, Clarity 60.0%. Best query: "What guardrails reduce hallucinations?" (94.0%). Worst query: "LLM-generated summaries vs. humans?" (15.0%).</w:t>
      </w:r>
    </w:p>
    <w:p w14:paraId="7B37D54A" w14:textId="77777777" w:rsidR="0033561A" w:rsidRDefault="00000000">
      <w:r>
        <w:lastRenderedPageBreak/>
        <w:t>Error Analysis. The worst performer lacked authoritative evidence on emerging LLM-summary-generation topic, forcing reliance on blogs and Reddit threads. Judge penalized heavily (evidence 0.2, accuracy 0.1), noting comparative claims lacked empirical validation. Moderate performers (60–70%) showed strong relevance but lower evidence quality due to web-source dependency. The top performer succeeded via well-structured response with five cited sources and topic alignment with the safety-focused system design.</w:t>
      </w:r>
    </w:p>
    <w:p w14:paraId="27FE819A" w14:textId="77777777" w:rsidR="0033561A" w:rsidRDefault="00000000">
      <w:pPr>
        <w:pStyle w:val="Heading1"/>
      </w:pPr>
      <w:r>
        <w:t>Discussion and Limitations</w:t>
      </w:r>
    </w:p>
    <w:p w14:paraId="69BEC563" w14:textId="77777777" w:rsidR="0033561A" w:rsidRDefault="00000000">
      <w:r>
        <w:t>Key Insights. Multi-agent coordination revealed subtle orchestration complexity: response extraction bugs caused complete failure; prompt engineering required multiple iterations to enforce structure. Agentic systems benefit from rigid output schemas (Writer template) validated by downstream agents (Critic). Tool limitations directly impact quality: web search alone cannot compensate for sparse academic literature on emerging topics.</w:t>
      </w:r>
    </w:p>
    <w:p w14:paraId="56A75C00" w14:textId="77777777" w:rsidR="0033561A" w:rsidRDefault="00000000">
      <w:r>
        <w:t>Limitations. (1) Academic coverage: emerging UX topics lack peer-reviewed sources; 53.3% evidence quality reflects web-source reliance. (2) Single model bias: gpt-4o-mini for all agents and judge may favor linguistically similar outputs. (3) No human-in-the-loop: system terminates after Critic approval; no follow-up or elaboration possible. (4) Small dataset: six queries insufficient for systematic characterization. (5) Latency: 45–60 seconds per query with ~15K tokens scales poorly for bulk use.</w:t>
      </w:r>
    </w:p>
    <w:p w14:paraId="6D81618F" w14:textId="77777777" w:rsidR="0033561A" w:rsidRDefault="00000000">
      <w:r>
        <w:t>Future Work. Integrate vector databases (Pinecone, Weaviate) pre-populated with CHI/CSCW papers for academic source fallback. Add meta-agent for drill-down research on subtopics. Conduct human evaluation with UX researchers on domain-specific criteria. Red-team safety with injection/jailbreak attempts. Flag commercial sources and prioritize non-commercial research to mitigate vendor bias.</w:t>
      </w:r>
    </w:p>
    <w:p w14:paraId="1788AAEE" w14:textId="77777777" w:rsidR="0033561A" w:rsidRDefault="00000000">
      <w:r>
        <w:t>Ethical Considerations. Automated research systems risk uncritical adoption of outputs. URL citations and source display mitigate but cannot prevent misuse. Commercial UX tool vendors appear prominently in web results, potentially biasing "evidence-based" recommendations. Transparency and source verification remain user responsibilities.</w:t>
      </w:r>
    </w:p>
    <w:p w14:paraId="7112293A" w14:textId="77777777" w:rsidR="0033561A" w:rsidRDefault="00000000">
      <w:pPr>
        <w:pStyle w:val="Heading1"/>
      </w:pPr>
      <w:r>
        <w:t>References</w:t>
      </w:r>
    </w:p>
    <w:p w14:paraId="60C47BD2" w14:textId="77777777" w:rsidR="0033561A" w:rsidRDefault="00000000">
      <w:pPr>
        <w:pStyle w:val="ListBullet"/>
      </w:pPr>
      <w:r>
        <w:t>AutoGen Contributors. (2024). AutoGen: Enabling next-gen LLM applications via multi-agent conversation. https://github.com/microsoft/autogen</w:t>
      </w:r>
    </w:p>
    <w:p w14:paraId="6CCF1AE7" w14:textId="77777777" w:rsidR="0033561A" w:rsidRPr="000D5569" w:rsidRDefault="00000000">
      <w:pPr>
        <w:pStyle w:val="ListBullet"/>
        <w:rPr>
          <w:lang w:val="es-US"/>
        </w:rPr>
      </w:pPr>
      <w:proofErr w:type="spellStart"/>
      <w:r w:rsidRPr="000D5569">
        <w:rPr>
          <w:lang w:val="es-US"/>
        </w:rPr>
        <w:t>OpenAI</w:t>
      </w:r>
      <w:proofErr w:type="spellEnd"/>
      <w:r w:rsidRPr="000D5569">
        <w:rPr>
          <w:lang w:val="es-US"/>
        </w:rPr>
        <w:t xml:space="preserve">. (2024). GPT-4o mini </w:t>
      </w:r>
      <w:proofErr w:type="spellStart"/>
      <w:r w:rsidRPr="000D5569">
        <w:rPr>
          <w:lang w:val="es-US"/>
        </w:rPr>
        <w:t>model</w:t>
      </w:r>
      <w:proofErr w:type="spellEnd"/>
      <w:r w:rsidRPr="000D5569">
        <w:rPr>
          <w:lang w:val="es-US"/>
        </w:rPr>
        <w:t xml:space="preserve"> </w:t>
      </w:r>
      <w:proofErr w:type="spellStart"/>
      <w:r w:rsidRPr="000D5569">
        <w:rPr>
          <w:lang w:val="es-US"/>
        </w:rPr>
        <w:t>documentation</w:t>
      </w:r>
      <w:proofErr w:type="spellEnd"/>
      <w:r w:rsidRPr="000D5569">
        <w:rPr>
          <w:lang w:val="es-US"/>
        </w:rPr>
        <w:t>. https://platform.openai.com/docs/models</w:t>
      </w:r>
    </w:p>
    <w:p w14:paraId="6047F42C" w14:textId="6D670540" w:rsidR="0033561A" w:rsidRDefault="00000000">
      <w:pPr>
        <w:pStyle w:val="ListBullet"/>
      </w:pPr>
      <w:proofErr w:type="spellStart"/>
      <w:r>
        <w:t>Tavily</w:t>
      </w:r>
      <w:proofErr w:type="spellEnd"/>
      <w:r>
        <w:t xml:space="preserve">. (2024). Tavily Search API for AI agents. </w:t>
      </w:r>
      <w:hyperlink r:id="rId7" w:history="1">
        <w:r w:rsidR="000D5569" w:rsidRPr="00F709D0">
          <w:rPr>
            <w:rStyle w:val="Hyperlink"/>
          </w:rPr>
          <w:t>https://www.tavily.com/</w:t>
        </w:r>
      </w:hyperlink>
    </w:p>
    <w:p w14:paraId="0AAB8DEE" w14:textId="58ADB885" w:rsidR="000D5569" w:rsidRDefault="000D5569">
      <w:pPr>
        <w:pStyle w:val="ListBullet"/>
      </w:pPr>
      <w:r>
        <w:t xml:space="preserve">Copilot Pro + </w:t>
      </w:r>
      <w:proofErr w:type="spellStart"/>
      <w:r>
        <w:t>VSCode</w:t>
      </w:r>
      <w:proofErr w:type="spellEnd"/>
      <w:r>
        <w:t>, to help with implementation</w:t>
      </w:r>
    </w:p>
    <w:sectPr w:rsidR="000D55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585898">
    <w:abstractNumId w:val="8"/>
  </w:num>
  <w:num w:numId="2" w16cid:durableId="256721287">
    <w:abstractNumId w:val="6"/>
  </w:num>
  <w:num w:numId="3" w16cid:durableId="749934727">
    <w:abstractNumId w:val="5"/>
  </w:num>
  <w:num w:numId="4" w16cid:durableId="1927686585">
    <w:abstractNumId w:val="4"/>
  </w:num>
  <w:num w:numId="5" w16cid:durableId="247203851">
    <w:abstractNumId w:val="7"/>
  </w:num>
  <w:num w:numId="6" w16cid:durableId="428160726">
    <w:abstractNumId w:val="3"/>
  </w:num>
  <w:num w:numId="7" w16cid:durableId="1201631242">
    <w:abstractNumId w:val="2"/>
  </w:num>
  <w:num w:numId="8" w16cid:durableId="1803452114">
    <w:abstractNumId w:val="1"/>
  </w:num>
  <w:num w:numId="9" w16cid:durableId="1964533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569"/>
    <w:rsid w:val="0015074B"/>
    <w:rsid w:val="0029639D"/>
    <w:rsid w:val="00326F90"/>
    <w:rsid w:val="0033561A"/>
    <w:rsid w:val="00AA1D8D"/>
    <w:rsid w:val="00AA5F0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4C4C8"/>
  <w14:defaultImageDpi w14:val="300"/>
  <w15:docId w15:val="{665D7C25-1515-496E-A8E8-ACE72D733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D5569"/>
    <w:rPr>
      <w:color w:val="0000FF" w:themeColor="hyperlink"/>
      <w:u w:val="single"/>
    </w:rPr>
  </w:style>
  <w:style w:type="character" w:styleId="UnresolvedMention">
    <w:name w:val="Unresolved Mention"/>
    <w:basedOn w:val="DefaultParagraphFont"/>
    <w:uiPriority w:val="99"/>
    <w:semiHidden/>
    <w:unhideWhenUsed/>
    <w:rsid w:val="000D5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tavily.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mkiel2@illinois.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1154</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Kiel, Sara Marie</cp:lastModifiedBy>
  <cp:revision>2</cp:revision>
  <dcterms:created xsi:type="dcterms:W3CDTF">2013-12-23T23:15:00Z</dcterms:created>
  <dcterms:modified xsi:type="dcterms:W3CDTF">2025-12-12T23:34:00Z</dcterms:modified>
  <cp:category/>
</cp:coreProperties>
</file>