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808080"/>
          <w:sz w:val="20"/>
          <w:szCs w:val="20"/>
        </w:rPr>
        <w:t xml:space="preserve">OPEN STANDARD  |  IMPLEMENTATION GUIDE  |  APRIL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SAM PROTOCOL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Technical Appendix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Companion to White Paper v1.0 — Implementation Snippets</w:t>
      </w:r>
    </w:p>
    <w:tbl>
      <w:tblPr>
        <w:tblW w:type="dxa" w:w="9360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A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300"/>
            </w:pPr>
            <w:r>
              <w:rPr>
                <w:b/>
                <w:bCs/>
              </w:rPr>
              <w:t xml:space="preserve">A handful of pages. Just enough code to start a pilot. </w:t>
            </w:r>
            <w:r>
              <w:t xml:space="preserve">Python is used for clarity; equivalent libraries exist in Go, Node, Rust.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A. A minimal sam.json (Level 2)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"sam:version": "1.0",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"sam:identity":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"domain": "shop.example.com",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"legalName": "Example Retail SAS",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"jurisdiction": "FR"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"sam:capabilities": [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"action": "browse_catalog", "protocol": "rest", "endpoint": "/api/catalog" },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"action": "get_quote",      "protocol": "rest", "endpoint": "/api/quote" },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"action": "place_order",    "protocol": "rest", "endpoint": "/api/order" },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"action": "track_order",    "protocol": "rest", "endpoint": "/api/order/{id}"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"sam:mandate":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"grammarVersion": "0.1",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"autoExecute": true,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"maxAmount":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"value": 500,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"currency": "EUR",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"inclusiveOfTaxes": true,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"inclusiveOfShipping": true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"maxPriceDrift": { "percent": 2, "reference": "quote" },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"allowedCategories": ["consumer.electronics", "consumer.books"],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"allowedRegions": ["FR", "BE", "LU"],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"validityWindow":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"notBefore": "2026-04-07T00:00:00Z",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"notAfter":  "2026-05-07T00:00:00Z"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"agentClass": "retail"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"sam:agentAuth":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"profile": "rfc9421",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"algorithm": "ed25519",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"requiredComponents": [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"@method", "@target-uri", "@authority",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"content-digest", "sam-mandate-ref",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"sam-operator", "sam-user-context", "created"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"sam:human":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"channels": [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 "type": "email", "value": "agents@shop.example.com" },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 "type": "https", "value": "https://shop.example.com/agent-escalation"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"sam:signature":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"algorithm": "ed25519",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"sessionKeyId": "shop.example.com/keys/2026-04",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"validUntil": "2026-04-14T00:00:00Z",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"value": "base64(...)"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B. Verifying the manifest signature (agent side)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json, base64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datetime, timezone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nacl.signing import VerifyKey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nacl.exceptions import BadSignatureError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verify_sam_manifest(raw: bytes, public_key_b64: str) -&gt; dict: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doc = json.loads(raw)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sig = doc.pop("sam:signature")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1. Check freshness — Constitutional rule #5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valid_until = datetime.fromisoformat(sig["validUntil"].replace("Z", "+00:00"))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datetime.now(timezone.utc) &gt; valid_until: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ValueError("Manifest expired — MUST re-fetch")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2. Canonicalize and verify ed25519 signature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canonical = json.dumps(doc, sort_keys=True, separators=(",", ":")).encode()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VerifyKey(base64.b64decode(public_key_b64)).verify(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canonical, base64.b64decode(sig["value"])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BadSignatureError: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ValueError("Invalid signature")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doc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C. Evaluating the mandate (client-side, no network call)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datetime, timezone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MandateViolation(Exception): pass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evaluate_mandate(mandate: dict, action: dict) -&gt; None: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"""Raises MandateViolation on any failed primitive. AND-only."""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mandate.get("grammarVersion") != "0.1":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MandateViolation("Unsupported grammar version — MUST refuse")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mandate.get("autoExecute", False):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MandateViolation("autoExecute=false")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validityWindow is mandatory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vw = mandate["validityWindow"]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now = datetime.now(timezone.utc)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(datetime.fromisoformat(vw["notBefore"].replace("Z", "+00:00"))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&lt;= now &lt;=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datetime.fromisoformat(vw["notAfter"].replace("Z", "+00:00"))):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MandateViolation("Outside validity window")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maxAmount — strict, with explicit inclusivity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cap = mandate["maxAmount"]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action["amount"]  # already normalized to cap inclusivity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action["currency"] != cap["currency"]: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MandateViolation("Currency mismatch")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total &gt; cap["value"]: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MandateViolation(f"Amount {total} exceeds cap {cap['value']}")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Price drift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drift = mandate.get("maxPriceDrift")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drift and action.get("priceDriftPercent", 0) &gt; drift["percent"]: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MandateViolation("Price drift exceeded")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Categories (whitelist then blacklist)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allowed = mandate.get("allowedCategories")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allowed and action["category"] not in allowed: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MandateViolation("Category not allowed")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denied = mandate.get("deniedCategories", [])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action["category"] in denied: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MandateViolation("Category denied")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Regions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regions = mandate.get("allowedRegions")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regions and action["region"] not in regions: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MandateViolation("Region not allowed")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Agent class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 = mandate.get("agentClass", "any")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ac != "any" and ac != action["agentClass"]: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MandateViolation("Agent class mismatch")</w:t>
            </w:r>
          </w:p>
        </w:tc>
      </w:tr>
    </w:tbl>
    <w:p>
      <w:pPr>
        <w:spacing w:after="120" w:line="300"/>
      </w:pPr>
      <w:r>
        <w:rPr>
          <w:i/>
          <w:iCs/>
        </w:rPr>
        <w:t xml:space="preserve">Roughly 35 lines. No network. No state. </w:t>
      </w:r>
      <w:r>
        <w:rPr>
          <w:b/>
          <w:bCs/>
          <w:i/>
          <w:iCs/>
        </w:rPr>
        <w:t xml:space="preserve">Stateless evaluation is exactly what makes the mandate portable across agents.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D. Signing an outgoing request (RFC 9421, agent side)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base64, hashlib, time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nacl.signing import SigningKey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sign_request(method, url, host, body, mandate_ref, operator, user_ctx, signing_key: SigningKey):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digest = "sha-256=:" + base64.b64encode(hashlib.sha256(body).digest()).decode() + ":"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created = int(time.time())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Covered components — exactly the set required by §4 of the One-Pager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covered = (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f'"@method": {method}\n'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f'"@target-uri": {url}\n'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f'"@authority": {host}\n'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f'"content-digest": {digest}\n'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f'"sam-mandate-ref": {mandate_ref}\n'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f'"sam-operator": {operator}\n'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f'"sam-user-context": {user_ctx}\n'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f'"@signature-params": ("@method" "@target-uri" "@authority" 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f'"content-digest" "sam-mandate-ref" "sam-operator" "sam-user-context");'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f'created={created};alg="ed25519"'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sig = signing_key.sign(covered.encode()).signature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"Content-Digest": digest,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"SAM-Mandate-Ref": mandate_ref,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"SAM-Operator": operator,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"SAM-User-Context": user_ctx,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"Signature-Input": f'sam=("@method" "@target-uri" "@authority" 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f'"content-digest" "sam-mandate-ref" "sam-operator" '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f'"sam-user-context");created={created};alg="ed25519"',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"Signature": f"sam=:{base64.b64encode(sig).decode()}:"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 w:line="300"/>
      </w:pPr>
      <w:r>
        <w:t xml:space="preserve">The merchant-side verifier mirrors this: rebuild the covered string from the received headers, fetch the operator's public key from https://&lt;operator-domain&gt;/.well-known/sam-operator.json, and verify with ed25519.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E. Operator key resolution (merchant side)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resolve_operator_key(operator_domain: str) -&gt; str: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"""Returns base64 ed25519 public key for the operator."""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url = f"https://{operator_domain}/.well-known/sam-operator.json"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doc = requests.get(url, timeout=5).json()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The operator doc is itself signed; verify against its TLS-bound identity.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(Verification omitted for brevity — same pattern as verify_sam_manifest.)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doc["currentKey"]["publicKey"]</w:t>
            </w:r>
          </w:p>
        </w:tc>
      </w:tr>
    </w:tbl>
    <w:p>
      <w:pPr>
        <w:spacing w:after="120" w:line="300"/>
      </w:pPr>
      <w:r>
        <w:rPr>
          <w:i/>
          <w:iCs/>
        </w:rPr>
        <w:t xml:space="preserve">One mechanism. No DID resolution. No registry lookup. </w:t>
      </w:r>
      <w:r>
        <w:rPr>
          <w:b/>
          <w:bCs/>
          <w:i/>
          <w:iCs/>
        </w:rPr>
        <w:t xml:space="preserve">Exception profiles may add others, but they are exceptions — not alternatives.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F. Open issues for the normative spec</w:t>
      </w:r>
    </w:p>
    <w:p>
      <w:pPr>
        <w:spacing w:after="120" w:line="300"/>
      </w:pPr>
      <w:r>
        <w:t xml:space="preserve">These are the points where this appendix deliberately simplifies. Each one MUST be closed without ambiguity by the normative specification before SAM can be declared stable.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Canonicalization. </w:t>
      </w:r>
      <w:r>
        <w:t xml:space="preserve">JSON canonical form must be defined exhaustively (number representation, Unicode normalization, escapes, ordering) and accompanied by a conformance test vector. The Python sort_keys idiom used here is illustrative, not normative.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Amount normalization. </w:t>
      </w:r>
      <w:r>
        <w:t xml:space="preserve">Who computes the value compared against maxAmount, when, and how — including taxes, shipping, discounts, coupons, bundles, variable fees, and partially unknown costs at quote time. The mandate evaluator assumes a normalized total; the spec must define the normalization rules.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Operator document trust model. </w:t>
      </w:r>
      <w:r>
        <w:t xml:space="preserve">sam-operator.json must be held to exactly the same discipline as sam.json: ed25519 signature over canonicalized form, mandatory validUntil, freshness rule of §3, no-fail-open revocation. TLS-bound identity is a transport-level check, not a substitute for the application-level proof.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Replay protection and clock skew. </w:t>
      </w:r>
      <w:r>
        <w:t xml:space="preserve">Acceptance window for created, optional nonce, merchant-side anti-replay strategy, and the exact relationship between created and the validity of the referenced sam-mandate-ref must all be specified.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sam-user-context semantics. </w:t>
      </w:r>
      <w:r>
        <w:t xml:space="preserve">The minimum set of claims must be closed: which fields are mandatory, which are forbidden, and which must be pseudonymized. Too poor and it proves nothing; too rich and it becomes a privacy and compliance liability.</w:t>
      </w:r>
    </w:p>
    <w:p>
      <w:pPr>
        <w:spacing w:after="120" w:line="300"/>
      </w:pPr>
      <w:r>
        <w:rPr>
          <w:i/>
          <w:iCs/>
        </w:rPr>
        <w:t xml:space="preserve">These items are the next mile. They are not blockers for pilots; they are blockers for declaring v1.0 stable.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What this appendix is not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It is not the formal spec. It omits canonicalization edge cases, error codes, retry semantics, replay protection details, and clock-skew tolerances.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It is not a security audit. The code above is illustrative; production implementations must add input validation, timing-safe comparisons, and structured logging.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It is not exhaustive — but it is </w:t>
      </w:r>
      <w:r>
        <w:rPr>
          <w:b/>
          <w:bCs/>
        </w:rPr>
        <w:t xml:space="preserve">enough to start a pilot in an afternoon</w:t>
      </w:r>
      <w:r>
        <w:t xml:space="preserve">, which is the entire point.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SAM Protocol — Technical Appendix — companion to White Paper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2E75B6"/>
        <w:sz w:val="20"/>
        <w:szCs w:val="20"/>
      </w:rPr>
      <w:t xml:space="preserve">sam-protocol.org  |  github.com/sam-protocol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808080"/>
        <w:sz w:val="20"/>
        <w:szCs w:val="20"/>
      </w:rPr>
      <w:t xml:space="preserve">p. </w:t>
    </w:r>
    <w:r>
      <w:rPr>
        <w:rFonts w:ascii="Arial" w:cs="Arial" w:eastAsia="Arial" w:hAnsi="Arial"/>
        <w:i/>
        <w:iCs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22"/>
        <w:szCs w:val="22"/>
      </w:rPr>
      <w:t xml:space="preserve">SAM Protocol</w:t>
    </w:r>
    <w:r>
      <w:rPr>
        <w:rFonts w:ascii="Arial" w:cs="Arial" w:eastAsia="Arial" w:hAnsi="Arial"/>
        <w:color w:val="000000"/>
        <w:sz w:val="22"/>
        <w:szCs w:val="22"/>
      </w:rPr>
      <w:t xml:space="preserve">  -  Technical Appendix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sz w:val="22"/>
        <w:szCs w:val="22"/>
      </w:rPr>
      <w:t xml:space="preserve">draft-sam-protocol-01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2026-04-07T09:10:18.037Z</dcterms:created>
  <dcterms:modified xsi:type="dcterms:W3CDTF">2026-04-07T09:10:18.038Z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