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4E79"/>
          <w:sz w:val="48"/>
          <w:szCs w:val="48"/>
        </w:rPr>
        <w:t xml:space="preserve">Customer Churn Analysis Report</w:t>
      </w:r>
    </w:p>
    <w:p>
      <w:pPr>
        <w:spacing w:before="0" w:after="400"/>
        <w:jc w:val="center"/>
      </w:pPr>
      <w:r>
        <w:rPr>
          <w:rFonts w:ascii="Arial" w:cs="Arial" w:eastAsia="Arial" w:hAnsi="Arial"/>
          <w:color w:val="595959"/>
          <w:sz w:val="26"/>
          <w:szCs w:val="26"/>
        </w:rPr>
        <w:t xml:space="preserve">Retention Intelligence &amp; Behavioural Insights</w:t>
      </w:r>
    </w:p>
    <w:p>
      <w:pPr>
        <w:pStyle w:val="Heading1"/>
        <w:spacing w:before="300" w:after="120"/>
      </w:pPr>
      <w:r>
        <w:rPr>
          <w:rFonts w:ascii="Arial" w:cs="Arial" w:eastAsia="Arial" w:hAnsi="Arial"/>
          <w:b/>
          <w:bCs/>
          <w:color w:val="1F4E79"/>
          <w:sz w:val="32"/>
          <w:szCs w:val="32"/>
        </w:rPr>
        <w:t xml:space="preserve">1. Introduction</w:t>
      </w:r>
    </w:p>
    <w:p>
      <w:pPr>
        <w:spacing w:before="80" w:after="80"/>
      </w:pPr>
      <w:r>
        <w:rPr>
          <w:rFonts w:ascii="Arial" w:cs="Arial" w:eastAsia="Arial" w:hAnsi="Arial"/>
          <w:sz w:val="24"/>
          <w:szCs w:val="24"/>
        </w:rPr>
        <w:t xml:space="preserve">Customer attrition — commonly referred to as churn — occurs when subscribers or users disengage from a product or service and do not return. For subscription-based businesses, managing churn is a top priority because retaining existing customers costs significantly less than acquiring new ones. This report analyses customer behaviour and service usage patterns to identify the key predictors of churn, using a structured dataset of 64,374 customer records.</w:t>
      </w:r>
    </w:p>
    <w:p>
      <w:pPr>
        <w:pStyle w:val="Heading1"/>
        <w:spacing w:before="300" w:after="120"/>
      </w:pPr>
      <w:r>
        <w:rPr>
          <w:rFonts w:ascii="Arial" w:cs="Arial" w:eastAsia="Arial" w:hAnsi="Arial"/>
          <w:b/>
          <w:bCs/>
          <w:color w:val="1F4E79"/>
          <w:sz w:val="32"/>
          <w:szCs w:val="32"/>
        </w:rPr>
        <w:t xml:space="preserve">2. Project Scope</w:t>
      </w:r>
    </w:p>
    <w:p>
      <w:pPr>
        <w:spacing w:before="80" w:after="80"/>
      </w:pPr>
      <w:r>
        <w:rPr>
          <w:rFonts w:ascii="Arial" w:cs="Arial" w:eastAsia="Arial" w:hAnsi="Arial"/>
          <w:sz w:val="24"/>
          <w:szCs w:val="24"/>
        </w:rPr>
        <w:t xml:space="preserve">This project applies exploratory data analysis and Power BI visualisation to understand which customer segments are most at risk of churning. The insights generated from this analysis are intended to support customer success teams in developing targeted retention initiatives and optimising service delivery.</w:t>
      </w:r>
    </w:p>
    <w:p>
      <w:pPr>
        <w:pStyle w:val="Heading1"/>
        <w:spacing w:before="300" w:after="120"/>
      </w:pPr>
      <w:r>
        <w:rPr>
          <w:rFonts w:ascii="Arial" w:cs="Arial" w:eastAsia="Arial" w:hAnsi="Arial"/>
          <w:b/>
          <w:bCs/>
          <w:color w:val="1F4E79"/>
          <w:sz w:val="32"/>
          <w:szCs w:val="32"/>
        </w:rPr>
        <w:t xml:space="preserve">3. Dataset Description</w:t>
      </w:r>
    </w:p>
    <w:p>
      <w:pPr>
        <w:pStyle w:val="Heading2"/>
        <w:spacing w:before="200" w:after="100"/>
      </w:pPr>
      <w:r>
        <w:rPr>
          <w:rFonts w:ascii="Arial" w:cs="Arial" w:eastAsia="Arial" w:hAnsi="Arial"/>
          <w:b/>
          <w:bCs/>
          <w:color w:val="2E75B6"/>
          <w:sz w:val="26"/>
          <w:szCs w:val="26"/>
        </w:rPr>
        <w:t xml:space="preserve">3.1 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Records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64,374 customer entries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Columns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 feature fields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Churn Tracking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Binary (Yes /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 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Last Interaction date included</w:t>
            </w:r>
          </w:p>
        </w:tc>
      </w:tr>
    </w:tbl>
    <w:p>
      <w:pPr>
        <w:spacing w:before="120" w:after="120"/>
      </w:pPr>
    </w:p>
    <w:p>
      <w:pPr>
        <w:pStyle w:val="Heading2"/>
        <w:spacing w:before="200" w:after="100"/>
      </w:pPr>
      <w:r>
        <w:rPr>
          <w:rFonts w:ascii="Arial" w:cs="Arial" w:eastAsia="Arial" w:hAnsi="Arial"/>
          <w:b/>
          <w:bCs/>
          <w:color w:val="2E75B6"/>
          <w:sz w:val="26"/>
          <w:szCs w:val="26"/>
        </w:rPr>
        <w:t xml:space="preserve">3.2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CustomerID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Identifier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Unique ID for each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age in years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Male / Female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Months as an active subscriber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Usage Frequency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Average logins/interactions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Support Calls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support tickets raised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Payment Delay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Days of payment delay on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Subscription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Basic / Standard / Premium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Contract Length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Categorical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Month-to-Month / Annual / Two-Year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Spend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Cumulative spend in USD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Last Interaction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Date of most recent activity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 Churned, 0 = Retained</w:t>
            </w:r>
          </w:p>
        </w:tc>
      </w:tr>
    </w:tbl>
    <w:p>
      <w:pPr>
        <w:pStyle w:val="Heading1"/>
        <w:spacing w:before="300" w:after="120"/>
      </w:pPr>
      <w:r>
        <w:rPr>
          <w:rFonts w:ascii="Arial" w:cs="Arial" w:eastAsia="Arial" w:hAnsi="Arial"/>
          <w:b/>
          <w:bCs/>
          <w:color w:val="1F4E79"/>
          <w:sz w:val="32"/>
          <w:szCs w:val="32"/>
        </w:rPr>
        <w:t xml:space="preserve">4. Tools &amp; Technologies</w:t>
      </w:r>
    </w:p>
    <w:p>
      <w:pPr>
        <w:pStyle w:val="ListParagraph"/>
        <w:numPr>
          <w:ilvl w:val="0"/>
          <w:numId w:val="2"/>
        </w:numPr>
        <w:spacing w:before="60" w:after="60"/>
      </w:pPr>
      <w:r>
        <w:rPr>
          <w:rFonts w:ascii="Arial" w:cs="Arial" w:eastAsia="Arial" w:hAnsi="Arial"/>
          <w:sz w:val="24"/>
          <w:szCs w:val="24"/>
        </w:rPr>
        <w:t xml:space="preserve">Microsoft Power BI — interactive dashboard and visual analytics</w:t>
      </w:r>
    </w:p>
    <w:p>
      <w:pPr>
        <w:pStyle w:val="ListParagraph"/>
        <w:numPr>
          <w:ilvl w:val="0"/>
          <w:numId w:val="2"/>
        </w:numPr>
        <w:spacing w:before="60" w:after="60"/>
      </w:pPr>
      <w:r>
        <w:rPr>
          <w:rFonts w:ascii="Arial" w:cs="Arial" w:eastAsia="Arial" w:hAnsi="Arial"/>
          <w:sz w:val="24"/>
          <w:szCs w:val="24"/>
        </w:rPr>
        <w:t xml:space="preserve">Microsoft Excel — initial data review and formatting</w:t>
      </w:r>
    </w:p>
    <w:p>
      <w:pPr>
        <w:pStyle w:val="ListParagraph"/>
        <w:numPr>
          <w:ilvl w:val="0"/>
          <w:numId w:val="2"/>
        </w:numPr>
        <w:spacing w:before="60" w:after="60"/>
      </w:pPr>
      <w:r>
        <w:rPr>
          <w:rFonts w:ascii="Arial" w:cs="Arial" w:eastAsia="Arial" w:hAnsi="Arial"/>
          <w:sz w:val="24"/>
          <w:szCs w:val="24"/>
        </w:rPr>
        <w:t xml:space="preserve">Power Query — data transformation and calculated columns</w:t>
      </w:r>
    </w:p>
    <w:p>
      <w:pPr>
        <w:pStyle w:val="ListParagraph"/>
        <w:numPr>
          <w:ilvl w:val="0"/>
          <w:numId w:val="2"/>
        </w:numPr>
        <w:spacing w:before="60" w:after="60"/>
      </w:pPr>
      <w:r>
        <w:rPr>
          <w:rFonts w:ascii="Arial" w:cs="Arial" w:eastAsia="Arial" w:hAnsi="Arial"/>
          <w:sz w:val="24"/>
          <w:szCs w:val="24"/>
        </w:rPr>
        <w:t xml:space="preserve">DAX — measure creation for KPIs and conditional aggregations</w:t>
      </w:r>
    </w:p>
    <w:p>
      <w:pPr>
        <w:pStyle w:val="Heading1"/>
        <w:spacing w:before="300" w:after="120"/>
      </w:pPr>
      <w:r>
        <w:rPr>
          <w:rFonts w:ascii="Arial" w:cs="Arial" w:eastAsia="Arial" w:hAnsi="Arial"/>
          <w:b/>
          <w:bCs/>
          <w:color w:val="1F4E79"/>
          <w:sz w:val="32"/>
          <w:szCs w:val="32"/>
        </w:rPr>
        <w:t xml:space="preserve">5. Dashboard Overview</w:t>
      </w:r>
    </w:p>
    <w:p>
      <w:pPr>
        <w:spacing w:before="80" w:after="80"/>
      </w:pPr>
      <w:r>
        <w:rPr>
          <w:rFonts w:ascii="Arial" w:cs="Arial" w:eastAsia="Arial" w:hAnsi="Arial"/>
          <w:sz w:val="24"/>
          <w:szCs w:val="24"/>
        </w:rPr>
        <w:t xml:space="preserve">A single-page Power BI dashboard titled 'Customer Retention Intelligence Dashboard' was built to enable rapid analysis of churn patterns across all customer segments.</w:t>
      </w:r>
    </w:p>
    <w:p>
      <w:pPr>
        <w:pStyle w:val="Heading2"/>
        <w:spacing w:before="200" w:after="100"/>
      </w:pPr>
      <w:r>
        <w:rPr>
          <w:rFonts w:ascii="Arial" w:cs="Arial" w:eastAsia="Arial" w:hAnsi="Arial"/>
          <w:b/>
          <w:bCs/>
          <w:color w:val="2E75B6"/>
          <w:sz w:val="26"/>
          <w:szCs w:val="26"/>
        </w:rPr>
        <w:t xml:space="preserve">5.1 KPI Summary Cards</w:t>
      </w:r>
    </w:p>
    <w:p>
      <w:pPr>
        <w:pStyle w:val="ListParagraph"/>
        <w:numPr>
          <w:ilvl w:val="0"/>
          <w:numId w:val="2"/>
        </w:numPr>
        <w:spacing w:before="60" w:after="60"/>
      </w:pPr>
      <w:r>
        <w:rPr>
          <w:rFonts w:ascii="Arial" w:cs="Arial" w:eastAsia="Arial" w:hAnsi="Arial"/>
          <w:sz w:val="24"/>
          <w:szCs w:val="24"/>
        </w:rPr>
        <w:t xml:space="preserve">Total Customers — 64,374</w:t>
      </w:r>
    </w:p>
    <w:p>
      <w:pPr>
        <w:pStyle w:val="ListParagraph"/>
        <w:numPr>
          <w:ilvl w:val="0"/>
          <w:numId w:val="2"/>
        </w:numPr>
        <w:spacing w:before="60" w:after="60"/>
      </w:pPr>
      <w:r>
        <w:rPr>
          <w:rFonts w:ascii="Arial" w:cs="Arial" w:eastAsia="Arial" w:hAnsi="Arial"/>
          <w:sz w:val="24"/>
          <w:szCs w:val="24"/>
        </w:rPr>
        <w:t xml:space="preserve">Churned Customers — count of records where Churn = 1</w:t>
      </w:r>
    </w:p>
    <w:p>
      <w:pPr>
        <w:pStyle w:val="ListParagraph"/>
        <w:numPr>
          <w:ilvl w:val="0"/>
          <w:numId w:val="2"/>
        </w:numPr>
        <w:spacing w:before="60" w:after="60"/>
      </w:pPr>
      <w:r>
        <w:rPr>
          <w:rFonts w:ascii="Arial" w:cs="Arial" w:eastAsia="Arial" w:hAnsi="Arial"/>
          <w:sz w:val="24"/>
          <w:szCs w:val="24"/>
        </w:rPr>
        <w:t xml:space="preserve">Retained Customers — count of records where Churn = 0</w:t>
      </w:r>
    </w:p>
    <w:p>
      <w:pPr>
        <w:pStyle w:val="ListParagraph"/>
        <w:numPr>
          <w:ilvl w:val="0"/>
          <w:numId w:val="2"/>
        </w:numPr>
        <w:spacing w:before="60" w:after="60"/>
      </w:pPr>
      <w:r>
        <w:rPr>
          <w:rFonts w:ascii="Arial" w:cs="Arial" w:eastAsia="Arial" w:hAnsi="Arial"/>
          <w:sz w:val="24"/>
          <w:szCs w:val="24"/>
        </w:rPr>
        <w:t xml:space="preserve">Churn Rate % — (Churned / Total) × 100</w:t>
      </w:r>
    </w:p>
    <w:p>
      <w:pPr>
        <w:pStyle w:val="ListParagraph"/>
        <w:numPr>
          <w:ilvl w:val="0"/>
          <w:numId w:val="2"/>
        </w:numPr>
        <w:spacing w:before="60" w:after="60"/>
      </w:pPr>
      <w:r>
        <w:rPr>
          <w:rFonts w:ascii="Arial" w:cs="Arial" w:eastAsia="Arial" w:hAnsi="Arial"/>
          <w:sz w:val="24"/>
          <w:szCs w:val="24"/>
        </w:rPr>
        <w:t xml:space="preserve">Total Revenue at Risk — aggregated spend of churned customers</w:t>
      </w:r>
    </w:p>
    <w:p>
      <w:pPr>
        <w:pStyle w:val="Heading2"/>
        <w:spacing w:before="200" w:after="100"/>
      </w:pPr>
      <w:r>
        <w:rPr>
          <w:rFonts w:ascii="Arial" w:cs="Arial" w:eastAsia="Arial" w:hAnsi="Arial"/>
          <w:b/>
          <w:bCs/>
          <w:color w:val="2E75B6"/>
          <w:sz w:val="26"/>
          <w:szCs w:val="26"/>
        </w:rPr>
        <w:t xml:space="preserve">5.2 Visual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Visual</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Insight Delivered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Churn vs Retention Split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Overall churn proportion at a glance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Grouped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Churn by Subscription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plan has the highest churn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Column Chart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Churn by Contract Length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Impact of commitment length on churn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Support Calls vs Churn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Correlation between support load and exits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Scatter Plot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Tenure vs Total Spend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Spending patterns by customer 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Heat 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Churn Rate by Age Band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Age-group risk segmentation</w:t>
            </w:r>
          </w:p>
        </w:tc>
      </w:tr>
    </w:tbl>
    <w:p>
      <w:pPr>
        <w:pStyle w:val="Heading1"/>
        <w:spacing w:before="300" w:after="120"/>
      </w:pPr>
      <w:r>
        <w:rPr>
          <w:rFonts w:ascii="Arial" w:cs="Arial" w:eastAsia="Arial" w:hAnsi="Arial"/>
          <w:b/>
          <w:bCs/>
          <w:color w:val="1F4E79"/>
          <w:sz w:val="32"/>
          <w:szCs w:val="32"/>
        </w:rPr>
        <w:t xml:space="preserve">6. Key Analytical Insights</w:t>
      </w:r>
    </w:p>
    <w:p>
      <w:pPr>
        <w:pStyle w:val="ListParagraph"/>
        <w:numPr>
          <w:ilvl w:val="0"/>
          <w:numId w:val="2"/>
        </w:numPr>
        <w:spacing w:before="60" w:after="60"/>
      </w:pPr>
      <w:r>
        <w:rPr>
          <w:rFonts w:ascii="Arial" w:cs="Arial" w:eastAsia="Arial" w:hAnsi="Arial"/>
          <w:sz w:val="24"/>
          <w:szCs w:val="24"/>
        </w:rPr>
        <w:t xml:space="preserve">Customers on month-to-month contracts churn at nearly 3× the rate of those on annual contracts.</w:t>
      </w:r>
    </w:p>
    <w:p>
      <w:pPr>
        <w:pStyle w:val="ListParagraph"/>
        <w:numPr>
          <w:ilvl w:val="0"/>
          <w:numId w:val="2"/>
        </w:numPr>
        <w:spacing w:before="60" w:after="60"/>
      </w:pPr>
      <w:r>
        <w:rPr>
          <w:rFonts w:ascii="Arial" w:cs="Arial" w:eastAsia="Arial" w:hAnsi="Arial"/>
          <w:sz w:val="24"/>
          <w:szCs w:val="24"/>
        </w:rPr>
        <w:t xml:space="preserve">Each additional support call is positively correlated with a higher probability of churn.</w:t>
      </w:r>
    </w:p>
    <w:p>
      <w:pPr>
        <w:pStyle w:val="ListParagraph"/>
        <w:numPr>
          <w:ilvl w:val="0"/>
          <w:numId w:val="2"/>
        </w:numPr>
        <w:spacing w:before="60" w:after="60"/>
      </w:pPr>
      <w:r>
        <w:rPr>
          <w:rFonts w:ascii="Arial" w:cs="Arial" w:eastAsia="Arial" w:hAnsi="Arial"/>
          <w:sz w:val="24"/>
          <w:szCs w:val="24"/>
        </w:rPr>
        <w:t xml:space="preserve">Customers with tenure under 12 months account for a disproportionate share of churn.</w:t>
      </w:r>
    </w:p>
    <w:p>
      <w:pPr>
        <w:pStyle w:val="ListParagraph"/>
        <w:numPr>
          <w:ilvl w:val="0"/>
          <w:numId w:val="2"/>
        </w:numPr>
        <w:spacing w:before="60" w:after="60"/>
      </w:pPr>
      <w:r>
        <w:rPr>
          <w:rFonts w:ascii="Arial" w:cs="Arial" w:eastAsia="Arial" w:hAnsi="Arial"/>
          <w:sz w:val="24"/>
          <w:szCs w:val="24"/>
        </w:rPr>
        <w:t xml:space="preserve">Premium subscribers have lower churn rates but represent a smaller proportion of the base.</w:t>
      </w:r>
    </w:p>
    <w:p>
      <w:pPr>
        <w:pStyle w:val="ListParagraph"/>
        <w:numPr>
          <w:ilvl w:val="0"/>
          <w:numId w:val="2"/>
        </w:numPr>
        <w:spacing w:before="60" w:after="60"/>
      </w:pPr>
      <w:r>
        <w:rPr>
          <w:rFonts w:ascii="Arial" w:cs="Arial" w:eastAsia="Arial" w:hAnsi="Arial"/>
          <w:sz w:val="24"/>
          <w:szCs w:val="24"/>
        </w:rPr>
        <w:t xml:space="preserve">Payment delays exceeding 15 days are a strong leading indicator of churn within 30 days.</w:t>
      </w:r>
    </w:p>
    <w:p>
      <w:pPr>
        <w:pStyle w:val="ListParagraph"/>
        <w:numPr>
          <w:ilvl w:val="0"/>
          <w:numId w:val="2"/>
        </w:numPr>
        <w:spacing w:before="60" w:after="60"/>
      </w:pPr>
      <w:r>
        <w:rPr>
          <w:rFonts w:ascii="Arial" w:cs="Arial" w:eastAsia="Arial" w:hAnsi="Arial"/>
          <w:sz w:val="24"/>
          <w:szCs w:val="24"/>
        </w:rPr>
        <w:t xml:space="preserve">Customers with high total spend and long tenure are the most stable segment.</w:t>
      </w:r>
    </w:p>
    <w:p>
      <w:pPr>
        <w:pStyle w:val="Heading1"/>
        <w:spacing w:before="300" w:after="120"/>
      </w:pPr>
      <w:r>
        <w:rPr>
          <w:rFonts w:ascii="Arial" w:cs="Arial" w:eastAsia="Arial" w:hAnsi="Arial"/>
          <w:b/>
          <w:bCs/>
          <w:color w:val="1F4E79"/>
          <w:sz w:val="32"/>
          <w:szCs w:val="32"/>
        </w:rPr>
        <w:t xml:space="preserve">7. Recommendations</w:t>
      </w:r>
    </w:p>
    <w:p>
      <w:pPr>
        <w:pStyle w:val="ListParagraph"/>
        <w:numPr>
          <w:ilvl w:val="0"/>
          <w:numId w:val="2"/>
        </w:numPr>
        <w:spacing w:before="60" w:after="60"/>
      </w:pPr>
      <w:r>
        <w:rPr>
          <w:rFonts w:ascii="Arial" w:cs="Arial" w:eastAsia="Arial" w:hAnsi="Arial"/>
          <w:sz w:val="24"/>
          <w:szCs w:val="24"/>
        </w:rPr>
        <w:t xml:space="preserve">Introduce lock-in incentives to convert month-to-month customers to annual plans.</w:t>
      </w:r>
    </w:p>
    <w:p>
      <w:pPr>
        <w:pStyle w:val="ListParagraph"/>
        <w:numPr>
          <w:ilvl w:val="0"/>
          <w:numId w:val="2"/>
        </w:numPr>
        <w:spacing w:before="60" w:after="60"/>
      </w:pPr>
      <w:r>
        <w:rPr>
          <w:rFonts w:ascii="Arial" w:cs="Arial" w:eastAsia="Arial" w:hAnsi="Arial"/>
          <w:sz w:val="24"/>
          <w:szCs w:val="24"/>
        </w:rPr>
        <w:t xml:space="preserve">Trigger automated check-ins when a customer raises more than two support tickets.</w:t>
      </w:r>
    </w:p>
    <w:p>
      <w:pPr>
        <w:pStyle w:val="ListParagraph"/>
        <w:numPr>
          <w:ilvl w:val="0"/>
          <w:numId w:val="2"/>
        </w:numPr>
        <w:spacing w:before="60" w:after="60"/>
      </w:pPr>
      <w:r>
        <w:rPr>
          <w:rFonts w:ascii="Arial" w:cs="Arial" w:eastAsia="Arial" w:hAnsi="Arial"/>
          <w:sz w:val="24"/>
          <w:szCs w:val="24"/>
        </w:rPr>
        <w:t xml:space="preserve">Develop an onboarding programme to reduce early-tenure churn in the first 90 days.</w:t>
      </w:r>
    </w:p>
    <w:p>
      <w:pPr>
        <w:pStyle w:val="ListParagraph"/>
        <w:numPr>
          <w:ilvl w:val="0"/>
          <w:numId w:val="2"/>
        </w:numPr>
        <w:spacing w:before="60" w:after="60"/>
      </w:pPr>
      <w:r>
        <w:rPr>
          <w:rFonts w:ascii="Arial" w:cs="Arial" w:eastAsia="Arial" w:hAnsi="Arial"/>
          <w:sz w:val="24"/>
          <w:szCs w:val="24"/>
        </w:rPr>
        <w:t xml:space="preserve">Flag accounts with payment delays &gt;10 days for proactive outreach from the retention team.</w:t>
      </w:r>
    </w:p>
    <w:p>
      <w:pPr>
        <w:pStyle w:val="Heading1"/>
        <w:spacing w:before="300" w:after="120"/>
      </w:pPr>
      <w:r>
        <w:rPr>
          <w:rFonts w:ascii="Arial" w:cs="Arial" w:eastAsia="Arial" w:hAnsi="Arial"/>
          <w:b/>
          <w:bCs/>
          <w:color w:val="1F4E79"/>
          <w:sz w:val="32"/>
          <w:szCs w:val="32"/>
        </w:rPr>
        <w:t xml:space="preserve">8. Conclusion</w:t>
      </w:r>
    </w:p>
    <w:p>
      <w:pPr>
        <w:spacing w:before="80" w:after="80"/>
      </w:pPr>
      <w:r>
        <w:rPr>
          <w:rFonts w:ascii="Arial" w:cs="Arial" w:eastAsia="Arial" w:hAnsi="Arial"/>
          <w:sz w:val="24"/>
          <w:szCs w:val="24"/>
        </w:rPr>
        <w:t xml:space="preserve">This analysis provides a data-driven foundation for understanding why customers leave and when they are most at risk of doing so. The Power BI dashboard delivers these insights in an accessible format, enabling business teams to act on retention opportunities without requiring technical expertise. Ongoing monitoring using this framework can help reduce churn and increase customer lifetime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2026-03-31T05:29:38.247Z</dcterms:created>
  <dcterms:modified xsi:type="dcterms:W3CDTF">2026-03-31T05:29:38.247Z</dcterms:modified>
</cp:coreProperties>
</file>

<file path=docProps/custom.xml><?xml version="1.0" encoding="utf-8"?>
<Properties xmlns="http://schemas.openxmlformats.org/officeDocument/2006/custom-properties" xmlns:vt="http://schemas.openxmlformats.org/officeDocument/2006/docPropsVTypes"/>
</file>