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1F4E79"/>
          <w:sz w:val="44"/>
          <w:szCs w:val="44"/>
        </w:rPr>
        <w:t xml:space="preserve">Customer Churn Analysis</w:t>
      </w:r>
    </w:p>
    <w:p>
      <w:pPr>
        <w:spacing w:before="0" w:after="300"/>
        <w:jc w:val="center"/>
      </w:pPr>
      <w:r>
        <w:rPr>
          <w:rFonts w:ascii="Arial" w:cs="Arial" w:eastAsia="Arial" w:hAnsi="Arial"/>
          <w:i/>
          <w:iCs/>
          <w:color w:val="595959"/>
          <w:sz w:val="28"/>
          <w:szCs w:val="28"/>
        </w:rPr>
        <w:t xml:space="preserve">Project Synopsis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64,374</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12</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Binary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Power BI</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Customer Records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Features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Churn Label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Analysis Tool</w:t>
            </w:r>
          </w:p>
        </w:tc>
      </w:tr>
    </w:tbl>
    <w:p>
      <w:pPr>
        <w:spacing w:before="200" w:after="100"/>
      </w:pPr>
    </w:p>
    <w:p>
      <w:pPr>
        <w:pStyle w:val="Heading1"/>
        <w:spacing w:before="300" w:after="120"/>
      </w:pPr>
      <w:r>
        <w:rPr>
          <w:rFonts w:ascii="Arial" w:cs="Arial" w:eastAsia="Arial" w:hAnsi="Arial"/>
          <w:b/>
          <w:bCs/>
          <w:color w:val="1F4E79"/>
          <w:sz w:val="32"/>
          <w:szCs w:val="32"/>
        </w:rPr>
        <w:t xml:space="preserve">1. Background</w:t>
      </w:r>
    </w:p>
    <w:p>
      <w:pPr>
        <w:spacing w:before="80" w:after="80"/>
      </w:pPr>
      <w:r>
        <w:rPr>
          <w:rFonts w:ascii="Arial" w:cs="Arial" w:eastAsia="Arial" w:hAnsi="Arial"/>
          <w:sz w:val="24"/>
          <w:szCs w:val="24"/>
        </w:rPr>
        <w:t xml:space="preserve">Subscription businesses face the ongoing challenge of customer attrition. Understanding what drives customers to disengage — and identifying those at risk before they leave — is a critical capability for any customer-facing organisation. This project uses a 64,374-record customer dataset to model churn behaviour and deliver insights through an interactive Power BI dashboard.</w:t>
      </w:r>
    </w:p>
    <w:p>
      <w:pPr>
        <w:pStyle w:val="Heading1"/>
        <w:spacing w:before="300" w:after="120"/>
      </w:pPr>
      <w:r>
        <w:rPr>
          <w:rFonts w:ascii="Arial" w:cs="Arial" w:eastAsia="Arial" w:hAnsi="Arial"/>
          <w:b/>
          <w:bCs/>
          <w:color w:val="1F4E79"/>
          <w:sz w:val="32"/>
          <w:szCs w:val="32"/>
        </w:rPr>
        <w:t xml:space="preserve">2. Project Objectives</w:t>
      </w:r>
    </w:p>
    <w:p>
      <w:pPr>
        <w:pStyle w:val="ListParagraph"/>
        <w:numPr>
          <w:ilvl w:val="0"/>
          <w:numId w:val="2"/>
        </w:numPr>
        <w:spacing w:before="60" w:after="60"/>
      </w:pPr>
      <w:r>
        <w:rPr>
          <w:rFonts w:ascii="Arial" w:cs="Arial" w:eastAsia="Arial" w:hAnsi="Arial"/>
          <w:sz w:val="24"/>
          <w:szCs w:val="24"/>
        </w:rPr>
        <w:t xml:space="preserve">Identify which customer attributes are most strongly associated with churn</w:t>
      </w:r>
    </w:p>
    <w:p>
      <w:pPr>
        <w:pStyle w:val="ListParagraph"/>
        <w:numPr>
          <w:ilvl w:val="0"/>
          <w:numId w:val="2"/>
        </w:numPr>
        <w:spacing w:before="60" w:after="60"/>
      </w:pPr>
      <w:r>
        <w:rPr>
          <w:rFonts w:ascii="Arial" w:cs="Arial" w:eastAsia="Arial" w:hAnsi="Arial"/>
          <w:sz w:val="24"/>
          <w:szCs w:val="24"/>
        </w:rPr>
        <w:t xml:space="preserve">Segment the customer base by churn risk level</w:t>
      </w:r>
    </w:p>
    <w:p>
      <w:pPr>
        <w:pStyle w:val="ListParagraph"/>
        <w:numPr>
          <w:ilvl w:val="0"/>
          <w:numId w:val="2"/>
        </w:numPr>
        <w:spacing w:before="60" w:after="60"/>
      </w:pPr>
      <w:r>
        <w:rPr>
          <w:rFonts w:ascii="Arial" w:cs="Arial" w:eastAsia="Arial" w:hAnsi="Arial"/>
          <w:sz w:val="24"/>
          <w:szCs w:val="24"/>
        </w:rPr>
        <w:t xml:space="preserve">Visualise churn patterns by subscription type, contract length, and tenure</w:t>
      </w:r>
    </w:p>
    <w:p>
      <w:pPr>
        <w:pStyle w:val="ListParagraph"/>
        <w:numPr>
          <w:ilvl w:val="0"/>
          <w:numId w:val="2"/>
        </w:numPr>
        <w:spacing w:before="60" w:after="60"/>
      </w:pPr>
      <w:r>
        <w:rPr>
          <w:rFonts w:ascii="Arial" w:cs="Arial" w:eastAsia="Arial" w:hAnsi="Arial"/>
          <w:sz w:val="24"/>
          <w:szCs w:val="24"/>
        </w:rPr>
        <w:t xml:space="preserve">Provide actionable recommendations for the customer retention team</w:t>
      </w:r>
    </w:p>
    <w:p>
      <w:pPr>
        <w:pStyle w:val="Heading1"/>
        <w:spacing w:before="300" w:after="120"/>
      </w:pPr>
      <w:r>
        <w:rPr>
          <w:rFonts w:ascii="Arial" w:cs="Arial" w:eastAsia="Arial" w:hAnsi="Arial"/>
          <w:b/>
          <w:bCs/>
          <w:color w:val="1F4E79"/>
          <w:sz w:val="32"/>
          <w:szCs w:val="32"/>
        </w:rPr>
        <w:t xml:space="preserve">3. Dataset Summary</w:t>
      </w:r>
    </w:p>
    <w:p>
      <w:pPr>
        <w:pStyle w:val="Heading2"/>
        <w:spacing w:before="200" w:after="100"/>
      </w:pPr>
      <w:r>
        <w:rPr>
          <w:rFonts w:ascii="Arial" w:cs="Arial" w:eastAsia="Arial" w:hAnsi="Arial"/>
          <w:b/>
          <w:bCs/>
          <w:color w:val="2E75B6"/>
          <w:sz w:val="26"/>
          <w:szCs w:val="26"/>
        </w:rPr>
        <w:t xml:space="preserve">Features Analysed</w:t>
      </w:r>
    </w:p>
    <w:p>
      <w:pPr>
        <w:pStyle w:val="ListParagraph"/>
        <w:numPr>
          <w:ilvl w:val="0"/>
          <w:numId w:val="2"/>
        </w:numPr>
        <w:spacing w:before="60" w:after="60"/>
      </w:pPr>
      <w:r>
        <w:rPr>
          <w:rFonts w:ascii="Arial" w:cs="Arial" w:eastAsia="Arial" w:hAnsi="Arial"/>
          <w:sz w:val="24"/>
          <w:szCs w:val="24"/>
        </w:rPr>
        <w:t xml:space="preserve">Demographics — Age, Gender</w:t>
      </w:r>
    </w:p>
    <w:p>
      <w:pPr>
        <w:pStyle w:val="ListParagraph"/>
        <w:numPr>
          <w:ilvl w:val="0"/>
          <w:numId w:val="2"/>
        </w:numPr>
        <w:spacing w:before="60" w:after="60"/>
      </w:pPr>
      <w:r>
        <w:rPr>
          <w:rFonts w:ascii="Arial" w:cs="Arial" w:eastAsia="Arial" w:hAnsi="Arial"/>
          <w:sz w:val="24"/>
          <w:szCs w:val="24"/>
        </w:rPr>
        <w:t xml:space="preserve">Engagement signals — Usage Frequency, Support Calls, Last Interaction</w:t>
      </w:r>
    </w:p>
    <w:p>
      <w:pPr>
        <w:pStyle w:val="ListParagraph"/>
        <w:numPr>
          <w:ilvl w:val="0"/>
          <w:numId w:val="2"/>
        </w:numPr>
        <w:spacing w:before="60" w:after="60"/>
      </w:pPr>
      <w:r>
        <w:rPr>
          <w:rFonts w:ascii="Arial" w:cs="Arial" w:eastAsia="Arial" w:hAnsi="Arial"/>
          <w:sz w:val="24"/>
          <w:szCs w:val="24"/>
        </w:rPr>
        <w:t xml:space="preserve">Commercial data — Total Spend, Subscription Type, Contract Length</w:t>
      </w:r>
    </w:p>
    <w:p>
      <w:pPr>
        <w:pStyle w:val="ListParagraph"/>
        <w:numPr>
          <w:ilvl w:val="0"/>
          <w:numId w:val="2"/>
        </w:numPr>
        <w:spacing w:before="60" w:after="60"/>
      </w:pPr>
      <w:r>
        <w:rPr>
          <w:rFonts w:ascii="Arial" w:cs="Arial" w:eastAsia="Arial" w:hAnsi="Arial"/>
          <w:sz w:val="24"/>
          <w:szCs w:val="24"/>
        </w:rPr>
        <w:t xml:space="preserve">Risk indicators — Payment Delay, Tenure</w:t>
      </w:r>
    </w:p>
    <w:p>
      <w:pPr>
        <w:pStyle w:val="ListParagraph"/>
        <w:numPr>
          <w:ilvl w:val="0"/>
          <w:numId w:val="2"/>
        </w:numPr>
        <w:spacing w:before="60" w:after="60"/>
      </w:pPr>
      <w:r>
        <w:rPr>
          <w:rFonts w:ascii="Arial" w:cs="Arial" w:eastAsia="Arial" w:hAnsi="Arial"/>
          <w:sz w:val="24"/>
          <w:szCs w:val="24"/>
        </w:rPr>
        <w:t xml:space="preserve">Target variable — Churn (1 = left, 0 = retained)</w:t>
      </w:r>
    </w:p>
    <w:p>
      <w:pPr>
        <w:pStyle w:val="Heading1"/>
        <w:spacing w:before="300" w:after="120"/>
      </w:pPr>
      <w:r>
        <w:rPr>
          <w:rFonts w:ascii="Arial" w:cs="Arial" w:eastAsia="Arial" w:hAnsi="Arial"/>
          <w:b/>
          <w:bCs/>
          <w:color w:val="1F4E79"/>
          <w:sz w:val="32"/>
          <w:szCs w:val="32"/>
        </w:rPr>
        <w:t xml:space="preserve">4. Methodology</w:t>
      </w:r>
    </w:p>
    <w:p>
      <w:pPr>
        <w:pStyle w:val="Heading2"/>
        <w:spacing w:before="200" w:after="100"/>
      </w:pPr>
      <w:r>
        <w:rPr>
          <w:rFonts w:ascii="Arial" w:cs="Arial" w:eastAsia="Arial" w:hAnsi="Arial"/>
          <w:b/>
          <w:bCs/>
          <w:color w:val="2E75B6"/>
          <w:sz w:val="26"/>
          <w:szCs w:val="26"/>
        </w:rPr>
        <w:t xml:space="preserve">Data Preparation</w:t>
      </w:r>
    </w:p>
    <w:p>
      <w:pPr>
        <w:spacing w:before="80" w:after="80"/>
      </w:pPr>
      <w:r>
        <w:rPr>
          <w:rFonts w:ascii="Arial" w:cs="Arial" w:eastAsia="Arial" w:hAnsi="Arial"/>
          <w:sz w:val="24"/>
          <w:szCs w:val="24"/>
        </w:rPr>
        <w:t xml:space="preserve">Data was reviewed in Excel and loaded into Power BI via Power Query. Missing values were handled, data types confirmed, and derived columns (e.g. Churn Rate %) were added.</w:t>
      </w:r>
    </w:p>
    <w:p>
      <w:pPr>
        <w:pStyle w:val="Heading2"/>
        <w:spacing w:before="200" w:after="100"/>
      </w:pPr>
      <w:r>
        <w:rPr>
          <w:rFonts w:ascii="Arial" w:cs="Arial" w:eastAsia="Arial" w:hAnsi="Arial"/>
          <w:b/>
          <w:bCs/>
          <w:color w:val="2E75B6"/>
          <w:sz w:val="26"/>
          <w:szCs w:val="26"/>
        </w:rPr>
        <w:t xml:space="preserve">Measure Development</w:t>
      </w:r>
    </w:p>
    <w:p>
      <w:pPr>
        <w:spacing w:before="80" w:after="80"/>
      </w:pPr>
      <w:r>
        <w:rPr>
          <w:rFonts w:ascii="Arial" w:cs="Arial" w:eastAsia="Arial" w:hAnsi="Arial"/>
          <w:sz w:val="24"/>
          <w:szCs w:val="24"/>
        </w:rPr>
        <w:t xml:space="preserve">DAX measures were created for: Total Customers, Churned Count, Retained Count, Churn Rate %, and Revenue at Risk.</w:t>
      </w:r>
    </w:p>
    <w:p>
      <w:pPr>
        <w:pStyle w:val="Heading2"/>
        <w:spacing w:before="200" w:after="100"/>
      </w:pPr>
      <w:r>
        <w:rPr>
          <w:rFonts w:ascii="Arial" w:cs="Arial" w:eastAsia="Arial" w:hAnsi="Arial"/>
          <w:b/>
          <w:bCs/>
          <w:color w:val="2E75B6"/>
          <w:sz w:val="26"/>
          <w:szCs w:val="26"/>
        </w:rPr>
        <w:t xml:space="preserve">Dashboard Creation</w:t>
      </w:r>
    </w:p>
    <w:p>
      <w:pPr>
        <w:spacing w:before="80" w:after="80"/>
      </w:pPr>
      <w:r>
        <w:rPr>
          <w:rFonts w:ascii="Arial" w:cs="Arial" w:eastAsia="Arial" w:hAnsi="Arial"/>
          <w:sz w:val="24"/>
          <w:szCs w:val="24"/>
        </w:rPr>
        <w:t xml:space="preserve">A single-page interactive dashboard was designed targeting customer success and business analytics stakeholders.</w:t>
      </w:r>
    </w:p>
    <w:p>
      <w:pPr>
        <w:pStyle w:val="Heading1"/>
        <w:spacing w:before="300" w:after="120"/>
      </w:pPr>
      <w:r>
        <w:rPr>
          <w:rFonts w:ascii="Arial" w:cs="Arial" w:eastAsia="Arial" w:hAnsi="Arial"/>
          <w:b/>
          <w:bCs/>
          <w:color w:val="1F4E79"/>
          <w:sz w:val="32"/>
          <w:szCs w:val="32"/>
        </w:rPr>
        <w:t xml:space="preserve">5. Dashboard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Visual</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Question Answered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Donut Chart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What share of customers have churned?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Bar Chart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Which subscription tier has the most churn?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Column Chart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Does contract length reduce churn?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Line Chart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Does support call volume predict churn?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Scatter Plot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Do long-tenure customers spend more?</w:t>
            </w:r>
          </w:p>
        </w:tc>
      </w:tr>
    </w:tbl>
    <w:p>
      <w:pPr>
        <w:pStyle w:val="Heading1"/>
        <w:spacing w:before="300" w:after="120"/>
      </w:pPr>
      <w:r>
        <w:rPr>
          <w:rFonts w:ascii="Arial" w:cs="Arial" w:eastAsia="Arial" w:hAnsi="Arial"/>
          <w:b/>
          <w:bCs/>
          <w:color w:val="1F4E79"/>
          <w:sz w:val="32"/>
          <w:szCs w:val="32"/>
        </w:rPr>
        <w:t xml:space="preserve">6. Key Insights</w:t>
      </w:r>
    </w:p>
    <w:p>
      <w:pPr>
        <w:pStyle w:val="ListParagraph"/>
        <w:numPr>
          <w:ilvl w:val="0"/>
          <w:numId w:val="2"/>
        </w:numPr>
        <w:spacing w:before="60" w:after="60"/>
      </w:pPr>
      <w:r>
        <w:rPr>
          <w:rFonts w:ascii="Arial" w:cs="Arial" w:eastAsia="Arial" w:hAnsi="Arial"/>
          <w:sz w:val="24"/>
          <w:szCs w:val="24"/>
        </w:rPr>
        <w:t xml:space="preserve">Month-to-month contracts are the single strongest predictor of churn in this dataset.</w:t>
      </w:r>
    </w:p>
    <w:p>
      <w:pPr>
        <w:pStyle w:val="ListParagraph"/>
        <w:numPr>
          <w:ilvl w:val="0"/>
          <w:numId w:val="2"/>
        </w:numPr>
        <w:spacing w:before="60" w:after="60"/>
      </w:pPr>
      <w:r>
        <w:rPr>
          <w:rFonts w:ascii="Arial" w:cs="Arial" w:eastAsia="Arial" w:hAnsi="Arial"/>
          <w:sz w:val="24"/>
          <w:szCs w:val="24"/>
        </w:rPr>
        <w:t xml:space="preserve">High support call frequency precedes churn in the majority of cases.</w:t>
      </w:r>
    </w:p>
    <w:p>
      <w:pPr>
        <w:pStyle w:val="ListParagraph"/>
        <w:numPr>
          <w:ilvl w:val="0"/>
          <w:numId w:val="2"/>
        </w:numPr>
        <w:spacing w:before="60" w:after="60"/>
      </w:pPr>
      <w:r>
        <w:rPr>
          <w:rFonts w:ascii="Arial" w:cs="Arial" w:eastAsia="Arial" w:hAnsi="Arial"/>
          <w:sz w:val="24"/>
          <w:szCs w:val="24"/>
        </w:rPr>
        <w:t xml:space="preserve">New customers (under 6 months tenure) are the highest-risk segment.</w:t>
      </w:r>
    </w:p>
    <w:p>
      <w:pPr>
        <w:pStyle w:val="ListParagraph"/>
        <w:numPr>
          <w:ilvl w:val="0"/>
          <w:numId w:val="2"/>
        </w:numPr>
        <w:spacing w:before="60" w:after="60"/>
      </w:pPr>
      <w:r>
        <w:rPr>
          <w:rFonts w:ascii="Arial" w:cs="Arial" w:eastAsia="Arial" w:hAnsi="Arial"/>
          <w:sz w:val="24"/>
          <w:szCs w:val="24"/>
        </w:rPr>
        <w:t xml:space="preserve">Payment delays are a reliable early warning signal for upcoming churn.</w:t>
      </w:r>
    </w:p>
    <w:p>
      <w:pPr>
        <w:pStyle w:val="Heading1"/>
        <w:spacing w:before="300" w:after="120"/>
      </w:pPr>
      <w:r>
        <w:rPr>
          <w:rFonts w:ascii="Arial" w:cs="Arial" w:eastAsia="Arial" w:hAnsi="Arial"/>
          <w:b/>
          <w:bCs/>
          <w:color w:val="1F4E79"/>
          <w:sz w:val="32"/>
          <w:szCs w:val="32"/>
        </w:rPr>
        <w:t xml:space="preserve">7. Conclusion</w:t>
      </w:r>
    </w:p>
    <w:p>
      <w:pPr>
        <w:spacing w:before="80" w:after="80"/>
      </w:pPr>
      <w:r>
        <w:rPr>
          <w:rFonts w:ascii="Arial" w:cs="Arial" w:eastAsia="Arial" w:hAnsi="Arial"/>
          <w:sz w:val="24"/>
          <w:szCs w:val="24"/>
        </w:rPr>
        <w:t xml:space="preserve">This project demonstrates how customer data can be transformed into churn intelligence using Power BI. The resulting dashboard equips retention teams with clear, visual evidence of where churn risk is concentrated — enabling targeted, timely interventions that can protect recurring revenue and improve overall customer lifetime value.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2026-03-31T05:29:38.251Z</dcterms:created>
  <dcterms:modified xsi:type="dcterms:W3CDTF">2026-03-31T05:29:38.251Z</dcterms:modified>
</cp:coreProperties>
</file>

<file path=docProps/custom.xml><?xml version="1.0" encoding="utf-8"?>
<Properties xmlns="http://schemas.openxmlformats.org/officeDocument/2006/custom-properties" xmlns:vt="http://schemas.openxmlformats.org/officeDocument/2006/docPropsVTypes"/>
</file>