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Remote Work Policy</w:t>
      </w:r>
    </w:p>
    <w:p>
      <w:pPr>
        <w:pStyle w:val="Heading1"/>
      </w:pPr>
      <w:r>
        <w:t>1. Eligibility</w:t>
      </w:r>
    </w:p>
    <w:p>
      <w:r>
        <w:t>All employees who have completed their 3-month probation period are eligible to request remote work. Work-from-home is subject to direct manager approval.</w:t>
      </w:r>
    </w:p>
    <w:p>
      <w:pPr>
        <w:pStyle w:val="Heading1"/>
      </w:pPr>
      <w:r>
        <w:t>2. Equipment &amp; Internet Reimbursement</w:t>
      </w:r>
    </w:p>
    <w:p>
      <w:r>
        <w:t>The company will reimburse remote employees up to  per month for high-speed home internet bills.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