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spacing w:before="400" w:after="120"/>
        <w:jc w:val="left"/>
      </w:pPr>
      <w:r>
        <w:rPr>
          <w:b/>
          <w:bCs/>
          <w:color w:val="1F3864"/>
          <w:sz w:val="48"/>
          <w:szCs w:val="48"/>
          <w:rtl/>
        </w:rPr>
        <w:t>ملف سيناريوهات الأنشطة التفاعلية</w:t>
      </w:r>
    </w:p>
    <w:p>
      <w:pPr>
        <w:bidi/>
        <w:spacing w:after="80"/>
        <w:jc w:val="left"/>
      </w:pPr>
      <w:r>
        <w:rPr>
          <w:color w:val="2E74B5"/>
          <w:sz w:val="26"/>
          <w:szCs w:val="26"/>
          <w:rtl/>
        </w:rPr>
        <w:t>بوث مكتب المتابعة والتقييم — ملتقى صناع الأثر</w:t>
      </w:r>
    </w:p>
    <w:p>
      <w:pPr>
        <w:bidi/>
        <w:spacing w:after="320"/>
        <w:jc w:val="left"/>
      </w:pPr>
      <w:r>
        <w:rPr>
          <w:b/>
          <w:bCs/>
          <w:color w:val="404040"/>
          <w:sz w:val="28"/>
          <w:szCs w:val="28"/>
          <w:rtl/>
        </w:rPr>
        <w:t>نشاط: تحدي المقيم الذكي</w:t>
      </w:r>
    </w:p>
    <w:p>
      <w:pPr>
        <w:pBdr>
          <w:bottom w:val="single" w:color="2E74B5" w:sz="6" w:space="1"/>
        </w:pBdr>
        <w:spacing w:after="160"/>
        <w:jc w:val="left"/>
      </w:pPr>
    </w:p>
    <w:p>
      <w:pPr>
        <w:pStyle w:val="3"/>
        <w:bidi/>
        <w:jc w:val="left"/>
      </w:pPr>
      <w:r>
        <w:rPr>
          <w:b/>
          <w:bCs/>
          <w:color w:val="2E74B5"/>
          <w:sz w:val="26"/>
          <w:szCs w:val="26"/>
          <w:rtl/>
        </w:rPr>
        <w:t>كيف تلعب؟</w:t>
      </w:r>
    </w:p>
    <w:p>
      <w:pPr>
        <w:bidi/>
        <w:spacing w:after="80"/>
        <w:jc w:val="left"/>
      </w:pPr>
      <w:r>
        <w:rPr>
          <w:sz w:val="22"/>
          <w:szCs w:val="22"/>
          <w:rtl/>
        </w:rPr>
        <w:t>اقرأ سيناريو المشروع بعناية، ثم قم بإنشاء تقرير رقابي موجز يتضمن:</w:t>
      </w:r>
    </w:p>
    <w:p>
      <w:pPr>
        <w:pStyle w:val="16"/>
        <w:numPr>
          <w:ilvl w:val="0"/>
          <w:numId w:val="1"/>
        </w:numPr>
        <w:bidi/>
        <w:spacing w:after="60"/>
        <w:jc w:val="left"/>
      </w:pPr>
      <w:r>
        <w:rPr>
          <w:sz w:val="22"/>
          <w:szCs w:val="22"/>
          <w:rtl/>
        </w:rPr>
        <w:t>تحديد الثغرات الموجودة في المشروع</w:t>
      </w:r>
    </w:p>
    <w:p>
      <w:pPr>
        <w:pStyle w:val="16"/>
        <w:numPr>
          <w:ilvl w:val="0"/>
          <w:numId w:val="1"/>
        </w:numPr>
        <w:bidi/>
        <w:spacing w:after="60"/>
        <w:jc w:val="left"/>
      </w:pPr>
      <w:r>
        <w:rPr>
          <w:sz w:val="22"/>
          <w:szCs w:val="22"/>
          <w:rtl/>
        </w:rPr>
        <w:t>ذكر السبب الجوهري لكل ثغرة</w:t>
      </w:r>
    </w:p>
    <w:p>
      <w:pPr>
        <w:pStyle w:val="16"/>
        <w:numPr>
          <w:ilvl w:val="0"/>
          <w:numId w:val="1"/>
        </w:numPr>
        <w:wordWrap w:val="0"/>
        <w:bidi/>
        <w:spacing w:after="60"/>
        <w:jc w:val="left"/>
      </w:pPr>
      <w:r>
        <w:rPr>
          <w:sz w:val="22"/>
          <w:szCs w:val="22"/>
          <w:rtl w:val="0"/>
          <w:lang w:val="en-US"/>
        </w:rPr>
        <w:t>صياغة</w:t>
      </w:r>
      <w:r>
        <w:rPr>
          <w:rFonts w:hint="default"/>
          <w:sz w:val="22"/>
          <w:szCs w:val="22"/>
          <w:rtl w:val="0"/>
          <w:lang w:val="en-US"/>
        </w:rPr>
        <w:t xml:space="preserve"> تقرير تتحدث فيه عن كل ثغرة مع ذكر الاسباب</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E74B5" w:sz="4" w:space="0"/>
              <w:left w:val="single" w:color="2E74B5" w:sz="12" w:space="0"/>
              <w:bottom w:val="single" w:color="2E74B5" w:sz="4" w:space="0"/>
              <w:right w:val="single" w:color="CCCCCC" w:sz="4" w:space="0"/>
            </w:tcBorders>
            <w:shd w:val="clear" w:color="auto" w:fill="EEF4FB"/>
            <w:tcMar>
              <w:top w:w="100" w:type="dxa"/>
              <w:left w:w="180" w:type="dxa"/>
              <w:bottom w:w="100" w:type="dxa"/>
              <w:right w:w="120" w:type="dxa"/>
            </w:tcMar>
          </w:tcPr>
          <w:p>
            <w:pPr>
              <w:bidi/>
              <w:jc w:val="left"/>
            </w:pPr>
            <w:r>
              <w:rPr>
                <w:b/>
                <w:bCs/>
                <w:color w:val="1F3864"/>
                <w:sz w:val="22"/>
                <w:szCs w:val="22"/>
                <w:rtl/>
              </w:rPr>
              <w:t xml:space="preserve">⏱ الوقت المتاح: </w:t>
            </w:r>
            <w:r>
              <w:rPr>
                <w:sz w:val="22"/>
                <w:szCs w:val="22"/>
                <w:rtl/>
              </w:rPr>
              <w:t>10 دقائق لقراءة السيناريو وكتابة تقريرك</w:t>
            </w:r>
          </w:p>
        </w:tc>
      </w:tr>
    </w:tbl>
    <w:p>
      <w:pPr>
        <w:spacing w:after="160"/>
        <w:jc w:val="left"/>
      </w:pPr>
    </w:p>
    <w:p>
      <w:pPr>
        <w:bidi/>
        <w:spacing w:before="160" w:after="320"/>
        <w:jc w:val="left"/>
      </w:pPr>
      <w:bookmarkStart w:id="0" w:name="_GoBack"/>
      <w:bookmarkEnd w:id="0"/>
      <w:r>
        <w:rPr>
          <w:b/>
          <w:bCs/>
          <w:color w:val="1F3864"/>
          <w:sz w:val="24"/>
          <w:szCs w:val="24"/>
          <w:rtl/>
        </w:rPr>
        <w:t>اختر القضية والمشروع الذي ترغب في ممارسة دورك الرقابي عليه، وأثبت لنا حسّك النقدي!</w:t>
      </w:r>
    </w:p>
    <w:p>
      <w:pPr>
        <w:pBdr>
          <w:bottom w:val="single" w:color="2E74B5" w:sz="6" w:space="1"/>
        </w:pBdr>
        <w:spacing w:after="160"/>
        <w:jc w:val="left"/>
      </w:pPr>
    </w:p>
    <w:p>
      <w:pPr>
        <w:pBdr>
          <w:top w:val="single" w:color="1F3864" w:sz="6" w:space="0"/>
          <w:bottom w:val="single" w:color="1F3864" w:sz="6" w:space="0"/>
        </w:pBdr>
        <w:shd w:val="clear" w:fill="1F3864"/>
        <w:bidi/>
        <w:spacing w:before="200" w:after="200"/>
        <w:jc w:val="left"/>
      </w:pPr>
      <w:r>
        <w:rPr>
          <w:b/>
          <w:bCs/>
          <w:color w:val="FFFFFF"/>
          <w:sz w:val="36"/>
          <w:szCs w:val="36"/>
          <w:rtl/>
        </w:rPr>
        <w:t>الخيار الأول</w:t>
      </w:r>
    </w:p>
    <w:p>
      <w:pPr>
        <w:pStyle w:val="2"/>
        <w:bidi/>
        <w:jc w:val="left"/>
      </w:pPr>
      <w:r>
        <w:rPr>
          <w:b/>
          <w:bCs/>
          <w:color w:val="1F3864"/>
          <w:sz w:val="32"/>
          <w:szCs w:val="32"/>
          <w:rtl/>
        </w:rPr>
        <w:t>مبادرة تكنو-شباب للتأهيل الرقمي</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C00000" w:sz="4" w:space="0"/>
              <w:left w:val="single" w:color="C00000" w:sz="12" w:space="0"/>
              <w:bottom w:val="single" w:color="C00000" w:sz="4" w:space="0"/>
              <w:right w:val="single" w:color="CCCCCC" w:sz="4" w:space="0"/>
            </w:tcBorders>
            <w:shd w:val="clear" w:color="auto" w:fill="FFF0F0"/>
            <w:tcMar>
              <w:top w:w="100" w:type="dxa"/>
              <w:left w:w="180" w:type="dxa"/>
              <w:bottom w:w="100" w:type="dxa"/>
              <w:right w:w="120" w:type="dxa"/>
            </w:tcMar>
          </w:tcPr>
          <w:p>
            <w:pPr>
              <w:bidi/>
              <w:jc w:val="left"/>
            </w:pPr>
            <w:r>
              <w:rPr>
                <w:b/>
                <w:bCs/>
                <w:color w:val="C00000"/>
                <w:sz w:val="22"/>
                <w:szCs w:val="22"/>
                <w:rtl/>
              </w:rPr>
              <w:t>🔍 تحدي المقيم الذكي: هل تمتلك عيناً رقابية ثاقبة وحساً نقدياً؟ أمامك سيناريو حقيقي لمشروع طلابي — يبدو ناجحاً في الظاهر، لكنه يخفي فجوات أثر وثغرات خفية! اقرأ المعطيات بذكاء، حدّد مكامن الخلل، ثم التفت للمتحدث الرسمي في البوث لتناقشه في حلّك وتربح ختم الإنجاز!</w:t>
            </w:r>
          </w:p>
        </w:tc>
      </w:tr>
    </w:tbl>
    <w:p>
      <w:pPr>
        <w:spacing w:after="80"/>
        <w:jc w:val="left"/>
      </w:pPr>
    </w:p>
    <w:p>
      <w:pPr>
        <w:pStyle w:val="3"/>
        <w:bidi/>
        <w:jc w:val="left"/>
      </w:pPr>
      <w:r>
        <w:rPr>
          <w:b/>
          <w:bCs/>
          <w:color w:val="2E74B5"/>
          <w:sz w:val="26"/>
          <w:szCs w:val="26"/>
          <w:rtl/>
        </w:rPr>
        <w:t>أولاً — وصف المشروع والنتائج الظاهرة</w:t>
      </w:r>
    </w:p>
    <w:p>
      <w:pPr>
        <w:bidi/>
        <w:spacing w:after="80"/>
        <w:jc w:val="left"/>
      </w:pPr>
      <w:r>
        <w:rPr>
          <w:sz w:val="22"/>
          <w:szCs w:val="22"/>
          <w:rtl/>
        </w:rPr>
        <w:t>مبادرة تكنو-شباب للتأهيل الرقمي مبادرة تطوعية تهدف إلى تدريب 150 طالباً جامعياً على مهارات سوق العمل الرقمي الأساسية خلال فترة زمنية محددة بـ3 أسابيع متواصلة.</w:t>
      </w:r>
    </w:p>
    <w:p>
      <w:pPr>
        <w:bidi/>
        <w:spacing w:after="80"/>
        <w:jc w:val="left"/>
      </w:pPr>
      <w:r>
        <w:rPr>
          <w:sz w:val="22"/>
          <w:szCs w:val="22"/>
          <w:rtl/>
        </w:rPr>
        <w:t>النتائج الظاهرة:</w:t>
      </w:r>
    </w:p>
    <w:p>
      <w:pPr>
        <w:pStyle w:val="16"/>
        <w:numPr>
          <w:ilvl w:val="0"/>
          <w:numId w:val="2"/>
        </w:numPr>
        <w:bidi/>
        <w:spacing w:after="60"/>
        <w:jc w:val="left"/>
      </w:pPr>
      <w:r>
        <w:rPr>
          <w:sz w:val="22"/>
          <w:szCs w:val="22"/>
          <w:rtl/>
        </w:rPr>
        <w:t>حقّق حفل الافتتاح صدىً إعلامياً واسعاً وحضره شخصيات اعتبارية هامة</w:t>
      </w:r>
    </w:p>
    <w:p>
      <w:pPr>
        <w:pStyle w:val="16"/>
        <w:numPr>
          <w:ilvl w:val="0"/>
          <w:numId w:val="2"/>
        </w:numPr>
        <w:bidi/>
        <w:spacing w:after="60"/>
        <w:jc w:val="left"/>
      </w:pPr>
      <w:r>
        <w:rPr>
          <w:sz w:val="22"/>
          <w:szCs w:val="22"/>
          <w:rtl/>
        </w:rPr>
        <w:t>تجاوز عدد المتقدمين 500 طالب، تم قبول 150 منهم بناءً على فرز أولي</w:t>
      </w:r>
    </w:p>
    <w:p>
      <w:pPr>
        <w:pStyle w:val="16"/>
        <w:numPr>
          <w:ilvl w:val="0"/>
          <w:numId w:val="2"/>
        </w:numPr>
        <w:bidi/>
        <w:spacing w:after="60"/>
        <w:jc w:val="left"/>
      </w:pPr>
      <w:r>
        <w:rPr>
          <w:sz w:val="22"/>
          <w:szCs w:val="22"/>
          <w:rtl/>
        </w:rPr>
        <w:t>تم تأمين قاعة تدريبية مجهزة مجاناً في مركز المدينة</w:t>
      </w:r>
    </w:p>
    <w:p>
      <w:pPr>
        <w:pStyle w:val="16"/>
        <w:numPr>
          <w:ilvl w:val="0"/>
          <w:numId w:val="2"/>
        </w:numPr>
        <w:bidi/>
        <w:spacing w:after="60"/>
        <w:jc w:val="left"/>
      </w:pPr>
      <w:r>
        <w:rPr>
          <w:sz w:val="22"/>
          <w:szCs w:val="22"/>
          <w:rtl/>
        </w:rPr>
        <w:t>حصلت المبادرة على إشادات واسعة عبر منصات التواصل الاجتماعي</w:t>
      </w:r>
    </w:p>
    <w:p>
      <w:pPr>
        <w:pStyle w:val="16"/>
        <w:numPr>
          <w:ilvl w:val="0"/>
          <w:numId w:val="2"/>
        </w:numPr>
        <w:bidi/>
        <w:spacing w:after="60"/>
        <w:jc w:val="left"/>
      </w:pPr>
      <w:r>
        <w:rPr>
          <w:sz w:val="22"/>
          <w:szCs w:val="22"/>
          <w:rtl/>
        </w:rPr>
        <w:t>أُنجزت الدورة في موعدها دون تأجيل رسمي معلن</w:t>
      </w:r>
    </w:p>
    <w:p>
      <w:pPr>
        <w:spacing w:after="80"/>
        <w:jc w:val="left"/>
      </w:pPr>
    </w:p>
    <w:p>
      <w:pPr>
        <w:pStyle w:val="3"/>
        <w:bidi/>
        <w:jc w:val="left"/>
      </w:pPr>
      <w:r>
        <w:rPr>
          <w:b/>
          <w:bCs/>
          <w:color w:val="2E74B5"/>
          <w:sz w:val="26"/>
          <w:szCs w:val="26"/>
          <w:rtl/>
        </w:rPr>
        <w:t>ثانياً — الجانب الإداري والكوادر</w:t>
      </w:r>
    </w:p>
    <w:p>
      <w:pPr>
        <w:bidi/>
        <w:spacing w:after="80"/>
        <w:jc w:val="left"/>
      </w:pPr>
      <w:r>
        <w:rPr>
          <w:sz w:val="22"/>
          <w:szCs w:val="22"/>
          <w:rtl/>
        </w:rPr>
        <w:t>تألّف الفريق التنظيمي من 5 متطوعين فقط، تولّى أحدهم إدارة المشروع والتنسيق اللوجستي والتواصل مع المدربين في آنٍ واحد — وذلك لضمان سرعة اتخاذ القرار وفق تبرير الفريق.</w:t>
      </w:r>
    </w:p>
    <w:p>
      <w:pPr>
        <w:bidi/>
        <w:spacing w:after="80"/>
        <w:jc w:val="left"/>
      </w:pPr>
      <w:r>
        <w:rPr>
          <w:sz w:val="22"/>
          <w:szCs w:val="22"/>
          <w:rtl/>
        </w:rPr>
        <w:t>بالنسبة للمدربين، تم الاعتماد على مدربين محترفين وافقوا على تقديم الورشات تطوعاً بالكامل دعماً للطلاب، دون وجود أي عقود إلزامية أو اتفاقيات رسمية موثّقة.</w:t>
      </w:r>
    </w:p>
    <w:p>
      <w:pPr>
        <w:bidi/>
        <w:spacing w:after="80"/>
        <w:jc w:val="left"/>
      </w:pPr>
      <w:r>
        <w:rPr>
          <w:sz w:val="22"/>
          <w:szCs w:val="22"/>
          <w:rtl/>
        </w:rPr>
        <w:t>لم يُحدَّد أي منهجية رسمية لتوثيق القرارات التشغيلية أو التسليمات بين أعضاء الفريق، واعتُمد التواصل الشفهي وتطبيقات المراسلة الفورية بديلاً عن المحاضر والسجلات.</w:t>
      </w:r>
    </w:p>
    <w:p>
      <w:pPr>
        <w:spacing w:after="80"/>
        <w:jc w:val="left"/>
      </w:pPr>
    </w:p>
    <w:p>
      <w:pPr>
        <w:pStyle w:val="3"/>
        <w:bidi/>
        <w:jc w:val="left"/>
      </w:pPr>
      <w:r>
        <w:rPr>
          <w:b/>
          <w:bCs/>
          <w:color w:val="2E74B5"/>
          <w:sz w:val="26"/>
          <w:szCs w:val="26"/>
          <w:rtl/>
        </w:rPr>
        <w:t>ثالثاً — الجانب المالي والتدفقات</w:t>
      </w:r>
    </w:p>
    <w:p>
      <w:pPr>
        <w:bidi/>
        <w:spacing w:after="80"/>
        <w:jc w:val="left"/>
      </w:pPr>
      <w:r>
        <w:rPr>
          <w:sz w:val="22"/>
          <w:szCs w:val="22"/>
          <w:rtl/>
        </w:rPr>
        <w:t>حصلت المبادرة على رعاية مالية محدودة لتغطية ضيافة حفل الافتتاح والختام وطباعة الشهادات.</w:t>
      </w:r>
    </w:p>
    <w:p>
      <w:pPr>
        <w:bidi/>
        <w:spacing w:after="80"/>
        <w:jc w:val="left"/>
      </w:pPr>
      <w:r>
        <w:rPr>
          <w:sz w:val="22"/>
          <w:szCs w:val="22"/>
          <w:rtl/>
        </w:rPr>
        <w:t>تم صرف الميزانية بالكامل في الأسبوع الأول لتأمين حفل افتتاح فاخر يليق بالحضور الاعتباري.</w:t>
      </w:r>
    </w:p>
    <w:p>
      <w:pPr>
        <w:bidi/>
        <w:spacing w:after="80"/>
        <w:jc w:val="left"/>
      </w:pPr>
      <w:r>
        <w:rPr>
          <w:sz w:val="22"/>
          <w:szCs w:val="22"/>
          <w:rtl/>
        </w:rPr>
        <w:t>تم تأجيل مستلزمات حفل الختام والشهادات للأسبوع الأخير، على أمل الحصول على دعم إضافي أو تبرعات طارئة لم تُحدَّد مصادرها مسبقاً.</w:t>
      </w:r>
    </w:p>
    <w:p>
      <w:pPr>
        <w:bidi/>
        <w:spacing w:after="80"/>
        <w:jc w:val="left"/>
      </w:pPr>
      <w:r>
        <w:rPr>
          <w:sz w:val="22"/>
          <w:szCs w:val="22"/>
          <w:rtl/>
        </w:rPr>
        <w:t>لا يوجد كشف حساب مفصّل أو تقرير مالي يوثّق بنود الإنفاق الفعلي، ولا آلية لمقارنة الإنفاق الفعلي بالمخطط.</w:t>
      </w:r>
    </w:p>
    <w:p>
      <w:pPr>
        <w:spacing w:after="80"/>
        <w:jc w:val="left"/>
      </w:pPr>
    </w:p>
    <w:p>
      <w:pPr>
        <w:pStyle w:val="3"/>
        <w:bidi/>
        <w:jc w:val="left"/>
      </w:pPr>
      <w:r>
        <w:rPr>
          <w:b/>
          <w:bCs/>
          <w:color w:val="2E74B5"/>
          <w:sz w:val="26"/>
          <w:szCs w:val="26"/>
          <w:rtl/>
        </w:rPr>
        <w:t>رابعاً — الجانب اللوجستي والبيئة التشغيلية</w:t>
      </w:r>
    </w:p>
    <w:p>
      <w:pPr>
        <w:bidi/>
        <w:spacing w:after="80"/>
        <w:jc w:val="left"/>
      </w:pPr>
      <w:r>
        <w:rPr>
          <w:sz w:val="22"/>
          <w:szCs w:val="22"/>
          <w:rtl/>
        </w:rPr>
        <w:t>تم تحديد جدول التدريب بمعدل 4 ساعات يومياً، من الساعة 2 ظهراً حتى 6 مساءً، طيلة أيام الأسبوع الثلاثة بما فيها أيام الامتحانات الجامعية الجزئية لبعض الكليات.</w:t>
      </w:r>
    </w:p>
    <w:p>
      <w:pPr>
        <w:bidi/>
        <w:spacing w:after="80"/>
        <w:jc w:val="left"/>
      </w:pPr>
      <w:r>
        <w:rPr>
          <w:sz w:val="22"/>
          <w:szCs w:val="22"/>
          <w:rtl/>
        </w:rPr>
        <w:t>تقع القاعة التدريبية في مبنى تجاري بوسط المدينة، يستغرق الوصول إليه بالمواصلات العامة ما بين 40 و60 دقيقة من أغلب الأحياء الجامعية.</w:t>
      </w:r>
    </w:p>
    <w:p>
      <w:pPr>
        <w:bidi/>
        <w:spacing w:after="80"/>
        <w:jc w:val="left"/>
      </w:pPr>
      <w:r>
        <w:rPr>
          <w:sz w:val="22"/>
          <w:szCs w:val="22"/>
          <w:rtl/>
        </w:rPr>
        <w:t>لم يُجرَ أي استطلاع مسبق لمعرفة الأوقات الملائمة للمشاركين قبل تحديد الجدول الزمني.</w:t>
      </w:r>
    </w:p>
    <w:p>
      <w:pPr>
        <w:bidi/>
        <w:spacing w:after="80"/>
        <w:jc w:val="left"/>
      </w:pPr>
      <w:r>
        <w:rPr>
          <w:sz w:val="22"/>
          <w:szCs w:val="22"/>
          <w:rtl/>
        </w:rPr>
        <w:t>لم تُوضَع آلية واضحة لقياس اكتساب المهارات الفعلية لدى المشاركين في نهاية البرنامج.</w:t>
      </w:r>
    </w:p>
    <w:p>
      <w:pPr>
        <w:spacing w:after="80"/>
        <w:jc w:val="left"/>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E74B5" w:sz="4" w:space="0"/>
              <w:left w:val="single" w:color="2E74B5" w:sz="12" w:space="0"/>
              <w:bottom w:val="single" w:color="2E74B5" w:sz="4" w:space="0"/>
              <w:right w:val="single" w:color="CCCCCC" w:sz="4" w:space="0"/>
            </w:tcBorders>
            <w:shd w:val="clear" w:color="auto" w:fill="EEF4FB"/>
            <w:tcMar>
              <w:top w:w="100" w:type="dxa"/>
              <w:left w:w="180" w:type="dxa"/>
              <w:bottom w:w="100" w:type="dxa"/>
              <w:right w:w="120" w:type="dxa"/>
            </w:tcMar>
          </w:tcPr>
          <w:p>
            <w:pPr>
              <w:bidi/>
              <w:jc w:val="left"/>
            </w:pPr>
            <w:r>
              <w:rPr>
                <w:b/>
                <w:bCs/>
                <w:color w:val="1F3864"/>
                <w:sz w:val="22"/>
                <w:szCs w:val="22"/>
                <w:rtl/>
              </w:rPr>
              <w:t xml:space="preserve">📋 مهمتك: </w:t>
            </w:r>
            <w:r>
              <w:rPr>
                <w:sz w:val="22"/>
                <w:szCs w:val="22"/>
                <w:rtl/>
              </w:rPr>
              <w:t>اكتب تقريرك الرقابي مُدرِجاً كل ثغرة اكتشفتها مع ذكر سببها الجوهري، ثم ناقشه مع المتحدث الرسمي في البوث.</w:t>
            </w:r>
          </w:p>
        </w:tc>
      </w:tr>
    </w:tbl>
    <w:p>
      <w:pPr>
        <w:spacing w:after="160"/>
        <w:jc w:val="left"/>
      </w:pPr>
    </w:p>
    <w:p>
      <w:pPr>
        <w:pBdr>
          <w:bottom w:val="single" w:color="2E74B5" w:sz="6" w:space="1"/>
        </w:pBdr>
        <w:spacing w:after="160"/>
        <w:jc w:val="left"/>
      </w:pPr>
    </w:p>
    <w:p>
      <w:pPr>
        <w:shd w:val="clear" w:fill="1F3864"/>
        <w:bidi/>
        <w:spacing w:before="200" w:after="200"/>
        <w:jc w:val="left"/>
      </w:pPr>
      <w:r>
        <w:rPr>
          <w:b/>
          <w:bCs/>
          <w:color w:val="FFFFFF"/>
          <w:sz w:val="36"/>
          <w:szCs w:val="36"/>
          <w:rtl/>
        </w:rPr>
        <w:t>الخيار الثاني</w:t>
      </w:r>
    </w:p>
    <w:p>
      <w:pPr>
        <w:pStyle w:val="2"/>
        <w:bidi/>
        <w:jc w:val="left"/>
      </w:pPr>
      <w:r>
        <w:rPr>
          <w:b/>
          <w:bCs/>
          <w:color w:val="1F3864"/>
          <w:sz w:val="32"/>
          <w:szCs w:val="32"/>
          <w:rtl/>
        </w:rPr>
        <w:t>معرض الكتاب الطلابي السنوي</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C00000" w:sz="4" w:space="0"/>
              <w:left w:val="single" w:color="C00000" w:sz="12" w:space="0"/>
              <w:bottom w:val="single" w:color="C00000" w:sz="4" w:space="0"/>
              <w:right w:val="single" w:color="CCCCCC" w:sz="4" w:space="0"/>
            </w:tcBorders>
            <w:shd w:val="clear" w:color="auto" w:fill="FFF0F0"/>
            <w:tcMar>
              <w:top w:w="100" w:type="dxa"/>
              <w:left w:w="180" w:type="dxa"/>
              <w:bottom w:w="100" w:type="dxa"/>
              <w:right w:w="120" w:type="dxa"/>
            </w:tcMar>
          </w:tcPr>
          <w:p>
            <w:pPr>
              <w:bidi/>
              <w:jc w:val="left"/>
            </w:pPr>
            <w:r>
              <w:rPr>
                <w:b/>
                <w:bCs/>
                <w:color w:val="C00000"/>
                <w:sz w:val="22"/>
                <w:szCs w:val="22"/>
                <w:rtl/>
              </w:rPr>
              <w:t>🔍 تحدي المقيم الذكي: اقرأ تفاصيل المعرض التشغيلية، واكتشف الخلل اللوجستي والتنظيمي المخفي وراء النجاح الظاهر، ثم توجّه فوراً للمتحدث الرسمي في البوث لمناقشة تحليلك الإداري وتربح ختم الإنجاز!</w:t>
            </w:r>
          </w:p>
        </w:tc>
      </w:tr>
    </w:tbl>
    <w:p>
      <w:pPr>
        <w:spacing w:after="80"/>
        <w:jc w:val="left"/>
      </w:pPr>
    </w:p>
    <w:p>
      <w:pPr>
        <w:pStyle w:val="3"/>
        <w:bidi/>
        <w:jc w:val="left"/>
      </w:pPr>
      <w:r>
        <w:rPr>
          <w:b/>
          <w:bCs/>
          <w:color w:val="2E74B5"/>
          <w:sz w:val="26"/>
          <w:szCs w:val="26"/>
          <w:rtl/>
        </w:rPr>
        <w:t>أولاً — وصف الفعالية والنتائج الظاهرة</w:t>
      </w:r>
    </w:p>
    <w:p>
      <w:pPr>
        <w:bidi/>
        <w:spacing w:after="80"/>
        <w:jc w:val="left"/>
      </w:pPr>
      <w:r>
        <w:rPr>
          <w:sz w:val="22"/>
          <w:szCs w:val="22"/>
          <w:rtl/>
        </w:rPr>
        <w:t>معرض الكتاب الطلابي السنوي فعالية ثقافية كبرى ينظّمها الاتحاد داخل الحرم الجامعي لمدة 5 أيام متواصلة، تهدف إلى توفير الكتب الأكاديمية والثقافية للطلاب بأسعار مخفّضة.</w:t>
      </w:r>
    </w:p>
    <w:p>
      <w:pPr>
        <w:bidi/>
        <w:spacing w:after="80"/>
        <w:jc w:val="left"/>
      </w:pPr>
      <w:r>
        <w:rPr>
          <w:sz w:val="22"/>
          <w:szCs w:val="22"/>
          <w:rtl/>
        </w:rPr>
        <w:t>النتائج الظاهرة:</w:t>
      </w:r>
    </w:p>
    <w:p>
      <w:pPr>
        <w:pStyle w:val="16"/>
        <w:numPr>
          <w:ilvl w:val="0"/>
          <w:numId w:val="2"/>
        </w:numPr>
        <w:bidi/>
        <w:spacing w:after="60"/>
        <w:jc w:val="left"/>
      </w:pPr>
      <w:r>
        <w:rPr>
          <w:sz w:val="22"/>
          <w:szCs w:val="22"/>
          <w:rtl/>
        </w:rPr>
        <w:t>تم التعاقد مع 15 دار نشر وتأمين أكثر من 5000 عنوان كتاب متنوع</w:t>
      </w:r>
    </w:p>
    <w:p>
      <w:pPr>
        <w:pStyle w:val="16"/>
        <w:numPr>
          <w:ilvl w:val="0"/>
          <w:numId w:val="2"/>
        </w:numPr>
        <w:bidi/>
        <w:spacing w:after="60"/>
        <w:jc w:val="left"/>
      </w:pPr>
      <w:r>
        <w:rPr>
          <w:sz w:val="22"/>
          <w:szCs w:val="22"/>
          <w:rtl/>
        </w:rPr>
        <w:t>تصميم حملة إعلانية بصرية ممتازة لاقت تفاعلاً ضخماً على منصات التواصل</w:t>
      </w:r>
    </w:p>
    <w:p>
      <w:pPr>
        <w:pStyle w:val="16"/>
        <w:numPr>
          <w:ilvl w:val="0"/>
          <w:numId w:val="2"/>
        </w:numPr>
        <w:bidi/>
        <w:spacing w:after="60"/>
        <w:jc w:val="left"/>
      </w:pPr>
      <w:r>
        <w:rPr>
          <w:sz w:val="22"/>
          <w:szCs w:val="22"/>
          <w:rtl/>
        </w:rPr>
        <w:t>حظي الافتتاح برضا كبير من عمادة الشؤون الطلابية</w:t>
      </w:r>
    </w:p>
    <w:p>
      <w:pPr>
        <w:pStyle w:val="16"/>
        <w:numPr>
          <w:ilvl w:val="0"/>
          <w:numId w:val="2"/>
        </w:numPr>
        <w:bidi/>
        <w:spacing w:after="60"/>
        <w:jc w:val="left"/>
      </w:pPr>
      <w:r>
        <w:rPr>
          <w:sz w:val="22"/>
          <w:szCs w:val="22"/>
          <w:rtl/>
        </w:rPr>
        <w:t>الهدف المُعلَن: استقطاب حوالي 2000 زائر يومياً</w:t>
      </w:r>
    </w:p>
    <w:p>
      <w:pPr>
        <w:spacing w:after="80"/>
        <w:jc w:val="left"/>
      </w:pPr>
    </w:p>
    <w:p>
      <w:pPr>
        <w:pStyle w:val="3"/>
        <w:bidi/>
        <w:jc w:val="left"/>
      </w:pPr>
      <w:r>
        <w:rPr>
          <w:b/>
          <w:bCs/>
          <w:color w:val="2E74B5"/>
          <w:sz w:val="26"/>
          <w:szCs w:val="26"/>
          <w:rtl/>
        </w:rPr>
        <w:t>ثانياً — إدارة المساحة والحشود</w:t>
      </w:r>
    </w:p>
    <w:p>
      <w:pPr>
        <w:bidi/>
        <w:spacing w:after="80"/>
        <w:jc w:val="left"/>
      </w:pPr>
      <w:r>
        <w:rPr>
          <w:sz w:val="22"/>
          <w:szCs w:val="22"/>
          <w:rtl/>
        </w:rPr>
        <w:t>تم اختيار صالة الأنشطة الرياضية المغلقة بالجامعة لإقامة المعرض.</w:t>
      </w:r>
    </w:p>
    <w:p>
      <w:pPr>
        <w:bidi/>
        <w:spacing w:after="80"/>
        <w:jc w:val="left"/>
      </w:pPr>
      <w:r>
        <w:rPr>
          <w:sz w:val="22"/>
          <w:szCs w:val="22"/>
          <w:rtl/>
        </w:rPr>
        <w:t>تم تخصيص بوابة واحدة رئيسية للمبنى تستخدم لدخول الزوار وخروجهم في الوقت ذاته، وذلك لـ«سهولة ضبط الأمن ومراقبة الالتزام» وفق تبرير اللجنة المنظِّمة.</w:t>
      </w:r>
    </w:p>
    <w:p>
      <w:pPr>
        <w:bidi/>
        <w:spacing w:after="80"/>
        <w:jc w:val="left"/>
      </w:pPr>
      <w:r>
        <w:rPr>
          <w:sz w:val="22"/>
          <w:szCs w:val="22"/>
          <w:rtl/>
        </w:rPr>
        <w:t>تم توزيع طاولات دور النشر بشكل متقارب جداً لاستغلال المساحة المتاحة وعرض أكبر عدد ممكن من الكتب، دون مراعاة معايير ممرات السلامة والإخلاء.</w:t>
      </w:r>
    </w:p>
    <w:p>
      <w:pPr>
        <w:bidi/>
        <w:spacing w:after="80"/>
        <w:jc w:val="left"/>
      </w:pPr>
      <w:r>
        <w:rPr>
          <w:sz w:val="22"/>
          <w:szCs w:val="22"/>
          <w:rtl/>
        </w:rPr>
        <w:t>لا توجد خطة طوارئ موثّقة لسيناريوهات الازدحام الشديد أو الحوادث المفاجئة.</w:t>
      </w:r>
    </w:p>
    <w:p>
      <w:pPr>
        <w:spacing w:after="80"/>
        <w:jc w:val="left"/>
      </w:pPr>
    </w:p>
    <w:p>
      <w:pPr>
        <w:pStyle w:val="3"/>
        <w:bidi/>
        <w:jc w:val="left"/>
      </w:pPr>
      <w:r>
        <w:rPr>
          <w:b/>
          <w:bCs/>
          <w:color w:val="2E74B5"/>
          <w:sz w:val="26"/>
          <w:szCs w:val="26"/>
          <w:rtl/>
        </w:rPr>
        <w:t>ثالثاً — التنظيم الرقمي والمالي</w:t>
      </w:r>
    </w:p>
    <w:p>
      <w:pPr>
        <w:bidi/>
        <w:spacing w:after="80"/>
        <w:jc w:val="left"/>
      </w:pPr>
      <w:r>
        <w:rPr>
          <w:sz w:val="22"/>
          <w:szCs w:val="22"/>
          <w:rtl/>
        </w:rPr>
        <w:t>يعتمد المعرض نظام الدفع النقدي (الكاش) بشكل كامل عند طاولات دور النشر مباشرةً، لتسريع العمليات وتجنّب طوابير المحاسبة المركزية.</w:t>
      </w:r>
    </w:p>
    <w:p>
      <w:pPr>
        <w:bidi/>
        <w:spacing w:after="80"/>
        <w:jc w:val="left"/>
      </w:pPr>
      <w:r>
        <w:rPr>
          <w:sz w:val="22"/>
          <w:szCs w:val="22"/>
          <w:rtl/>
        </w:rPr>
        <w:t>تم توفير رابط تسجيل رقمي مسبق للزوار للحصول على بطاقة دخول مجانية، غير أنه تم السماح بالدخول المباشر لمن لم يسجّل، منعاً لـ«إحراج الطلاب عند البوابة» وفق تعبير اللجنة.</w:t>
      </w:r>
    </w:p>
    <w:p>
      <w:pPr>
        <w:bidi/>
        <w:spacing w:after="80"/>
        <w:jc w:val="left"/>
      </w:pPr>
      <w:r>
        <w:rPr>
          <w:sz w:val="22"/>
          <w:szCs w:val="22"/>
          <w:rtl/>
        </w:rPr>
        <w:t>لا توجد بيانات حقيقية عن أعداد الحضور الفعلي لكل يوم، مما يجعل التقييم اللاحق مبنياً على تقديرات غير موثّقة.</w:t>
      </w:r>
    </w:p>
    <w:p>
      <w:pPr>
        <w:bidi/>
        <w:spacing w:after="80"/>
        <w:jc w:val="left"/>
      </w:pPr>
      <w:r>
        <w:rPr>
          <w:sz w:val="22"/>
          <w:szCs w:val="22"/>
          <w:rtl/>
        </w:rPr>
        <w:t>لا يوجد توثيق للعمليات المالية بين دور النشر والاتحاد، وتعتمد عمليات الحساب على تقارير دور النشر بشكل أحادي دون تدقيق مستقل.</w:t>
      </w:r>
    </w:p>
    <w:p>
      <w:pPr>
        <w:spacing w:after="80"/>
        <w:jc w:val="left"/>
      </w:pPr>
    </w:p>
    <w:p>
      <w:pPr>
        <w:pStyle w:val="3"/>
        <w:bidi/>
        <w:jc w:val="left"/>
      </w:pPr>
      <w:r>
        <w:rPr>
          <w:b/>
          <w:bCs/>
          <w:color w:val="2E74B5"/>
          <w:sz w:val="26"/>
          <w:szCs w:val="26"/>
          <w:rtl/>
        </w:rPr>
        <w:t>رابعاً — الكوادر والدعم اللوجستي</w:t>
      </w:r>
    </w:p>
    <w:p>
      <w:pPr>
        <w:bidi/>
        <w:spacing w:after="80"/>
        <w:jc w:val="left"/>
      </w:pPr>
      <w:r>
        <w:rPr>
          <w:sz w:val="22"/>
          <w:szCs w:val="22"/>
          <w:rtl/>
        </w:rPr>
        <w:t>تم توزيع 30 متطوعاً على أجنحة المعرض بالتساوي طوال ساعات العمل من 9 صباحاً حتى 5 مساءً، دون فترات راحة مجدولة نظراً لـ«كثافة الحضور».</w:t>
      </w:r>
    </w:p>
    <w:p>
      <w:pPr>
        <w:bidi/>
        <w:spacing w:after="80"/>
        <w:jc w:val="left"/>
      </w:pPr>
      <w:r>
        <w:rPr>
          <w:sz w:val="22"/>
          <w:szCs w:val="22"/>
          <w:rtl/>
        </w:rPr>
        <w:t>أُوكلت مهمة الإسعافات الأولية والدعم الفني والدفاع المدني للجنة مشتركة من 3 متطوعين فقط يتواجدون في غرفة الإدارة الخلفية، يُستدعَون عند الطوارئ فقط دون دوريات استباقية.</w:t>
      </w:r>
    </w:p>
    <w:p>
      <w:pPr>
        <w:bidi/>
        <w:spacing w:after="80"/>
        <w:jc w:val="left"/>
      </w:pPr>
      <w:r>
        <w:rPr>
          <w:sz w:val="22"/>
          <w:szCs w:val="22"/>
          <w:rtl/>
        </w:rPr>
        <w:t>لا توجد آلية اتصال طارئة واضحة موزّعة على المتطوعين الميدانيين لتسريع الاستجابة عند الحوادث.</w:t>
      </w:r>
    </w:p>
    <w:p>
      <w:pPr>
        <w:spacing w:after="80"/>
        <w:jc w:val="left"/>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E74B5" w:sz="4" w:space="0"/>
              <w:left w:val="single" w:color="2E74B5" w:sz="12" w:space="0"/>
              <w:bottom w:val="single" w:color="2E74B5" w:sz="4" w:space="0"/>
              <w:right w:val="single" w:color="CCCCCC" w:sz="4" w:space="0"/>
            </w:tcBorders>
            <w:shd w:val="clear" w:color="auto" w:fill="EEF4FB"/>
            <w:tcMar>
              <w:top w:w="100" w:type="dxa"/>
              <w:left w:w="180" w:type="dxa"/>
              <w:bottom w:w="100" w:type="dxa"/>
              <w:right w:w="120" w:type="dxa"/>
            </w:tcMar>
          </w:tcPr>
          <w:p>
            <w:pPr>
              <w:bidi/>
              <w:jc w:val="left"/>
            </w:pPr>
            <w:r>
              <w:rPr>
                <w:b/>
                <w:bCs/>
                <w:color w:val="1F3864"/>
                <w:sz w:val="22"/>
                <w:szCs w:val="22"/>
                <w:rtl/>
              </w:rPr>
              <w:t xml:space="preserve">📋 مهمتك: </w:t>
            </w:r>
            <w:r>
              <w:rPr>
                <w:sz w:val="22"/>
                <w:szCs w:val="22"/>
                <w:rtl/>
              </w:rPr>
              <w:t>اكتب تقريرك الرقابي مُدرِجاً كل ثغرة اكتشفتها مع ذكر سببها الجوهري، ثم ناقشه مع المتحدث الرسمي في البوث.</w:t>
            </w:r>
          </w:p>
        </w:tc>
      </w:tr>
    </w:tbl>
    <w:p>
      <w:pPr>
        <w:spacing w:after="160"/>
        <w:jc w:val="left"/>
      </w:pPr>
    </w:p>
    <w:p>
      <w:pPr>
        <w:pBdr>
          <w:bottom w:val="single" w:color="2E74B5" w:sz="6" w:space="1"/>
        </w:pBdr>
        <w:spacing w:after="160"/>
        <w:jc w:val="left"/>
      </w:pPr>
    </w:p>
    <w:p>
      <w:pPr>
        <w:shd w:val="clear" w:fill="1F3864"/>
        <w:bidi/>
        <w:spacing w:before="200" w:after="200"/>
        <w:jc w:val="left"/>
      </w:pPr>
      <w:r>
        <w:rPr>
          <w:b/>
          <w:bCs/>
          <w:color w:val="FFFFFF"/>
          <w:sz w:val="36"/>
          <w:szCs w:val="36"/>
          <w:rtl/>
        </w:rPr>
        <w:t>الخيار الثالث</w:t>
      </w:r>
    </w:p>
    <w:p>
      <w:pPr>
        <w:pStyle w:val="2"/>
        <w:bidi/>
        <w:jc w:val="left"/>
      </w:pPr>
      <w:r>
        <w:rPr>
          <w:b/>
          <w:bCs/>
          <w:color w:val="1F3864"/>
          <w:sz w:val="32"/>
          <w:szCs w:val="32"/>
          <w:rtl/>
        </w:rPr>
        <w:t>مخيّم القيادة الطلابية الصيفي</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C00000" w:sz="4" w:space="0"/>
              <w:left w:val="single" w:color="C00000" w:sz="12" w:space="0"/>
              <w:bottom w:val="single" w:color="C00000" w:sz="4" w:space="0"/>
              <w:right w:val="single" w:color="CCCCCC" w:sz="4" w:space="0"/>
            </w:tcBorders>
            <w:shd w:val="clear" w:color="auto" w:fill="FFF0F0"/>
            <w:tcMar>
              <w:top w:w="100" w:type="dxa"/>
              <w:left w:w="180" w:type="dxa"/>
              <w:bottom w:w="100" w:type="dxa"/>
              <w:right w:w="120" w:type="dxa"/>
            </w:tcMar>
          </w:tcPr>
          <w:p>
            <w:pPr>
              <w:bidi/>
              <w:jc w:val="left"/>
            </w:pPr>
            <w:r>
              <w:rPr>
                <w:b/>
                <w:bCs/>
                <w:color w:val="C00000"/>
                <w:sz w:val="22"/>
                <w:szCs w:val="22"/>
                <w:rtl/>
              </w:rPr>
              <w:t>🔍 تحدي المقيم الذكي: أمامك ملفّ مخيّم طلابي يبدو ناجحاً بامتياز — شهادات لامعة، صور جميلة، وضجّة إعلامية. لكن في التفاصيل يكمن الشيطان! تمعّن جيداً في البيانات الإدارية والتشغيلية، اكتشف أين تكسّر المشروع من الداخل، ثم التفت للمتحدث الرسمي في البوث لمناقشة تحليلك وتربح ختم الإنجاز!</w:t>
            </w:r>
          </w:p>
        </w:tc>
      </w:tr>
    </w:tbl>
    <w:p>
      <w:pPr>
        <w:spacing w:after="80"/>
        <w:jc w:val="left"/>
      </w:pPr>
    </w:p>
    <w:p>
      <w:pPr>
        <w:pStyle w:val="3"/>
        <w:bidi/>
        <w:jc w:val="left"/>
      </w:pPr>
      <w:r>
        <w:rPr>
          <w:b/>
          <w:bCs/>
          <w:color w:val="2E74B5"/>
          <w:sz w:val="26"/>
          <w:szCs w:val="26"/>
          <w:rtl/>
        </w:rPr>
        <w:t>أولاً — وصف المخيّم والنتائج الظاهرة</w:t>
      </w:r>
    </w:p>
    <w:p>
      <w:pPr>
        <w:bidi/>
        <w:spacing w:after="80"/>
        <w:jc w:val="left"/>
      </w:pPr>
      <w:r>
        <w:rPr>
          <w:sz w:val="22"/>
          <w:szCs w:val="22"/>
          <w:rtl/>
        </w:rPr>
        <w:t>مخيّم القيادة الطلابية الصيفي برنامج سنوي ينظّمه الاتحاد لمدة 7 أيام متواصلة في منطقة ريفية خارج المدينة، ويهدف إلى تنمية مهارات القيادة والعمل الجماعي والتفكير الاستراتيجي لدى 60 طالباً من مختلف الكليات.</w:t>
      </w:r>
    </w:p>
    <w:p>
      <w:pPr>
        <w:bidi/>
        <w:spacing w:after="80"/>
        <w:jc w:val="left"/>
      </w:pPr>
      <w:r>
        <w:rPr>
          <w:sz w:val="22"/>
          <w:szCs w:val="22"/>
          <w:rtl/>
        </w:rPr>
        <w:t>النتائج الظاهرة:</w:t>
      </w:r>
    </w:p>
    <w:p>
      <w:pPr>
        <w:pStyle w:val="16"/>
        <w:numPr>
          <w:ilvl w:val="0"/>
          <w:numId w:val="2"/>
        </w:numPr>
        <w:bidi/>
        <w:spacing w:after="60"/>
        <w:jc w:val="left"/>
      </w:pPr>
      <w:r>
        <w:rPr>
          <w:sz w:val="22"/>
          <w:szCs w:val="22"/>
          <w:rtl/>
        </w:rPr>
        <w:t>تجاوز عدد المتقدمين 220 طالباً، ما يعكس اهتماماً واسعاً بالبرنامج</w:t>
      </w:r>
    </w:p>
    <w:p>
      <w:pPr>
        <w:pStyle w:val="16"/>
        <w:numPr>
          <w:ilvl w:val="0"/>
          <w:numId w:val="2"/>
        </w:numPr>
        <w:bidi/>
        <w:spacing w:after="60"/>
        <w:jc w:val="left"/>
      </w:pPr>
      <w:r>
        <w:rPr>
          <w:sz w:val="22"/>
          <w:szCs w:val="22"/>
          <w:rtl/>
        </w:rPr>
        <w:t>تم اختيار 60 مشاركاً نهائياً عبر مقابلات شخصية أجراها فريق التنظيم</w:t>
      </w:r>
    </w:p>
    <w:p>
      <w:pPr>
        <w:pStyle w:val="16"/>
        <w:numPr>
          <w:ilvl w:val="0"/>
          <w:numId w:val="2"/>
        </w:numPr>
        <w:bidi/>
        <w:spacing w:after="60"/>
        <w:jc w:val="left"/>
      </w:pPr>
      <w:r>
        <w:rPr>
          <w:sz w:val="22"/>
          <w:szCs w:val="22"/>
          <w:rtl/>
        </w:rPr>
        <w:t>استقطب المخيّم 4 محاضرين ومدرّبين من خارج الجامعة</w:t>
      </w:r>
    </w:p>
    <w:p>
      <w:pPr>
        <w:pStyle w:val="16"/>
        <w:numPr>
          <w:ilvl w:val="0"/>
          <w:numId w:val="2"/>
        </w:numPr>
        <w:bidi/>
        <w:spacing w:after="60"/>
        <w:jc w:val="left"/>
      </w:pPr>
      <w:r>
        <w:rPr>
          <w:sz w:val="22"/>
          <w:szCs w:val="22"/>
          <w:rtl/>
        </w:rPr>
        <w:t>نُشرت عشرات الصور والتغطيات الإعلامية خلال أيام المخيّم ولقيت تفاعلاً واسعاً</w:t>
      </w:r>
    </w:p>
    <w:p>
      <w:pPr>
        <w:pStyle w:val="16"/>
        <w:numPr>
          <w:ilvl w:val="0"/>
          <w:numId w:val="2"/>
        </w:numPr>
        <w:bidi/>
        <w:spacing w:after="60"/>
        <w:jc w:val="left"/>
      </w:pPr>
      <w:r>
        <w:rPr>
          <w:sz w:val="22"/>
          <w:szCs w:val="22"/>
          <w:rtl/>
        </w:rPr>
        <w:t>أُنجز المخيّم في موعده وغادر المشاركون بشهادات مشاركة رسمية</w:t>
      </w:r>
    </w:p>
    <w:p>
      <w:pPr>
        <w:spacing w:after="80"/>
        <w:jc w:val="left"/>
      </w:pPr>
    </w:p>
    <w:p>
      <w:pPr>
        <w:pStyle w:val="3"/>
        <w:bidi/>
        <w:jc w:val="left"/>
      </w:pPr>
      <w:r>
        <w:rPr>
          <w:b/>
          <w:bCs/>
          <w:color w:val="2E74B5"/>
          <w:sz w:val="26"/>
          <w:szCs w:val="26"/>
          <w:rtl/>
        </w:rPr>
        <w:t>ثانياً — الجانب الإداري والاختيار</w:t>
      </w:r>
    </w:p>
    <w:p>
      <w:pPr>
        <w:bidi/>
        <w:spacing w:after="80"/>
        <w:jc w:val="left"/>
      </w:pPr>
      <w:r>
        <w:rPr>
          <w:sz w:val="22"/>
          <w:szCs w:val="22"/>
          <w:rtl/>
        </w:rPr>
        <w:t>أجرى فريق التنظيم المؤلَّف من 4 أشخاص عملية اختيار المشاركين الـ60 دون وجود معايير مكتوبة أو موثّقة، واعتُمد الحكم الشخصي للمقابلة بوصفه المرجع الوحيد.</w:t>
      </w:r>
    </w:p>
    <w:p>
      <w:pPr>
        <w:bidi/>
        <w:spacing w:after="80"/>
        <w:jc w:val="left"/>
      </w:pPr>
      <w:r>
        <w:rPr>
          <w:sz w:val="22"/>
          <w:szCs w:val="22"/>
          <w:rtl/>
        </w:rPr>
        <w:t>لم تُشكَّل لجنة اختيار مستقلة أو متعددة الأعضاء، ولم يُطَّلع المتقدمون على أسباب القبول أو الرفض.</w:t>
      </w:r>
    </w:p>
    <w:p>
      <w:pPr>
        <w:bidi/>
        <w:spacing w:after="80"/>
        <w:jc w:val="left"/>
      </w:pPr>
      <w:r>
        <w:rPr>
          <w:sz w:val="22"/>
          <w:szCs w:val="22"/>
          <w:rtl/>
        </w:rPr>
        <w:t>تولّى منسّق واحد تنسيق الإقامة وتجهيز البرنامج الأكاديمي والتواصل مع مزود الموقع في وقت واحد، دون أي توزيع رسمي للمهام أو توثيق.</w:t>
      </w:r>
    </w:p>
    <w:p>
      <w:pPr>
        <w:bidi/>
        <w:spacing w:after="80"/>
        <w:jc w:val="left"/>
      </w:pPr>
      <w:r>
        <w:rPr>
          <w:sz w:val="22"/>
          <w:szCs w:val="22"/>
          <w:rtl/>
        </w:rPr>
        <w:t>لم تُعقَد اجتماعات دورية لمراجعة الجدول الزمني قبيل المخيّم، واعتُمد التواصل الفردي بديلاً.</w:t>
      </w:r>
    </w:p>
    <w:p>
      <w:pPr>
        <w:spacing w:after="80"/>
        <w:jc w:val="left"/>
      </w:pPr>
    </w:p>
    <w:p>
      <w:pPr>
        <w:pStyle w:val="3"/>
        <w:bidi/>
        <w:jc w:val="left"/>
      </w:pPr>
      <w:r>
        <w:rPr>
          <w:b/>
          <w:bCs/>
          <w:color w:val="2E74B5"/>
          <w:sz w:val="26"/>
          <w:szCs w:val="26"/>
          <w:rtl/>
        </w:rPr>
        <w:t>ثالثاً — الجانب المالي والتعاقدي</w:t>
      </w:r>
    </w:p>
    <w:p>
      <w:pPr>
        <w:bidi/>
        <w:spacing w:after="80"/>
        <w:jc w:val="left"/>
      </w:pPr>
      <w:r>
        <w:rPr>
          <w:sz w:val="22"/>
          <w:szCs w:val="22"/>
          <w:rtl/>
        </w:rPr>
        <w:t>موّل المخيّم من خلال رسوم تسجيل رمزية من المشاركين ودعم محدود من الاتحاد، دون أي رعاية خارجية مؤمَّنة مسبقاً.</w:t>
      </w:r>
    </w:p>
    <w:p>
      <w:pPr>
        <w:bidi/>
        <w:spacing w:after="80"/>
        <w:jc w:val="left"/>
      </w:pPr>
      <w:r>
        <w:rPr>
          <w:sz w:val="22"/>
          <w:szCs w:val="22"/>
          <w:rtl/>
        </w:rPr>
        <w:t>تم التعاقد مع موقع الإقامة الريفي بالاتفاق الشفهي فقط، دون عقد مكتوب يحدّد الخدمات المشمولة وآليات التعويض عند الإخلال.</w:t>
      </w:r>
    </w:p>
    <w:p>
      <w:pPr>
        <w:bidi/>
        <w:spacing w:after="80"/>
        <w:jc w:val="left"/>
      </w:pPr>
      <w:r>
        <w:rPr>
          <w:sz w:val="22"/>
          <w:szCs w:val="22"/>
          <w:rtl/>
        </w:rPr>
        <w:t>لم يُعدَّ أي ميزانية طارئة للنفقات غير المتوقعة (طبية، لوجستية، طقس)، واعتُمد على التصرّف الآني عند الحاجة.</w:t>
      </w:r>
    </w:p>
    <w:p>
      <w:pPr>
        <w:bidi/>
        <w:spacing w:after="80"/>
        <w:jc w:val="left"/>
      </w:pPr>
      <w:r>
        <w:rPr>
          <w:sz w:val="22"/>
          <w:szCs w:val="22"/>
          <w:rtl/>
        </w:rPr>
        <w:t>لا يوجد تقرير مالي ختامي يوثّق الإنفاق الفعلي مقارنةً بالمخطط، وتُستند الأرقام إلى ذاكرة المنسّق المالي.</w:t>
      </w:r>
    </w:p>
    <w:p>
      <w:pPr>
        <w:spacing w:after="80"/>
        <w:jc w:val="left"/>
      </w:pPr>
    </w:p>
    <w:p>
      <w:pPr>
        <w:pStyle w:val="3"/>
        <w:bidi/>
        <w:jc w:val="left"/>
      </w:pPr>
      <w:r>
        <w:rPr>
          <w:b/>
          <w:bCs/>
          <w:color w:val="2E74B5"/>
          <w:sz w:val="26"/>
          <w:szCs w:val="26"/>
          <w:rtl/>
        </w:rPr>
        <w:t>رابعاً — البرنامج التدريبي وقياس الأثر</w:t>
      </w:r>
    </w:p>
    <w:p>
      <w:pPr>
        <w:bidi/>
        <w:spacing w:after="80"/>
        <w:jc w:val="left"/>
      </w:pPr>
      <w:r>
        <w:rPr>
          <w:sz w:val="22"/>
          <w:szCs w:val="22"/>
          <w:rtl/>
        </w:rPr>
        <w:t>استُعيض عن المحاضر الأصلي المتخصص في القيادة بمحاضر بديل تطوّع في اليوم الأخير قبيل المخيّم، دون الاطلاع على البرنامج الأكاديمي المعتمد مسبقاً.</w:t>
      </w:r>
    </w:p>
    <w:p>
      <w:pPr>
        <w:bidi/>
        <w:spacing w:after="80"/>
        <w:jc w:val="left"/>
      </w:pPr>
      <w:r>
        <w:rPr>
          <w:sz w:val="22"/>
          <w:szCs w:val="22"/>
          <w:rtl/>
        </w:rPr>
        <w:t>لم يُجرَ أي تقييم قبلي (Pre-assessment) لمستوى المشاركين، مما جعل المحتوى التدريبي موحّداً رغم تباين خلفياتهم ومستوياتهم.</w:t>
      </w:r>
    </w:p>
    <w:p>
      <w:pPr>
        <w:bidi/>
        <w:spacing w:after="80"/>
        <w:jc w:val="left"/>
      </w:pPr>
      <w:r>
        <w:rPr>
          <w:sz w:val="22"/>
          <w:szCs w:val="22"/>
          <w:rtl/>
        </w:rPr>
        <w:t>لم تُوضَع أدوات قياس موضوعية لقياس اكتساب مهارات القيادة بعد المخيّم، واكتُفي بشهادات شفهية وانطباعات المشاركين كمؤشر وحيد للنجاح.</w:t>
      </w:r>
    </w:p>
    <w:p>
      <w:pPr>
        <w:bidi/>
        <w:spacing w:after="80"/>
        <w:jc w:val="left"/>
      </w:pPr>
      <w:r>
        <w:rPr>
          <w:sz w:val="22"/>
          <w:szCs w:val="22"/>
          <w:rtl/>
        </w:rPr>
        <w:t>لم تُوضَع آلية متابعة ما بعد المخيّم (Follow-up) لقياس الأثر الحقيقي على المشاركين بعد مرور شهر أو ثلاثة أشهر.</w:t>
      </w:r>
    </w:p>
    <w:p>
      <w:pPr>
        <w:spacing w:after="80"/>
        <w:jc w:val="left"/>
      </w:pPr>
    </w:p>
    <w:p>
      <w:pPr>
        <w:pStyle w:val="3"/>
        <w:bidi/>
        <w:jc w:val="left"/>
      </w:pPr>
      <w:r>
        <w:rPr>
          <w:b/>
          <w:bCs/>
          <w:color w:val="2E74B5"/>
          <w:sz w:val="26"/>
          <w:szCs w:val="26"/>
          <w:rtl/>
        </w:rPr>
        <w:t>خامساً — الجانب اللوجستي والسلامة</w:t>
      </w:r>
    </w:p>
    <w:p>
      <w:pPr>
        <w:bidi/>
        <w:spacing w:after="80"/>
        <w:jc w:val="left"/>
      </w:pPr>
      <w:r>
        <w:rPr>
          <w:sz w:val="22"/>
          <w:szCs w:val="22"/>
          <w:rtl/>
        </w:rPr>
        <w:t>يقع موقع المخيّم على بُعد 65 كيلومتراً من المدينة في منطقة ريفية ذات تغطية شبكة هاتفية ضعيفة، مع اعتماد وسيلة نقل واحدة مشتركة (باص واحد) لجميع المشاركين والطاقم.</w:t>
      </w:r>
    </w:p>
    <w:p>
      <w:pPr>
        <w:bidi/>
        <w:spacing w:after="80"/>
        <w:jc w:val="left"/>
      </w:pPr>
      <w:r>
        <w:rPr>
          <w:sz w:val="22"/>
          <w:szCs w:val="22"/>
          <w:rtl/>
        </w:rPr>
        <w:t>لم تُحضَّر خطة إخلاء طارئة أو طوارئ طبية مكتوبة، وكان المسعف الوحيد المرافق متطوعاً من داخل المجموعة دون مؤهل طبي رسمي.</w:t>
      </w:r>
    </w:p>
    <w:p>
      <w:pPr>
        <w:bidi/>
        <w:spacing w:after="80"/>
        <w:jc w:val="left"/>
      </w:pPr>
      <w:r>
        <w:rPr>
          <w:sz w:val="22"/>
          <w:szCs w:val="22"/>
          <w:rtl/>
        </w:rPr>
        <w:t>اعتُمد برنامج يومي مكثّف يبدأ من السابعة صباحاً حتى الحادية عشرة ليلاً دون فترات راحة كافية، ولم يُستشَر أي متخصص في الصحة النفسية أو التعلم في تصميم الجدول.</w:t>
      </w:r>
    </w:p>
    <w:p>
      <w:pPr>
        <w:spacing w:after="80"/>
        <w:jc w:val="left"/>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E74B5" w:sz="4" w:space="0"/>
              <w:left w:val="single" w:color="2E74B5" w:sz="12" w:space="0"/>
              <w:bottom w:val="single" w:color="2E74B5" w:sz="4" w:space="0"/>
              <w:right w:val="single" w:color="CCCCCC" w:sz="4" w:space="0"/>
            </w:tcBorders>
            <w:shd w:val="clear" w:color="auto" w:fill="EEF4FB"/>
            <w:tcMar>
              <w:top w:w="100" w:type="dxa"/>
              <w:left w:w="180" w:type="dxa"/>
              <w:bottom w:w="100" w:type="dxa"/>
              <w:right w:w="120" w:type="dxa"/>
            </w:tcMar>
          </w:tcPr>
          <w:p>
            <w:pPr>
              <w:bidi/>
              <w:jc w:val="left"/>
            </w:pPr>
            <w:r>
              <w:rPr>
                <w:b/>
                <w:bCs/>
                <w:color w:val="1F3864"/>
                <w:sz w:val="22"/>
                <w:szCs w:val="22"/>
                <w:rtl/>
              </w:rPr>
              <w:t xml:space="preserve">📋 مهمتك: </w:t>
            </w:r>
            <w:r>
              <w:rPr>
                <w:sz w:val="22"/>
                <w:szCs w:val="22"/>
                <w:rtl/>
              </w:rPr>
              <w:t>اكتب تقريرك الرقابي مُدرِجاً كل ثغرة اكتشفتها مع ذكر سببها الجوهري، ثم ناقشه مع المتحدث الرسمي في البوث.</w:t>
            </w:r>
          </w:p>
        </w:tc>
      </w:tr>
    </w:tbl>
    <w:p>
      <w:pPr>
        <w:spacing w:after="160"/>
        <w:jc w:val="left"/>
      </w:pPr>
    </w:p>
    <w:p>
      <w:pPr>
        <w:pBdr>
          <w:bottom w:val="single" w:color="2E74B5" w:sz="6" w:space="1"/>
        </w:pBdr>
        <w:spacing w:after="160"/>
        <w:jc w:val="left"/>
      </w:pPr>
    </w:p>
    <w:p>
      <w:pPr>
        <w:bidi/>
        <w:jc w:val="left"/>
      </w:pPr>
      <w:r>
        <w:rPr>
          <w:i/>
          <w:iCs/>
          <w:color w:val="888888"/>
          <w:sz w:val="18"/>
          <w:szCs w:val="18"/>
          <w:rtl/>
        </w:rPr>
        <w:t>هذا الملف مخصص للاستخدام الداخلي ضمن بوث مكتب المتابعة والتقييم — ملتقى صناع الأثر</w:t>
      </w:r>
    </w:p>
    <w:sectPr>
      <w:pgSz w:w="11906" w:h="16838"/>
      <w:pgMar w:top="1440" w:right="1800" w:bottom="1440" w:left="18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86"/>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0" w:usb3="00000000" w:csb0="00040001" w:csb1="00000000"/>
  </w:font>
  <w:font w:name="DejaVu Sans">
    <w:panose1 w:val="020B0606030804020204"/>
    <w:charset w:val="00"/>
    <w:family w:val="auto"/>
    <w:pitch w:val="default"/>
    <w:sig w:usb0="E7006EFF" w:usb1="D200FDFF" w:usb2="0A246029" w:usb3="0400200C" w:csb0="600001FF" w:csb1="D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97C9B4"/>
    <w:multiLevelType w:val="singleLevel"/>
    <w:tmpl w:val="BF97C9B4"/>
    <w:lvl w:ilvl="0" w:tentative="0">
      <w:start w:val="1"/>
      <w:numFmt w:val="decimal"/>
      <w:lvlText w:val="%1."/>
      <w:lvlJc w:val="left"/>
      <w:pPr>
        <w:ind w:left="720" w:hanging="360"/>
      </w:pPr>
    </w:lvl>
  </w:abstractNum>
  <w:abstractNum w:abstractNumId="1">
    <w:nsid w:val="ED6AAE4D"/>
    <w:multiLevelType w:val="singleLevel"/>
    <w:tmpl w:val="ED6AAE4D"/>
    <w:lvl w:ilvl="0" w:tentative="0">
      <w:start w:val="1"/>
      <w:numFmt w:val="bullet"/>
      <w:lvlText w:val="•"/>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documentProtection w:enforcement="0"/>
  <w:compat>
    <w:compatSetting w:name="compatibilityMode" w:uri="http://schemas.microsoft.com/office/word" w:val="15"/>
  </w:compat>
  <w:rsids>
    <w:rsidRoot w:val="00000000"/>
    <w:rsid w:val="79F1756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iPriority="99"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iPriority="99"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uiPriority="99" w:name="endnote reference"/>
    <w:lsdException w:uiPriority="99"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0" w:semiHidden="0" w:name="List Paragraph"/>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20" w:after="160"/>
      <w:outlineLvl w:val="0"/>
    </w:pPr>
    <w:rPr>
      <w:rFonts w:ascii="Arial" w:hAnsi="Arial" w:eastAsia="Arial" w:cs="Arial"/>
      <w:b/>
      <w:bCs/>
      <w:color w:val="1F3864"/>
      <w:sz w:val="32"/>
      <w:szCs w:val="32"/>
    </w:rPr>
  </w:style>
  <w:style w:type="paragraph" w:styleId="3">
    <w:name w:val="heading 2"/>
    <w:next w:val="1"/>
    <w:qFormat/>
    <w:uiPriority w:val="0"/>
    <w:pPr>
      <w:spacing w:before="240" w:after="120"/>
      <w:outlineLvl w:val="1"/>
    </w:pPr>
    <w:rPr>
      <w:rFonts w:ascii="Arial" w:hAnsi="Arial" w:eastAsia="Arial" w:cs="Arial"/>
      <w:b/>
      <w:bCs/>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1</TotalTime>
  <ScaleCrop>false</ScaleCrop>
  <LinksUpToDate>false</LinksUpToDate>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Un-named</dc:creator>
  <cp:lastModifiedBy>samer</cp:lastModifiedBy>
  <dcterms:modified xsi:type="dcterms:W3CDTF">2026-06-18T18:48:16Z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