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0"/>
          <w:szCs w:val="40"/>
        </w:rPr>
        <w:t xml:space="preserve">Team Roles &amp; Integration Plan</w:t>
      </w:r>
    </w:p>
    <w:p>
      <w:pPr>
        <w:spacing w:after="600"/>
        <w:jc w:val="center"/>
      </w:pPr>
      <w:r>
        <w:rPr>
          <w:color w:val="595959"/>
          <w:sz w:val="26"/>
          <w:szCs w:val="26"/>
        </w:rPr>
        <w:t xml:space="preserve">CleanTO — AI-Powered Waste Cleanup Verification and Blockchain Reward System</w:t>
      </w:r>
    </w:p>
    <w:p>
      <w:pPr>
        <w:spacing w:after="80"/>
        <w:jc w:val="center"/>
      </w:pPr>
      <w:r>
        <w:rPr>
          <w:sz w:val="22"/>
          <w:szCs w:val="22"/>
        </w:rPr>
        <w:t xml:space="preserve">Team: Saumya GauravKumar Pandya · Vaibhav Bisaria · Harshit Mishra</w:t>
      </w:r>
    </w:p>
    <w:p>
      <w:pPr>
        <w:spacing w:after="600"/>
        <w:jc w:val="center"/>
      </w:pPr>
      <w:r>
        <w:rPr>
          <w:sz w:val="22"/>
          <w:szCs w:val="22"/>
        </w:rPr>
        <w:t xml:space="preserve">Guide: Prof. Geetha S. — Department/School: SCOPE</w:t>
      </w:r>
    </w:p>
    <w:p>
      <w:r>
        <w:br w:type="page"/>
      </w:r>
    </w:p>
    <w:p>
      <w:pPr>
        <w:pStyle w:val="Heading1"/>
        <w:spacing w:after="160" w:before="320"/>
      </w:pPr>
      <w:r>
        <w:t xml:space="preserve">1. Purpose of This Document</w:t>
      </w:r>
    </w:p>
    <w:p>
      <w:pPr>
        <w:spacing w:after="160"/>
      </w:pPr>
      <w:r>
        <w:t xml:space="preserve">This document defines how the three-person team will divide ownership across the CleanTO system, what each role is individually accountable for, where the work of each role depends on another, and the concrete process the team will follow to integrate backend, frontend/blockchain, and AI components into one working prototype.</w:t>
      </w:r>
    </w:p>
    <w:p>
      <w:pPr>
        <w:pStyle w:val="Heading1"/>
        <w:spacing w:after="160" w:before="320"/>
      </w:pPr>
      <w:r>
        <w:t xml:space="preserve">2. Team Structure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2650"/>
      </w:tblGrid>
      <w:tr>
        <w:trPr>
          <w:tblHeader/>
        </w:trPr>
        <w:tc>
          <w:tcPr>
            <w:tcW w:type="dxa" w:w="3100"/>
            <w:shd w:fill="1F3864" w:val="clear"/>
            <w:tcMar>
              <w:top w:type="dxa" w:w="80"/>
              <w:left w:type="dxa" w:w="120"/>
              <w:bottom w:type="dxa" w:w="80"/>
              <w:right w:type="dxa" w:w="120"/>
            </w:tcMar>
          </w:tcPr>
          <w:p>
            <w:r>
              <w:rPr>
                <w:b/>
                <w:bCs/>
                <w:color w:val="FFFFFF"/>
                <w:sz w:val="20"/>
                <w:szCs w:val="20"/>
              </w:rPr>
              <w:t xml:space="preserve">Role</w:t>
            </w:r>
          </w:p>
        </w:tc>
        <w:tc>
          <w:tcPr>
            <w:tcW w:type="dxa" w:w="3600"/>
            <w:shd w:fill="1F3864" w:val="clear"/>
            <w:tcMar>
              <w:top w:type="dxa" w:w="80"/>
              <w:left w:type="dxa" w:w="120"/>
              <w:bottom w:type="dxa" w:w="80"/>
              <w:right w:type="dxa" w:w="120"/>
            </w:tcMar>
          </w:tcPr>
          <w:p>
            <w:r>
              <w:rPr>
                <w:b/>
                <w:bCs/>
                <w:color w:val="FFFFFF"/>
                <w:sz w:val="20"/>
                <w:szCs w:val="20"/>
              </w:rPr>
              <w:t xml:space="preserve">Primary Ownership</w:t>
            </w:r>
          </w:p>
        </w:tc>
        <w:tc>
          <w:tcPr>
            <w:tcW w:type="dxa" w:w="2650"/>
            <w:shd w:fill="1F3864" w:val="clear"/>
            <w:tcMar>
              <w:top w:type="dxa" w:w="80"/>
              <w:left w:type="dxa" w:w="120"/>
              <w:bottom w:type="dxa" w:w="80"/>
              <w:right w:type="dxa" w:w="120"/>
            </w:tcMar>
          </w:tcPr>
          <w:p>
            <w:r>
              <w:rPr>
                <w:b/>
                <w:bCs/>
                <w:color w:val="FFFFFF"/>
                <w:sz w:val="20"/>
                <w:szCs w:val="20"/>
              </w:rPr>
              <w:t xml:space="preserve">Core Stack Area</w:t>
            </w:r>
          </w:p>
        </w:tc>
      </w:tr>
      <w:tr>
        <w:tc>
          <w:tcPr>
            <w:tcW w:type="dxa" w:w="3100"/>
            <w:tcMar>
              <w:top w:type="dxa" w:w="80"/>
              <w:left w:type="dxa" w:w="120"/>
              <w:bottom w:type="dxa" w:w="80"/>
              <w:right w:type="dxa" w:w="120"/>
            </w:tcMar>
          </w:tcPr>
          <w:p>
            <w:r>
              <w:rPr>
                <w:b w:val="false"/>
                <w:bCs w:val="false"/>
                <w:sz w:val="20"/>
                <w:szCs w:val="20"/>
              </w:rPr>
              <w:t xml:space="preserve">Backend Engineer</w:t>
            </w:r>
          </w:p>
        </w:tc>
        <w:tc>
          <w:tcPr>
            <w:tcW w:type="dxa" w:w="3600"/>
            <w:tcMar>
              <w:top w:type="dxa" w:w="80"/>
              <w:left w:type="dxa" w:w="120"/>
              <w:bottom w:type="dxa" w:w="80"/>
              <w:right w:type="dxa" w:w="120"/>
            </w:tcMar>
          </w:tcPr>
          <w:p>
            <w:r>
              <w:rPr>
                <w:b w:val="false"/>
                <w:bCs w:val="false"/>
                <w:sz w:val="20"/>
                <w:szCs w:val="20"/>
              </w:rPr>
              <w:t xml:space="preserve">Core API, database, submission workflow, validator logic, reward ledger integration</w:t>
            </w:r>
          </w:p>
        </w:tc>
        <w:tc>
          <w:tcPr>
            <w:tcW w:type="dxa" w:w="2650"/>
            <w:tcMar>
              <w:top w:type="dxa" w:w="80"/>
              <w:left w:type="dxa" w:w="120"/>
              <w:bottom w:type="dxa" w:w="80"/>
              <w:right w:type="dxa" w:w="120"/>
            </w:tcMar>
          </w:tcPr>
          <w:p>
            <w:r>
              <w:rPr>
                <w:b w:val="false"/>
                <w:bCs w:val="false"/>
                <w:sz w:val="20"/>
                <w:szCs w:val="20"/>
              </w:rPr>
              <w:t xml:space="preserve">Server, database, service orchestration</w:t>
            </w:r>
          </w:p>
        </w:tc>
      </w:tr>
      <w:tr>
        <w:tc>
          <w:tcPr>
            <w:tcW w:type="dxa" w:w="3100"/>
            <w:tcMar>
              <w:top w:type="dxa" w:w="80"/>
              <w:left w:type="dxa" w:w="120"/>
              <w:bottom w:type="dxa" w:w="80"/>
              <w:right w:type="dxa" w:w="120"/>
            </w:tcMar>
          </w:tcPr>
          <w:p>
            <w:r>
              <w:rPr>
                <w:b w:val="false"/>
                <w:bCs w:val="false"/>
                <w:sz w:val="20"/>
                <w:szCs w:val="20"/>
              </w:rPr>
              <w:t xml:space="preserve">Frontend &amp; Blockchain Engineer</w:t>
            </w:r>
          </w:p>
        </w:tc>
        <w:tc>
          <w:tcPr>
            <w:tcW w:type="dxa" w:w="3600"/>
            <w:tcMar>
              <w:top w:type="dxa" w:w="80"/>
              <w:left w:type="dxa" w:w="120"/>
              <w:bottom w:type="dxa" w:w="80"/>
              <w:right w:type="dxa" w:w="120"/>
            </w:tcMar>
          </w:tcPr>
          <w:p>
            <w:r>
              <w:rPr>
                <w:b w:val="false"/>
                <w:bCs w:val="false"/>
                <w:sz w:val="20"/>
                <w:szCs w:val="20"/>
              </w:rPr>
              <w:t xml:space="preserve">Client app (submission + wallet UI), smart contract / permissioned chain, transaction recording</w:t>
            </w:r>
          </w:p>
        </w:tc>
        <w:tc>
          <w:tcPr>
            <w:tcW w:type="dxa" w:w="2650"/>
            <w:tcMar>
              <w:top w:type="dxa" w:w="80"/>
              <w:left w:type="dxa" w:w="120"/>
              <w:bottom w:type="dxa" w:w="80"/>
              <w:right w:type="dxa" w:w="120"/>
            </w:tcMar>
          </w:tcPr>
          <w:p>
            <w:r>
              <w:rPr>
                <w:b w:val="false"/>
                <w:bCs w:val="false"/>
                <w:sz w:val="20"/>
                <w:szCs w:val="20"/>
              </w:rPr>
              <w:t xml:space="preserve">UI framework, blockchain layer, wallet integration</w:t>
            </w:r>
          </w:p>
        </w:tc>
      </w:tr>
      <w:tr>
        <w:tc>
          <w:tcPr>
            <w:tcW w:type="dxa" w:w="3100"/>
            <w:tcMar>
              <w:top w:type="dxa" w:w="80"/>
              <w:left w:type="dxa" w:w="120"/>
              <w:bottom w:type="dxa" w:w="80"/>
              <w:right w:type="dxa" w:w="120"/>
            </w:tcMar>
          </w:tcPr>
          <w:p>
            <w:r>
              <w:rPr>
                <w:b w:val="false"/>
                <w:bCs w:val="false"/>
                <w:sz w:val="20"/>
                <w:szCs w:val="20"/>
              </w:rPr>
              <w:t xml:space="preserve">AI Engineer</w:t>
            </w:r>
          </w:p>
        </w:tc>
        <w:tc>
          <w:tcPr>
            <w:tcW w:type="dxa" w:w="3600"/>
            <w:tcMar>
              <w:top w:type="dxa" w:w="80"/>
              <w:left w:type="dxa" w:w="120"/>
              <w:bottom w:type="dxa" w:w="80"/>
              <w:right w:type="dxa" w:w="120"/>
            </w:tcMar>
          </w:tcPr>
          <w:p>
            <w:r>
              <w:rPr>
                <w:b w:val="false"/>
                <w:bCs w:val="false"/>
                <w:sz w:val="20"/>
                <w:szCs w:val="20"/>
              </w:rPr>
              <w:t xml:space="preserve">Duplicate detection, before/after verification model, location/scene consistency check</w:t>
            </w:r>
          </w:p>
        </w:tc>
        <w:tc>
          <w:tcPr>
            <w:tcW w:type="dxa" w:w="2650"/>
            <w:tcMar>
              <w:top w:type="dxa" w:w="80"/>
              <w:left w:type="dxa" w:w="120"/>
              <w:bottom w:type="dxa" w:w="80"/>
              <w:right w:type="dxa" w:w="120"/>
            </w:tcMar>
          </w:tcPr>
          <w:p>
            <w:r>
              <w:rPr>
                <w:b w:val="false"/>
                <w:bCs w:val="false"/>
                <w:sz w:val="20"/>
                <w:szCs w:val="20"/>
              </w:rPr>
              <w:t xml:space="preserve">Computer vision, model serving</w:t>
            </w:r>
          </w:p>
        </w:tc>
      </w:tr>
    </w:tbl>
    <w:p>
      <w:pPr>
        <w:spacing w:after="160"/>
      </w:pPr>
      <w:r>
        <w:t xml:space="preserve">Assign your actual names against each role above based on your stated specialities before circulating this document.</w:t>
      </w:r>
    </w:p>
    <w:p>
      <w:pPr>
        <w:pStyle w:val="Heading1"/>
        <w:spacing w:after="160" w:before="320"/>
      </w:pPr>
      <w:r>
        <w:t xml:space="preserve">3. Role 1 — Backend Engineer</w:t>
      </w:r>
    </w:p>
    <w:p>
      <w:pPr>
        <w:pStyle w:val="Heading2"/>
        <w:spacing w:after="120" w:before="240"/>
      </w:pPr>
      <w:r>
        <w:t xml:space="preserve">3.1 Responsibilities</w:t>
      </w:r>
    </w:p>
    <w:p>
      <w:pPr>
        <w:pStyle w:val="ListParagraph"/>
        <w:numPr>
          <w:ilvl w:val="0"/>
          <w:numId w:val="1"/>
        </w:numPr>
        <w:spacing w:after="80"/>
      </w:pPr>
      <w:r>
        <w:t xml:space="preserve">Design and build the core REST/GraphQL API that the frontend calls for submission, status, wallet balance, and redemption.</w:t>
      </w:r>
    </w:p>
    <w:p>
      <w:pPr>
        <w:pStyle w:val="ListParagraph"/>
        <w:numPr>
          <w:ilvl w:val="0"/>
          <w:numId w:val="1"/>
        </w:numPr>
        <w:spacing w:after="80"/>
      </w:pPr>
      <w:r>
        <w:t xml:space="preserve">Design the database schema for Users, Submissions, Validators, Transactions, and RedemptionOffers (as defined in the PRD's Key Data Entities section).</w:t>
      </w:r>
    </w:p>
    <w:p>
      <w:pPr>
        <w:pStyle w:val="ListParagraph"/>
        <w:numPr>
          <w:ilvl w:val="0"/>
          <w:numId w:val="1"/>
        </w:numPr>
        <w:spacing w:after="80"/>
      </w:pPr>
      <w:r>
        <w:t xml:space="preserve">Build the submission pipeline: receive uploaded images, forward to IPFS pinning, trigger the AI verification service, and store returned scores/status.</w:t>
      </w:r>
    </w:p>
    <w:p>
      <w:pPr>
        <w:pStyle w:val="ListParagraph"/>
        <w:numPr>
          <w:ilvl w:val="0"/>
          <w:numId w:val="1"/>
        </w:numPr>
        <w:spacing w:after="80"/>
      </w:pPr>
      <w:r>
        <w:t xml:space="preserve">Implement validator assignment logic — randomized selection of eligible validators for flagged submissions, and the review/approval workflow.</w:t>
      </w:r>
    </w:p>
    <w:p>
      <w:pPr>
        <w:pStyle w:val="ListParagraph"/>
        <w:numPr>
          <w:ilvl w:val="0"/>
          <w:numId w:val="1"/>
        </w:numPr>
        <w:spacing w:after="80"/>
      </w:pPr>
      <w:r>
        <w:t xml:space="preserve">Implement the staking and slashing logic at the application level (tracking stake balances, applying penalties on proven-fraud outcomes), coordinating with the blockchain layer for on-chain recording.</w:t>
      </w:r>
    </w:p>
    <w:p>
      <w:pPr>
        <w:pStyle w:val="ListParagraph"/>
        <w:numPr>
          <w:ilvl w:val="0"/>
          <w:numId w:val="1"/>
        </w:numPr>
        <w:spacing w:after="80"/>
      </w:pPr>
      <w:r>
        <w:t xml:space="preserve">Implement reward calculation logic — converting AI cleanup scores into CleanTO amounts — and trigger the blockchain layer to record the final transaction.</w:t>
      </w:r>
    </w:p>
    <w:p>
      <w:pPr>
        <w:pStyle w:val="ListParagraph"/>
        <w:numPr>
          <w:ilvl w:val="0"/>
          <w:numId w:val="1"/>
        </w:numPr>
        <w:spacing w:after="80"/>
      </w:pPr>
      <w:r>
        <w:t xml:space="preserve">Handle authentication, authorization, and role-based access (contributor vs validator vs admin).</w:t>
      </w:r>
    </w:p>
    <w:p>
      <w:pPr>
        <w:pStyle w:val="ListParagraph"/>
        <w:numPr>
          <w:ilvl w:val="0"/>
          <w:numId w:val="1"/>
        </w:numPr>
        <w:spacing w:after="80"/>
      </w:pPr>
      <w:r>
        <w:t xml:space="preserve">Own API documentation (OpenAPI/Swagger) so frontend and AI teams can integrate without back-and-forth.</w:t>
      </w:r>
    </w:p>
    <w:p>
      <w:pPr>
        <w:pStyle w:val="Heading2"/>
        <w:spacing w:after="120" w:before="240"/>
      </w:pPr>
      <w:r>
        <w:t xml:space="preserve">3.2 Key Deliverables</w:t>
      </w:r>
    </w:p>
    <w:p>
      <w:pPr>
        <w:pStyle w:val="ListParagraph"/>
        <w:numPr>
          <w:ilvl w:val="0"/>
          <w:numId w:val="1"/>
        </w:numPr>
        <w:spacing w:after="80"/>
      </w:pPr>
      <w:r>
        <w:t xml:space="preserve">Working API with documented endpoints for submission, review, wallet, and redemption flows.</w:t>
      </w:r>
    </w:p>
    <w:p>
      <w:pPr>
        <w:pStyle w:val="ListParagraph"/>
        <w:numPr>
          <w:ilvl w:val="0"/>
          <w:numId w:val="1"/>
        </w:numPr>
        <w:spacing w:after="80"/>
      </w:pPr>
      <w:r>
        <w:t xml:space="preserve">Database schema and migration scripts.</w:t>
      </w:r>
    </w:p>
    <w:p>
      <w:pPr>
        <w:pStyle w:val="ListParagraph"/>
        <w:numPr>
          <w:ilvl w:val="0"/>
          <w:numId w:val="1"/>
        </w:numPr>
        <w:spacing w:after="80"/>
      </w:pPr>
      <w:r>
        <w:t xml:space="preserve">Validator assignment and slashing logic, testable independent of the blockchain layer via mocks.</w:t>
      </w:r>
    </w:p>
    <w:p>
      <w:pPr>
        <w:pStyle w:val="Heading1"/>
        <w:spacing w:after="160" w:before="320"/>
      </w:pPr>
      <w:r>
        <w:t xml:space="preserve">4. Role 2 — Frontend &amp; Blockchain Engineer</w:t>
      </w:r>
    </w:p>
    <w:p>
      <w:pPr>
        <w:pStyle w:val="Heading2"/>
        <w:spacing w:after="120" w:before="240"/>
      </w:pPr>
      <w:r>
        <w:t xml:space="preserve">4.1 Responsibilities</w:t>
      </w:r>
    </w:p>
    <w:p>
      <w:pPr>
        <w:pStyle w:val="ListParagraph"/>
        <w:numPr>
          <w:ilvl w:val="0"/>
          <w:numId w:val="1"/>
        </w:numPr>
        <w:spacing w:after="80"/>
      </w:pPr>
      <w:r>
        <w:t xml:space="preserve">Build the client app (mobile-first web app or hybrid app) covering: photo capture flow (before/after), submission status tracking, wallet/CleanTO balance view, redemption catalogue, and a validator review dashboard.</w:t>
      </w:r>
    </w:p>
    <w:p>
      <w:pPr>
        <w:pStyle w:val="ListParagraph"/>
        <w:numPr>
          <w:ilvl w:val="0"/>
          <w:numId w:val="1"/>
        </w:numPr>
        <w:spacing w:after="80"/>
      </w:pPr>
      <w:r>
        <w:t xml:space="preserve">Integrate GPS and timestamp capture at the point of photo upload, and pass this metadata to the backend.</w:t>
      </w:r>
    </w:p>
    <w:p>
      <w:pPr>
        <w:pStyle w:val="ListParagraph"/>
        <w:numPr>
          <w:ilvl w:val="0"/>
          <w:numId w:val="1"/>
        </w:numPr>
        <w:spacing w:after="80"/>
      </w:pPr>
      <w:r>
        <w:t xml:space="preserve">Design and deploy the permissioned blockchain layer (e.g., a private/consortium Ethereum-compatible chain, or a lighter permissioned ledger framework) that records approved submissions.</w:t>
      </w:r>
    </w:p>
    <w:p>
      <w:pPr>
        <w:pStyle w:val="ListParagraph"/>
        <w:numPr>
          <w:ilvl w:val="0"/>
          <w:numId w:val="1"/>
        </w:numPr>
        <w:spacing w:after="80"/>
      </w:pPr>
      <w:r>
        <w:t xml:space="preserve">Write the smart contract / ledger logic for CleanTO issuance, validator staking, and slashing, exposing functions the backend can call.</w:t>
      </w:r>
    </w:p>
    <w:p>
      <w:pPr>
        <w:pStyle w:val="ListParagraph"/>
        <w:numPr>
          <w:ilvl w:val="0"/>
          <w:numId w:val="1"/>
        </w:numPr>
        <w:spacing w:after="80"/>
      </w:pPr>
      <w:r>
        <w:t xml:space="preserve">Implement wallet integration so each user has an on-chain (or ledger-backed) CleanTO balance reflected in the app.</w:t>
      </w:r>
    </w:p>
    <w:p>
      <w:pPr>
        <w:pStyle w:val="ListParagraph"/>
        <w:numPr>
          <w:ilvl w:val="0"/>
          <w:numId w:val="1"/>
        </w:numPr>
        <w:spacing w:after="80"/>
      </w:pPr>
      <w:r>
        <w:t xml:space="preserve">Ensure the blockchain write layer only accepts calls from authenticated backend services (permissioned access), not directly from the client app.</w:t>
      </w:r>
    </w:p>
    <w:p>
      <w:pPr>
        <w:pStyle w:val="Heading2"/>
        <w:spacing w:after="120" w:before="240"/>
      </w:pPr>
      <w:r>
        <w:t xml:space="preserve">4.2 Key Deliverables</w:t>
      </w:r>
    </w:p>
    <w:p>
      <w:pPr>
        <w:pStyle w:val="ListParagraph"/>
        <w:numPr>
          <w:ilvl w:val="0"/>
          <w:numId w:val="1"/>
        </w:numPr>
        <w:spacing w:after="80"/>
      </w:pPr>
      <w:r>
        <w:t xml:space="preserve">Functional client app covering the full contributor and validator user journeys.</w:t>
      </w:r>
    </w:p>
    <w:p>
      <w:pPr>
        <w:pStyle w:val="ListParagraph"/>
        <w:numPr>
          <w:ilvl w:val="0"/>
          <w:numId w:val="1"/>
        </w:numPr>
        <w:spacing w:after="80"/>
      </w:pPr>
      <w:r>
        <w:t xml:space="preserve">Deployed permissioned chain / ledger with CleanTO issuance and staking/slashing contract functions.</w:t>
      </w:r>
    </w:p>
    <w:p>
      <w:pPr>
        <w:pStyle w:val="ListParagraph"/>
        <w:numPr>
          <w:ilvl w:val="0"/>
          <w:numId w:val="1"/>
        </w:numPr>
        <w:spacing w:after="80"/>
      </w:pPr>
      <w:r>
        <w:t xml:space="preserve">Clear function-level interface (contract ABI or equivalent) the backend can call to record transactions.</w:t>
      </w:r>
    </w:p>
    <w:p>
      <w:pPr>
        <w:pStyle w:val="Heading1"/>
        <w:spacing w:after="160" w:before="320"/>
      </w:pPr>
      <w:r>
        <w:t xml:space="preserve">5. Role 3 — AI Engineer</w:t>
      </w:r>
    </w:p>
    <w:p>
      <w:pPr>
        <w:pStyle w:val="Heading2"/>
        <w:spacing w:after="120" w:before="240"/>
      </w:pPr>
      <w:r>
        <w:t xml:space="preserve">5.1 Responsibilities</w:t>
      </w:r>
    </w:p>
    <w:p>
      <w:pPr>
        <w:pStyle w:val="ListParagraph"/>
        <w:numPr>
          <w:ilvl w:val="0"/>
          <w:numId w:val="1"/>
        </w:numPr>
        <w:spacing w:after="80"/>
      </w:pPr>
      <w:r>
        <w:t xml:space="preserve">Build the duplicate/near-duplicate detection module using perceptual hashing (pHash/dHash) and/or embedding similarity (e.g., CLIP/ResNet-based) with a defined similarity threshold.</w:t>
      </w:r>
    </w:p>
    <w:p>
      <w:pPr>
        <w:pStyle w:val="ListParagraph"/>
        <w:numPr>
          <w:ilvl w:val="0"/>
          <w:numId w:val="1"/>
        </w:numPr>
        <w:spacing w:after="80"/>
      </w:pPr>
      <w:r>
        <w:t xml:space="preserve">Build the before/after transformation scoring model — estimating how much visible litter/waste was removed between the two images.</w:t>
      </w:r>
    </w:p>
    <w:p>
      <w:pPr>
        <w:pStyle w:val="ListParagraph"/>
        <w:numPr>
          <w:ilvl w:val="0"/>
          <w:numId w:val="1"/>
        </w:numPr>
        <w:spacing w:after="80"/>
      </w:pPr>
      <w:r>
        <w:t xml:space="preserve">Build the location/scene-consistency check — verifying the before and after images plausibly represent the same physical location.</w:t>
      </w:r>
    </w:p>
    <w:p>
      <w:pPr>
        <w:pStyle w:val="ListParagraph"/>
        <w:numPr>
          <w:ilvl w:val="0"/>
          <w:numId w:val="1"/>
        </w:numPr>
        <w:spacing w:after="80"/>
      </w:pPr>
      <w:r>
        <w:t xml:space="preserve">Define and document the confidence-score thresholds that determine auto-pass, auto-reject, and escalate-to-validator outcomes.</w:t>
      </w:r>
    </w:p>
    <w:p>
      <w:pPr>
        <w:pStyle w:val="ListParagraph"/>
        <w:numPr>
          <w:ilvl w:val="0"/>
          <w:numId w:val="1"/>
        </w:numPr>
        <w:spacing w:after="80"/>
      </w:pPr>
      <w:r>
        <w:t xml:space="preserve">Package the pipeline as a callable service (REST endpoint or internal function) that the backend can invoke per submission.</w:t>
      </w:r>
    </w:p>
    <w:p>
      <w:pPr>
        <w:pStyle w:val="ListParagraph"/>
        <w:numPr>
          <w:ilvl w:val="0"/>
          <w:numId w:val="1"/>
        </w:numPr>
        <w:spacing w:after="80"/>
      </w:pPr>
      <w:r>
        <w:t xml:space="preserve">Collect/curate a small labeled dataset (real cleanup pairs, reused/duplicate examples, staged/mismatched examples) for initial model tuning and evaluation.</w:t>
      </w:r>
    </w:p>
    <w:p>
      <w:pPr>
        <w:pStyle w:val="Heading2"/>
        <w:spacing w:after="120" w:before="240"/>
      </w:pPr>
      <w:r>
        <w:t xml:space="preserve">5.2 Key Deliverables</w:t>
      </w:r>
    </w:p>
    <w:p>
      <w:pPr>
        <w:pStyle w:val="ListParagraph"/>
        <w:numPr>
          <w:ilvl w:val="0"/>
          <w:numId w:val="1"/>
        </w:numPr>
        <w:spacing w:after="80"/>
      </w:pPr>
      <w:r>
        <w:t xml:space="preserve">AI verification service with a documented input/output contract (image pair + metadata in, score + verdict out).</w:t>
      </w:r>
    </w:p>
    <w:p>
      <w:pPr>
        <w:pStyle w:val="ListParagraph"/>
        <w:numPr>
          <w:ilvl w:val="0"/>
          <w:numId w:val="1"/>
        </w:numPr>
        <w:spacing w:after="80"/>
      </w:pPr>
      <w:r>
        <w:t xml:space="preserve">A short evaluation report showing accuracy/false-positive-rate on the test set, to support the Report's methodology section.</w:t>
      </w:r>
    </w:p>
    <w:p>
      <w:pPr>
        <w:pStyle w:val="Heading1"/>
        <w:spacing w:after="160" w:before="320"/>
      </w:pPr>
      <w:r>
        <w:t xml:space="preserve">6. Shared / Cross-Cutting Responsibilities</w:t>
      </w:r>
    </w:p>
    <w:p>
      <w:pPr>
        <w:pStyle w:val="ListParagraph"/>
        <w:numPr>
          <w:ilvl w:val="0"/>
          <w:numId w:val="1"/>
        </w:numPr>
        <w:spacing w:after="80"/>
      </w:pPr>
      <w:r>
        <w:t xml:space="preserve">All three members jointly finalize the data schema and API contracts before implementation begins, so no one builds against assumptions that change later.</w:t>
      </w:r>
    </w:p>
    <w:p>
      <w:pPr>
        <w:pStyle w:val="ListParagraph"/>
        <w:numPr>
          <w:ilvl w:val="0"/>
          <w:numId w:val="1"/>
        </w:numPr>
        <w:spacing w:after="80"/>
      </w:pPr>
      <w:r>
        <w:t xml:space="preserve">All three contribute to end-to-end testing once individual modules are ready, using a shared set of test submissions (genuine, duplicate, staged).</w:t>
      </w:r>
    </w:p>
    <w:p>
      <w:pPr>
        <w:pStyle w:val="ListParagraph"/>
        <w:numPr>
          <w:ilvl w:val="0"/>
          <w:numId w:val="1"/>
        </w:numPr>
        <w:spacing w:after="80"/>
      </w:pPr>
      <w:r>
        <w:t xml:space="preserve">All three maintain their section of the PRD/Report if requirements shift during development.</w:t>
      </w:r>
    </w:p>
    <w:p>
      <w:pPr>
        <w:pStyle w:val="Heading1"/>
        <w:spacing w:after="160" w:before="320"/>
      </w:pPr>
      <w:r>
        <w:t xml:space="preserve">7. Integration Plan — How the Work Comes Together</w:t>
      </w:r>
    </w:p>
    <w:p>
      <w:pPr>
        <w:pStyle w:val="Heading2"/>
        <w:spacing w:after="120" w:before="240"/>
      </w:pPr>
      <w:r>
        <w:t xml:space="preserve">7.1 Contract-First Approach</w:t>
      </w:r>
    </w:p>
    <w:p>
      <w:pPr>
        <w:spacing w:after="160"/>
      </w:pPr>
      <w:r>
        <w:t xml:space="preserve">Before writing implementation code, the team should agree on three fixed interface contracts, since backend, frontend/blockchain, and AI will otherwise be built in parallel against guesses: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485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Interface</w:t>
            </w:r>
          </w:p>
        </w:tc>
        <w:tc>
          <w:tcPr>
            <w:tcW w:type="dxa" w:w="2100"/>
            <w:shd w:fill="1F3864" w:val="clear"/>
            <w:tcMar>
              <w:top w:type="dxa" w:w="80"/>
              <w:left w:type="dxa" w:w="120"/>
              <w:bottom w:type="dxa" w:w="80"/>
              <w:right w:type="dxa" w:w="120"/>
            </w:tcMar>
          </w:tcPr>
          <w:p>
            <w:r>
              <w:rPr>
                <w:b/>
                <w:bCs/>
                <w:color w:val="FFFFFF"/>
                <w:sz w:val="20"/>
                <w:szCs w:val="20"/>
              </w:rPr>
              <w:t xml:space="preserve">Between</w:t>
            </w:r>
          </w:p>
        </w:tc>
        <w:tc>
          <w:tcPr>
            <w:tcW w:type="dxa" w:w="4850"/>
            <w:shd w:fill="1F3864" w:val="clear"/>
            <w:tcMar>
              <w:top w:type="dxa" w:w="80"/>
              <w:left w:type="dxa" w:w="120"/>
              <w:bottom w:type="dxa" w:w="80"/>
              <w:right w:type="dxa" w:w="120"/>
            </w:tcMar>
          </w:tcPr>
          <w:p>
            <w:r>
              <w:rPr>
                <w:b/>
                <w:bCs/>
                <w:color w:val="FFFFFF"/>
                <w:sz w:val="20"/>
                <w:szCs w:val="20"/>
              </w:rPr>
              <w:t xml:space="preserve">What Must Be Agreed First</w:t>
            </w:r>
          </w:p>
        </w:tc>
      </w:tr>
      <w:tr>
        <w:tc>
          <w:tcPr>
            <w:tcW w:type="dxa" w:w="2400"/>
            <w:tcMar>
              <w:top w:type="dxa" w:w="80"/>
              <w:left w:type="dxa" w:w="120"/>
              <w:bottom w:type="dxa" w:w="80"/>
              <w:right w:type="dxa" w:w="120"/>
            </w:tcMar>
          </w:tcPr>
          <w:p>
            <w:r>
              <w:rPr>
                <w:b w:val="false"/>
                <w:bCs w:val="false"/>
                <w:sz w:val="20"/>
                <w:szCs w:val="20"/>
              </w:rPr>
              <w:t xml:space="preserve">Submission API</w:t>
            </w:r>
          </w:p>
        </w:tc>
        <w:tc>
          <w:tcPr>
            <w:tcW w:type="dxa" w:w="2100"/>
            <w:tcMar>
              <w:top w:type="dxa" w:w="80"/>
              <w:left w:type="dxa" w:w="120"/>
              <w:bottom w:type="dxa" w:w="80"/>
              <w:right w:type="dxa" w:w="120"/>
            </w:tcMar>
          </w:tcPr>
          <w:p>
            <w:r>
              <w:rPr>
                <w:b w:val="false"/>
                <w:bCs w:val="false"/>
                <w:sz w:val="20"/>
                <w:szCs w:val="20"/>
              </w:rPr>
              <w:t xml:space="preserve">Frontend ↔ Backend</w:t>
            </w:r>
          </w:p>
        </w:tc>
        <w:tc>
          <w:tcPr>
            <w:tcW w:type="dxa" w:w="4850"/>
            <w:tcMar>
              <w:top w:type="dxa" w:w="80"/>
              <w:left w:type="dxa" w:w="120"/>
              <w:bottom w:type="dxa" w:w="80"/>
              <w:right w:type="dxa" w:w="120"/>
            </w:tcMar>
          </w:tcPr>
          <w:p>
            <w:r>
              <w:rPr>
                <w:b w:val="false"/>
                <w:bCs w:val="false"/>
                <w:sz w:val="20"/>
                <w:szCs w:val="20"/>
              </w:rPr>
              <w:t xml:space="preserve">Request format for photo + GPS + timestamp upload; response format for status/score</w:t>
            </w:r>
          </w:p>
        </w:tc>
      </w:tr>
      <w:tr>
        <w:tc>
          <w:tcPr>
            <w:tcW w:type="dxa" w:w="2400"/>
            <w:tcMar>
              <w:top w:type="dxa" w:w="80"/>
              <w:left w:type="dxa" w:w="120"/>
              <w:bottom w:type="dxa" w:w="80"/>
              <w:right w:type="dxa" w:w="120"/>
            </w:tcMar>
          </w:tcPr>
          <w:p>
            <w:r>
              <w:rPr>
                <w:b w:val="false"/>
                <w:bCs w:val="false"/>
                <w:sz w:val="20"/>
                <w:szCs w:val="20"/>
              </w:rPr>
              <w:t xml:space="preserve">AI Verification Contract</w:t>
            </w:r>
          </w:p>
        </w:tc>
        <w:tc>
          <w:tcPr>
            <w:tcW w:type="dxa" w:w="2100"/>
            <w:tcMar>
              <w:top w:type="dxa" w:w="80"/>
              <w:left w:type="dxa" w:w="120"/>
              <w:bottom w:type="dxa" w:w="80"/>
              <w:right w:type="dxa" w:w="120"/>
            </w:tcMar>
          </w:tcPr>
          <w:p>
            <w:r>
              <w:rPr>
                <w:b w:val="false"/>
                <w:bCs w:val="false"/>
                <w:sz w:val="20"/>
                <w:szCs w:val="20"/>
              </w:rPr>
              <w:t xml:space="preserve">Backend ↔ AI Service</w:t>
            </w:r>
          </w:p>
        </w:tc>
        <w:tc>
          <w:tcPr>
            <w:tcW w:type="dxa" w:w="4850"/>
            <w:tcMar>
              <w:top w:type="dxa" w:w="80"/>
              <w:left w:type="dxa" w:w="120"/>
              <w:bottom w:type="dxa" w:w="80"/>
              <w:right w:type="dxa" w:w="120"/>
            </w:tcMar>
          </w:tcPr>
          <w:p>
            <w:r>
              <w:rPr>
                <w:b w:val="false"/>
                <w:bCs w:val="false"/>
                <w:sz w:val="20"/>
                <w:szCs w:val="20"/>
              </w:rPr>
              <w:t xml:space="preserve">Input: image pair + metadata. Output: duplicate flag, transformation score, location-consistency flag, verdict</w:t>
            </w:r>
          </w:p>
        </w:tc>
      </w:tr>
      <w:tr>
        <w:tc>
          <w:tcPr>
            <w:tcW w:type="dxa" w:w="2400"/>
            <w:tcMar>
              <w:top w:type="dxa" w:w="80"/>
              <w:left w:type="dxa" w:w="120"/>
              <w:bottom w:type="dxa" w:w="80"/>
              <w:right w:type="dxa" w:w="120"/>
            </w:tcMar>
          </w:tcPr>
          <w:p>
            <w:r>
              <w:rPr>
                <w:b w:val="false"/>
                <w:bCs w:val="false"/>
                <w:sz w:val="20"/>
                <w:szCs w:val="20"/>
              </w:rPr>
              <w:t xml:space="preserve">Ledger Interface</w:t>
            </w:r>
          </w:p>
        </w:tc>
        <w:tc>
          <w:tcPr>
            <w:tcW w:type="dxa" w:w="2100"/>
            <w:tcMar>
              <w:top w:type="dxa" w:w="80"/>
              <w:left w:type="dxa" w:w="120"/>
              <w:bottom w:type="dxa" w:w="80"/>
              <w:right w:type="dxa" w:w="120"/>
            </w:tcMar>
          </w:tcPr>
          <w:p>
            <w:r>
              <w:rPr>
                <w:b w:val="false"/>
                <w:bCs w:val="false"/>
                <w:sz w:val="20"/>
                <w:szCs w:val="20"/>
              </w:rPr>
              <w:t xml:space="preserve">Backend ↔ Blockchain Layer</w:t>
            </w:r>
          </w:p>
        </w:tc>
        <w:tc>
          <w:tcPr>
            <w:tcW w:type="dxa" w:w="4850"/>
            <w:tcMar>
              <w:top w:type="dxa" w:w="80"/>
              <w:left w:type="dxa" w:w="120"/>
              <w:bottom w:type="dxa" w:w="80"/>
              <w:right w:type="dxa" w:w="120"/>
            </w:tcMar>
          </w:tcPr>
          <w:p>
            <w:r>
              <w:rPr>
                <w:b w:val="false"/>
                <w:bCs w:val="false"/>
                <w:sz w:val="20"/>
                <w:szCs w:val="20"/>
              </w:rPr>
              <w:t xml:space="preserve">Functions to record a submission, issue CleanTO, register a stake, apply a slash — with exact parameters and return values</w:t>
            </w:r>
          </w:p>
        </w:tc>
      </w:tr>
    </w:tbl>
    <w:p>
      <w:pPr>
        <w:pStyle w:val="Heading2"/>
        <w:spacing w:after="120" w:before="240"/>
      </w:pPr>
      <w:r>
        <w:t xml:space="preserve">7.2 Repository and Environment Structure</w:t>
      </w:r>
    </w:p>
    <w:p>
      <w:pPr>
        <w:pStyle w:val="ListParagraph"/>
        <w:numPr>
          <w:ilvl w:val="0"/>
          <w:numId w:val="1"/>
        </w:numPr>
        <w:spacing w:after="80"/>
      </w:pPr>
      <w:r>
        <w:t xml:space="preserve">Use a single shared repository with clear top-level folders: /backend, /frontend, /ai-service, /blockchain — this keeps versioning synchronized across the team for a project this size.</w:t>
      </w:r>
    </w:p>
    <w:p>
      <w:pPr>
        <w:pStyle w:val="ListParagraph"/>
        <w:numPr>
          <w:ilvl w:val="0"/>
          <w:numId w:val="1"/>
        </w:numPr>
        <w:spacing w:after="80"/>
      </w:pPr>
      <w:r>
        <w:t xml:space="preserve">Each folder owner works primarily in their folder but opens pull requests for any change to a shared contract file (e.g., a shared /docs/api-contracts.md or OpenAPI spec).</w:t>
      </w:r>
    </w:p>
    <w:p>
      <w:pPr>
        <w:pStyle w:val="ListParagraph"/>
        <w:numPr>
          <w:ilvl w:val="0"/>
          <w:numId w:val="1"/>
        </w:numPr>
        <w:spacing w:after="80"/>
      </w:pPr>
      <w:r>
        <w:t xml:space="preserve">Use a docker-compose (or equivalent) setup so all three services can be run together locally for integration testing, rather than only tested in isolation.</w:t>
      </w:r>
    </w:p>
    <w:p>
      <w:pPr>
        <w:pStyle w:val="Heading2"/>
        <w:spacing w:after="120" w:before="240"/>
      </w:pPr>
      <w:r>
        <w:t xml:space="preserve">7.3 Branching and Review Workflow</w:t>
      </w:r>
    </w:p>
    <w:p>
      <w:pPr>
        <w:pStyle w:val="ListParagraph"/>
        <w:numPr>
          <w:ilvl w:val="0"/>
          <w:numId w:val="2"/>
        </w:numPr>
        <w:spacing w:after="80"/>
      </w:pPr>
      <w:r>
        <w:t xml:space="preserve">main — always deployable/demo-ready.</w:t>
      </w:r>
    </w:p>
    <w:p>
      <w:pPr>
        <w:pStyle w:val="ListParagraph"/>
        <w:numPr>
          <w:ilvl w:val="0"/>
          <w:numId w:val="2"/>
        </w:numPr>
        <w:spacing w:after="80"/>
      </w:pPr>
      <w:r>
        <w:t xml:space="preserve">develop — integration branch where all three modules are merged and tested together.</w:t>
      </w:r>
    </w:p>
    <w:p>
      <w:pPr>
        <w:pStyle w:val="ListParagraph"/>
        <w:numPr>
          <w:ilvl w:val="0"/>
          <w:numId w:val="2"/>
        </w:numPr>
        <w:spacing w:after="80"/>
      </w:pPr>
      <w:r>
        <w:t xml:space="preserve">Feature branches per person (e.g., backend/submission-api, ai/duplicate-detection, frontend/wallet-view) merged into develop via pull request.</w:t>
      </w:r>
    </w:p>
    <w:p>
      <w:pPr>
        <w:pStyle w:val="ListParagraph"/>
        <w:numPr>
          <w:ilvl w:val="0"/>
          <w:numId w:val="2"/>
        </w:numPr>
        <w:spacing w:after="80"/>
      </w:pPr>
      <w:r>
        <w:t xml:space="preserve">At least one other team member reviews a pull request before merging into develop, so all three stay aware of each other's interfaces.</w:t>
      </w:r>
    </w:p>
    <w:p>
      <w:pPr>
        <w:pStyle w:val="Heading2"/>
        <w:spacing w:after="120" w:before="240"/>
      </w:pPr>
      <w:r>
        <w:t xml:space="preserve">7.4 Suggested Integration Timeline (Phase 1 Prototype)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50"/>
      </w:tblGrid>
      <w:tr>
        <w:trPr>
          <w:tblHeader/>
        </w:trPr>
        <w:tc>
          <w:tcPr>
            <w:tcW w:type="dxa" w:w="1000"/>
            <w:shd w:fill="1F3864" w:val="clear"/>
            <w:tcMar>
              <w:top w:type="dxa" w:w="80"/>
              <w:left w:type="dxa" w:w="120"/>
              <w:bottom w:type="dxa" w:w="80"/>
              <w:right w:type="dxa" w:w="120"/>
            </w:tcMar>
          </w:tcPr>
          <w:p>
            <w:r>
              <w:rPr>
                <w:b/>
                <w:bCs/>
                <w:color w:val="FFFFFF"/>
                <w:sz w:val="20"/>
                <w:szCs w:val="20"/>
              </w:rPr>
              <w:t xml:space="preserve">Week</w:t>
            </w:r>
          </w:p>
        </w:tc>
        <w:tc>
          <w:tcPr>
            <w:tcW w:type="dxa" w:w="4300"/>
            <w:shd w:fill="1F3864" w:val="clear"/>
            <w:tcMar>
              <w:top w:type="dxa" w:w="80"/>
              <w:left w:type="dxa" w:w="120"/>
              <w:bottom w:type="dxa" w:w="80"/>
              <w:right w:type="dxa" w:w="120"/>
            </w:tcMar>
          </w:tcPr>
          <w:p>
            <w:r>
              <w:rPr>
                <w:b/>
                <w:bCs/>
                <w:color w:val="FFFFFF"/>
                <w:sz w:val="20"/>
                <w:szCs w:val="20"/>
              </w:rPr>
              <w:t xml:space="preserve">Focus</w:t>
            </w:r>
          </w:p>
        </w:tc>
        <w:tc>
          <w:tcPr>
            <w:tcW w:type="dxa" w:w="4050"/>
            <w:shd w:fill="1F3864" w:val="clear"/>
            <w:tcMar>
              <w:top w:type="dxa" w:w="80"/>
              <w:left w:type="dxa" w:w="120"/>
              <w:bottom w:type="dxa" w:w="80"/>
              <w:right w:type="dxa" w:w="120"/>
            </w:tcMar>
          </w:tcPr>
          <w:p>
            <w:r>
              <w:rPr>
                <w:b/>
                <w:bCs/>
                <w:color w:val="FFFFFF"/>
                <w:sz w:val="20"/>
                <w:szCs w:val="20"/>
              </w:rPr>
              <w:t xml:space="preserve">Integration Checkpoint</w:t>
            </w:r>
          </w:p>
        </w:tc>
      </w:tr>
      <w:tr>
        <w:tc>
          <w:tcPr>
            <w:tcW w:type="dxa" w:w="1000"/>
            <w:tcMar>
              <w:top w:type="dxa" w:w="80"/>
              <w:left w:type="dxa" w:w="120"/>
              <w:bottom w:type="dxa" w:w="80"/>
              <w:right w:type="dxa" w:w="120"/>
            </w:tcMar>
          </w:tcPr>
          <w:p>
            <w:r>
              <w:rPr>
                <w:b w:val="false"/>
                <w:bCs w:val="false"/>
                <w:sz w:val="20"/>
                <w:szCs w:val="20"/>
              </w:rPr>
              <w:t xml:space="preserve">1</w:t>
            </w:r>
          </w:p>
        </w:tc>
        <w:tc>
          <w:tcPr>
            <w:tcW w:type="dxa" w:w="4300"/>
            <w:tcMar>
              <w:top w:type="dxa" w:w="80"/>
              <w:left w:type="dxa" w:w="120"/>
              <w:bottom w:type="dxa" w:w="80"/>
              <w:right w:type="dxa" w:w="120"/>
            </w:tcMar>
          </w:tcPr>
          <w:p>
            <w:r>
              <w:rPr>
                <w:b w:val="false"/>
                <w:bCs w:val="false"/>
                <w:sz w:val="20"/>
                <w:szCs w:val="20"/>
              </w:rPr>
              <w:t xml:space="preserve">Finalize data schema, API contracts, and AI I/O contract together</w:t>
            </w:r>
          </w:p>
        </w:tc>
        <w:tc>
          <w:tcPr>
            <w:tcW w:type="dxa" w:w="4050"/>
            <w:tcMar>
              <w:top w:type="dxa" w:w="80"/>
              <w:left w:type="dxa" w:w="120"/>
              <w:bottom w:type="dxa" w:w="80"/>
              <w:right w:type="dxa" w:w="120"/>
            </w:tcMar>
          </w:tcPr>
          <w:p>
            <w:r>
              <w:rPr>
                <w:b w:val="false"/>
                <w:bCs w:val="false"/>
                <w:sz w:val="20"/>
                <w:szCs w:val="20"/>
              </w:rPr>
              <w:t xml:space="preserve">All three sign off on shared contract document</w:t>
            </w:r>
          </w:p>
        </w:tc>
      </w:tr>
      <w:tr>
        <w:tc>
          <w:tcPr>
            <w:tcW w:type="dxa" w:w="1000"/>
            <w:tcMar>
              <w:top w:type="dxa" w:w="80"/>
              <w:left w:type="dxa" w:w="120"/>
              <w:bottom w:type="dxa" w:w="80"/>
              <w:right w:type="dxa" w:w="120"/>
            </w:tcMar>
          </w:tcPr>
          <w:p>
            <w:r>
              <w:rPr>
                <w:b w:val="false"/>
                <w:bCs w:val="false"/>
                <w:sz w:val="20"/>
                <w:szCs w:val="20"/>
              </w:rPr>
              <w:t xml:space="preserve">2–3</w:t>
            </w:r>
          </w:p>
        </w:tc>
        <w:tc>
          <w:tcPr>
            <w:tcW w:type="dxa" w:w="4300"/>
            <w:tcMar>
              <w:top w:type="dxa" w:w="80"/>
              <w:left w:type="dxa" w:w="120"/>
              <w:bottom w:type="dxa" w:w="80"/>
              <w:right w:type="dxa" w:w="120"/>
            </w:tcMar>
          </w:tcPr>
          <w:p>
            <w:r>
              <w:rPr>
                <w:b w:val="false"/>
                <w:bCs w:val="false"/>
                <w:sz w:val="20"/>
                <w:szCs w:val="20"/>
              </w:rPr>
              <w:t xml:space="preserve">Independent build: backend API skeleton, frontend UI skeleton, AI model prototyping</w:t>
            </w:r>
          </w:p>
        </w:tc>
        <w:tc>
          <w:tcPr>
            <w:tcW w:type="dxa" w:w="4050"/>
            <w:tcMar>
              <w:top w:type="dxa" w:w="80"/>
              <w:left w:type="dxa" w:w="120"/>
              <w:bottom w:type="dxa" w:w="80"/>
              <w:right w:type="dxa" w:w="120"/>
            </w:tcMar>
          </w:tcPr>
          <w:p>
            <w:r>
              <w:rPr>
                <w:b w:val="false"/>
                <w:bCs w:val="false"/>
                <w:sz w:val="20"/>
                <w:szCs w:val="20"/>
              </w:rPr>
              <w:t xml:space="preserve">Each module runs standalone with mock data</w:t>
            </w:r>
          </w:p>
        </w:tc>
      </w:tr>
      <w:tr>
        <w:tc>
          <w:tcPr>
            <w:tcW w:type="dxa" w:w="1000"/>
            <w:tcMar>
              <w:top w:type="dxa" w:w="80"/>
              <w:left w:type="dxa" w:w="120"/>
              <w:bottom w:type="dxa" w:w="80"/>
              <w:right w:type="dxa" w:w="120"/>
            </w:tcMar>
          </w:tcPr>
          <w:p>
            <w:r>
              <w:rPr>
                <w:b w:val="false"/>
                <w:bCs w:val="false"/>
                <w:sz w:val="20"/>
                <w:szCs w:val="20"/>
              </w:rPr>
              <w:t xml:space="preserve">4</w:t>
            </w:r>
          </w:p>
        </w:tc>
        <w:tc>
          <w:tcPr>
            <w:tcW w:type="dxa" w:w="4300"/>
            <w:tcMar>
              <w:top w:type="dxa" w:w="80"/>
              <w:left w:type="dxa" w:w="120"/>
              <w:bottom w:type="dxa" w:w="80"/>
              <w:right w:type="dxa" w:w="120"/>
            </w:tcMar>
          </w:tcPr>
          <w:p>
            <w:r>
              <w:rPr>
                <w:b w:val="false"/>
                <w:bCs w:val="false"/>
                <w:sz w:val="20"/>
                <w:szCs w:val="20"/>
              </w:rPr>
              <w:t xml:space="preserve">Connect frontend to backend (submission + status flow)</w:t>
            </w:r>
          </w:p>
        </w:tc>
        <w:tc>
          <w:tcPr>
            <w:tcW w:type="dxa" w:w="4050"/>
            <w:tcMar>
              <w:top w:type="dxa" w:w="80"/>
              <w:left w:type="dxa" w:w="120"/>
              <w:bottom w:type="dxa" w:w="80"/>
              <w:right w:type="dxa" w:w="120"/>
            </w:tcMar>
          </w:tcPr>
          <w:p>
            <w:r>
              <w:rPr>
                <w:b w:val="false"/>
                <w:bCs w:val="false"/>
                <w:sz w:val="20"/>
                <w:szCs w:val="20"/>
              </w:rPr>
              <w:t xml:space="preserve">A photo pair can be uploaded and stored end-to-end</w:t>
            </w:r>
          </w:p>
        </w:tc>
      </w:tr>
      <w:tr>
        <w:tc>
          <w:tcPr>
            <w:tcW w:type="dxa" w:w="1000"/>
            <w:tcMar>
              <w:top w:type="dxa" w:w="80"/>
              <w:left w:type="dxa" w:w="120"/>
              <w:bottom w:type="dxa" w:w="80"/>
              <w:right w:type="dxa" w:w="120"/>
            </w:tcMar>
          </w:tcPr>
          <w:p>
            <w:r>
              <w:rPr>
                <w:b w:val="false"/>
                <w:bCs w:val="false"/>
                <w:sz w:val="20"/>
                <w:szCs w:val="20"/>
              </w:rPr>
              <w:t xml:space="preserve">5</w:t>
            </w:r>
          </w:p>
        </w:tc>
        <w:tc>
          <w:tcPr>
            <w:tcW w:type="dxa" w:w="4300"/>
            <w:tcMar>
              <w:top w:type="dxa" w:w="80"/>
              <w:left w:type="dxa" w:w="120"/>
              <w:bottom w:type="dxa" w:w="80"/>
              <w:right w:type="dxa" w:w="120"/>
            </w:tcMar>
          </w:tcPr>
          <w:p>
            <w:r>
              <w:rPr>
                <w:b w:val="false"/>
                <w:bCs w:val="false"/>
                <w:sz w:val="20"/>
                <w:szCs w:val="20"/>
              </w:rPr>
              <w:t xml:space="preserve">Connect backend to AI service</w:t>
            </w:r>
          </w:p>
        </w:tc>
        <w:tc>
          <w:tcPr>
            <w:tcW w:type="dxa" w:w="4050"/>
            <w:tcMar>
              <w:top w:type="dxa" w:w="80"/>
              <w:left w:type="dxa" w:w="120"/>
              <w:bottom w:type="dxa" w:w="80"/>
              <w:right w:type="dxa" w:w="120"/>
            </w:tcMar>
          </w:tcPr>
          <w:p>
            <w:r>
              <w:rPr>
                <w:b w:val="false"/>
                <w:bCs w:val="false"/>
                <w:sz w:val="20"/>
                <w:szCs w:val="20"/>
              </w:rPr>
              <w:t xml:space="preserve">Submitted pairs return a real verification verdict</w:t>
            </w:r>
          </w:p>
        </w:tc>
      </w:tr>
      <w:tr>
        <w:tc>
          <w:tcPr>
            <w:tcW w:type="dxa" w:w="1000"/>
            <w:tcMar>
              <w:top w:type="dxa" w:w="80"/>
              <w:left w:type="dxa" w:w="120"/>
              <w:bottom w:type="dxa" w:w="80"/>
              <w:right w:type="dxa" w:w="120"/>
            </w:tcMar>
          </w:tcPr>
          <w:p>
            <w:r>
              <w:rPr>
                <w:b w:val="false"/>
                <w:bCs w:val="false"/>
                <w:sz w:val="20"/>
                <w:szCs w:val="20"/>
              </w:rPr>
              <w:t xml:space="preserve">6</w:t>
            </w:r>
          </w:p>
        </w:tc>
        <w:tc>
          <w:tcPr>
            <w:tcW w:type="dxa" w:w="4300"/>
            <w:tcMar>
              <w:top w:type="dxa" w:w="80"/>
              <w:left w:type="dxa" w:w="120"/>
              <w:bottom w:type="dxa" w:w="80"/>
              <w:right w:type="dxa" w:w="120"/>
            </w:tcMar>
          </w:tcPr>
          <w:p>
            <w:r>
              <w:rPr>
                <w:b w:val="false"/>
                <w:bCs w:val="false"/>
                <w:sz w:val="20"/>
                <w:szCs w:val="20"/>
              </w:rPr>
              <w:t xml:space="preserve">Connect backend to blockchain/ledger layer</w:t>
            </w:r>
          </w:p>
        </w:tc>
        <w:tc>
          <w:tcPr>
            <w:tcW w:type="dxa" w:w="4050"/>
            <w:tcMar>
              <w:top w:type="dxa" w:w="80"/>
              <w:left w:type="dxa" w:w="120"/>
              <w:bottom w:type="dxa" w:w="80"/>
              <w:right w:type="dxa" w:w="120"/>
            </w:tcMar>
          </w:tcPr>
          <w:p>
            <w:r>
              <w:rPr>
                <w:b w:val="false"/>
                <w:bCs w:val="false"/>
                <w:sz w:val="20"/>
                <w:szCs w:val="20"/>
              </w:rPr>
              <w:t xml:space="preserve">Approved submissions issue CleanTO on-chain and reflect in wallet UI</w:t>
            </w:r>
          </w:p>
        </w:tc>
      </w:tr>
      <w:tr>
        <w:tc>
          <w:tcPr>
            <w:tcW w:type="dxa" w:w="1000"/>
            <w:tcMar>
              <w:top w:type="dxa" w:w="80"/>
              <w:left w:type="dxa" w:w="120"/>
              <w:bottom w:type="dxa" w:w="80"/>
              <w:right w:type="dxa" w:w="120"/>
            </w:tcMar>
          </w:tcPr>
          <w:p>
            <w:r>
              <w:rPr>
                <w:b w:val="false"/>
                <w:bCs w:val="false"/>
                <w:sz w:val="20"/>
                <w:szCs w:val="20"/>
              </w:rPr>
              <w:t xml:space="preserve">7</w:t>
            </w:r>
          </w:p>
        </w:tc>
        <w:tc>
          <w:tcPr>
            <w:tcW w:type="dxa" w:w="4300"/>
            <w:tcMar>
              <w:top w:type="dxa" w:w="80"/>
              <w:left w:type="dxa" w:w="120"/>
              <w:bottom w:type="dxa" w:w="80"/>
              <w:right w:type="dxa" w:w="120"/>
            </w:tcMar>
          </w:tcPr>
          <w:p>
            <w:r>
              <w:rPr>
                <w:b w:val="false"/>
                <w:bCs w:val="false"/>
                <w:sz w:val="20"/>
                <w:szCs w:val="20"/>
              </w:rPr>
              <w:t xml:space="preserve">End-to-end test pass: genuine, duplicate, and staged submission cases</w:t>
            </w:r>
          </w:p>
        </w:tc>
        <w:tc>
          <w:tcPr>
            <w:tcW w:type="dxa" w:w="4050"/>
            <w:tcMar>
              <w:top w:type="dxa" w:w="80"/>
              <w:left w:type="dxa" w:w="120"/>
              <w:bottom w:type="dxa" w:w="80"/>
              <w:right w:type="dxa" w:w="120"/>
            </w:tcMar>
          </w:tcPr>
          <w:p>
            <w:r>
              <w:rPr>
                <w:b w:val="false"/>
                <w:bCs w:val="false"/>
                <w:sz w:val="20"/>
                <w:szCs w:val="20"/>
              </w:rPr>
              <w:t xml:space="preserve">All three fraud paths behave as designed</w:t>
            </w:r>
          </w:p>
        </w:tc>
      </w:tr>
      <w:tr>
        <w:tc>
          <w:tcPr>
            <w:tcW w:type="dxa" w:w="1000"/>
            <w:tcMar>
              <w:top w:type="dxa" w:w="80"/>
              <w:left w:type="dxa" w:w="120"/>
              <w:bottom w:type="dxa" w:w="80"/>
              <w:right w:type="dxa" w:w="120"/>
            </w:tcMar>
          </w:tcPr>
          <w:p>
            <w:r>
              <w:rPr>
                <w:b w:val="false"/>
                <w:bCs w:val="false"/>
                <w:sz w:val="20"/>
                <w:szCs w:val="20"/>
              </w:rPr>
              <w:t xml:space="preserve">8</w:t>
            </w:r>
          </w:p>
        </w:tc>
        <w:tc>
          <w:tcPr>
            <w:tcW w:type="dxa" w:w="4300"/>
            <w:tcMar>
              <w:top w:type="dxa" w:w="80"/>
              <w:left w:type="dxa" w:w="120"/>
              <w:bottom w:type="dxa" w:w="80"/>
              <w:right w:type="dxa" w:w="120"/>
            </w:tcMar>
          </w:tcPr>
          <w:p>
            <w:r>
              <w:rPr>
                <w:b w:val="false"/>
                <w:bCs w:val="false"/>
                <w:sz w:val="20"/>
                <w:szCs w:val="20"/>
              </w:rPr>
              <w:t xml:space="preserve">Bug fixing, polish, prepare demo</w:t>
            </w:r>
          </w:p>
        </w:tc>
        <w:tc>
          <w:tcPr>
            <w:tcW w:type="dxa" w:w="4050"/>
            <w:tcMar>
              <w:top w:type="dxa" w:w="80"/>
              <w:left w:type="dxa" w:w="120"/>
              <w:bottom w:type="dxa" w:w="80"/>
              <w:right w:type="dxa" w:w="120"/>
            </w:tcMar>
          </w:tcPr>
          <w:p>
            <w:r>
              <w:rPr>
                <w:b w:val="false"/>
                <w:bCs w:val="false"/>
                <w:sz w:val="20"/>
                <w:szCs w:val="20"/>
              </w:rPr>
              <w:t xml:space="preserve">Stable build ready for presentation/review</w:t>
            </w:r>
          </w:p>
        </w:tc>
      </w:tr>
    </w:tbl>
    <w:p>
      <w:pPr>
        <w:pStyle w:val="Heading2"/>
        <w:spacing w:after="120" w:before="240"/>
      </w:pPr>
      <w:r>
        <w:t xml:space="preserve">7.5 Communication Cadence</w:t>
      </w:r>
    </w:p>
    <w:p>
      <w:pPr>
        <w:pStyle w:val="ListParagraph"/>
        <w:numPr>
          <w:ilvl w:val="0"/>
          <w:numId w:val="1"/>
        </w:numPr>
        <w:spacing w:after="80"/>
      </w:pPr>
      <w:r>
        <w:t xml:space="preserve">Short daily or alternate-day sync (even 10–15 minutes) during active integration weeks (Weeks 4–7) to catch contract mismatches early.</w:t>
      </w:r>
    </w:p>
    <w:p>
      <w:pPr>
        <w:pStyle w:val="ListParagraph"/>
        <w:numPr>
          <w:ilvl w:val="0"/>
          <w:numId w:val="1"/>
        </w:numPr>
        <w:spacing w:after="80"/>
      </w:pPr>
      <w:r>
        <w:t xml:space="preserve">A shared task board (e.g., Trello/GitHub Projects) with tasks tagged by role, so dependencies are visible — e.g., frontend's wallet screen is blocked until backend's wallet-balance endpoint is ready.</w:t>
      </w:r>
    </w:p>
    <w:p>
      <w:pPr>
        <w:pStyle w:val="Heading2"/>
        <w:spacing w:after="120" w:before="240"/>
      </w:pPr>
      <w:r>
        <w:t xml:space="preserve">7.6 Risk of Integration Mismatch — and How This Plan Avoids It</w:t>
      </w:r>
    </w:p>
    <w:p>
      <w:pPr>
        <w:spacing w:after="160"/>
      </w:pPr>
      <w:r>
        <w:t xml:space="preserve">The most common failure mode in a three-way split like this is each person building correctly in isolation but the pieces not fitting together at the end. This plan avoids that by (a) fixing the three interface contracts before implementation starts, (b) integrating incrementally week-by-week rather than only at the very end, and (c) testing with a shared set of real and adversarial (duplicate/staged) submissions so the fraud-detection logic is validated across all three modules together, not just individually.</w:t>
      </w:r>
    </w:p>
    <w:p>
      <w:pPr>
        <w:pStyle w:val="Heading1"/>
        <w:spacing w:after="160" w:before="320"/>
      </w:pPr>
      <w:r>
        <w:t xml:space="preserve">8. Next Steps</w:t>
      </w:r>
    </w:p>
    <w:p>
      <w:pPr>
        <w:pStyle w:val="ListParagraph"/>
        <w:numPr>
          <w:ilvl w:val="0"/>
          <w:numId w:val="3"/>
        </w:numPr>
        <w:spacing w:after="80"/>
      </w:pPr>
      <w:r>
        <w:t xml:space="preserve">Assign actual names to the three roles in Section 2.</w:t>
      </w:r>
    </w:p>
    <w:p>
      <w:pPr>
        <w:pStyle w:val="ListParagraph"/>
        <w:numPr>
          <w:ilvl w:val="0"/>
          <w:numId w:val="3"/>
        </w:numPr>
        <w:spacing w:after="80"/>
      </w:pPr>
      <w:r>
        <w:t xml:space="preserve">Hold a kickoff session to finalize the three interface contracts in Section 7.1.</w:t>
      </w:r>
    </w:p>
    <w:p>
      <w:pPr>
        <w:pStyle w:val="ListParagraph"/>
        <w:numPr>
          <w:ilvl w:val="0"/>
          <w:numId w:val="3"/>
        </w:numPr>
        <w:spacing w:after="80"/>
      </w:pPr>
      <w:r>
        <w:t xml:space="preserve">Set up the shared repository structure and docker-compose environment.</w:t>
      </w:r>
    </w:p>
    <w:p>
      <w:pPr>
        <w:pStyle w:val="ListParagraph"/>
        <w:numPr>
          <w:ilvl w:val="0"/>
          <w:numId w:val="3"/>
        </w:numPr>
        <w:spacing w:after="80"/>
      </w:pPr>
      <w:r>
        <w:t xml:space="preserve">Begin Week 1 tasks as outlined in Section 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abstractNum w:abstractNumId="4"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2026-09-15T20:46:08.509Z</dcterms:created>
  <dcterms:modified xsi:type="dcterms:W3CDTF">2026-09-15T20:46:08.509Z</dcterms:modified>
</cp:coreProperties>
</file>

<file path=docProps/custom.xml><?xml version="1.0" encoding="utf-8"?>
<Properties xmlns="http://schemas.openxmlformats.org/officeDocument/2006/custom-properties" xmlns:vt="http://schemas.openxmlformats.org/officeDocument/2006/docPropsVTypes"/>
</file>