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png" ContentType="image/png"/>
  <Override PartName="/word/media/rId15.png" ContentType="image/png"/>
  <Override PartName="/word/media/rId24.png" ContentType="image/png"/>
  <Override PartName="/word/media/rId29.png" ContentType="image/png"/>
  <Override PartName="/word/media/rId36.png" ContentType="image/png"/>
  <Override PartName="/word/media/rId44.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Sammenhengende tjenester for barn og unge - prosjektbeskrivelse</w:t>
      </w:r>
    </w:p>
    <w:p>
      <w:pPr>
        <w:pStyle w:val="BodyText"/>
      </w:pPr>
      <w:r>
        <w:t xml:space="preserve">Dette dokumentet gjenspeiler den tekstlige delen av medfinansieringssøknad med tittel «Felles løft – Sammenhengende tjenester for barn og unge» som levert i Excel søknadsmal 8. august 2025.</w:t>
      </w:r>
    </w:p>
    <w:p>
      <w:pPr>
        <w:pStyle w:val="BodyText"/>
      </w:pPr>
      <w:r>
        <w:t xml:space="preserve">Det er dessuten her tatt med et innledende kapittel med en oppsummering som ikke passer inn i søknadsmalen.</w:t>
      </w:r>
      <w:r>
        <w:t xml:space="preserve"> </w:t>
      </w:r>
      <w:r>
        <w:rPr>
          <w:b/>
          <w:bCs/>
        </w:rPr>
        <w:t xml:space="preserve">Gjerne les oppsummeringen først, enten som introduksjon eller som erstatning for å lese hele teksten</w:t>
      </w:r>
      <w:r>
        <w:t xml:space="preserve">.</w:t>
      </w:r>
    </w:p>
    <w:p>
      <w:pPr>
        <w:pStyle w:val="BodyText"/>
      </w:pPr>
      <w:r>
        <w:t xml:space="preserve">Søknaden er stort sett utarbeidet i juli 2025, mot 10. august som kort frist etter at initiativtakerne til søknaden ble kjent med at det var åpnet for søknad mot restmidler i medfinansieringsordningen medio juni.</w:t>
      </w:r>
    </w:p>
    <w:p>
      <w:pPr>
        <w:pStyle w:val="BodyText"/>
      </w:pPr>
      <w:r>
        <w:drawing>
          <wp:inline>
            <wp:extent cx="2982770" cy="2989384"/>
            <wp:effectExtent b="0" l="0" r="0" t="0"/>
            <wp:docPr descr="Et bilde som inneholder klær, sko, gutt, mann KI-generert innhold kan være feil." title="" id="10" name="Picture"/>
            <a:graphic>
              <a:graphicData uri="http://schemas.openxmlformats.org/drawingml/2006/picture">
                <pic:pic>
                  <pic:nvPicPr>
                    <pic:cNvPr descr="media/image1.png" id="11" name="Picture"/>
                    <pic:cNvPicPr>
                      <a:picLocks noChangeArrowheads="1" noChangeAspect="1"/>
                    </pic:cNvPicPr>
                  </pic:nvPicPr>
                  <pic:blipFill>
                    <a:blip r:embed="rId9"/>
                    <a:stretch>
                      <a:fillRect/>
                    </a:stretch>
                  </pic:blipFill>
                  <pic:spPr bwMode="auto">
                    <a:xfrm>
                      <a:off x="0" y="0"/>
                      <a:ext cx="2982770" cy="2989384"/>
                    </a:xfrm>
                    <a:prstGeom prst="rect">
                      <a:avLst/>
                    </a:prstGeom>
                    <a:noFill/>
                    <a:ln w="9525">
                      <a:noFill/>
                      <a:headEnd/>
                      <a:tailEnd/>
                    </a:ln>
                  </pic:spPr>
                </pic:pic>
              </a:graphicData>
            </a:graphic>
          </wp:inline>
        </w:drawing>
      </w:r>
    </w:p>
    <w:p>
      <w:pPr>
        <w:pStyle w:val="BodyText"/>
      </w:pPr>
      <w:r>
        <w:drawing>
          <wp:inline>
            <wp:extent cx="5334000" cy="1102611"/>
            <wp:effectExtent b="0" l="0" r="0" t="0"/>
            <wp:docPr descr="" title="" id="13" name="Picture"/>
            <a:graphic>
              <a:graphicData uri="http://schemas.openxmlformats.org/drawingml/2006/picture">
                <pic:pic>
                  <pic:nvPicPr>
                    <pic:cNvPr descr="/media/image11.png" id="14" name="Picture"/>
                    <pic:cNvPicPr>
                      <a:picLocks noChangeArrowheads="1" noChangeAspect="1"/>
                    </pic:cNvPicPr>
                  </pic:nvPicPr>
                  <pic:blipFill>
                    <a:blip r:embed="rId12"/>
                    <a:stretch>
                      <a:fillRect/>
                    </a:stretch>
                  </pic:blipFill>
                  <pic:spPr bwMode="auto">
                    <a:xfrm>
                      <a:off x="0" y="0"/>
                      <a:ext cx="5334000" cy="1102611"/>
                    </a:xfrm>
                    <a:prstGeom prst="rect">
                      <a:avLst/>
                    </a:prstGeom>
                    <a:noFill/>
                    <a:ln w="9525">
                      <a:noFill/>
                      <a:headEnd/>
                      <a:tailEnd/>
                    </a:ln>
                  </pic:spPr>
                </pic:pic>
              </a:graphicData>
            </a:graphic>
          </wp:inline>
        </w:drawing>
      </w:r>
    </w:p>
    <w:bookmarkStart w:id="33" w:name="oppsummering-ikke-del-av-søknaden"/>
    <w:p>
      <w:pPr>
        <w:pStyle w:val="Heading1"/>
      </w:pPr>
      <w:r>
        <w:t xml:space="preserve">OPPSUMMERING (ikke del av søknaden)</w:t>
      </w:r>
      <w:r>
        <w:t xml:space="preserve"> </w:t>
      </w:r>
    </w:p>
    <w:p>
      <w:pPr>
        <w:pStyle w:val="FirstParagraph"/>
      </w:pPr>
      <w:r>
        <w:t xml:space="preserve">Her følger en oppsummering av søknaden. Merk: Dette er ikke del av selve søknaden – søknadsmalen har ikke rom for en slik oppsummering.</w:t>
      </w:r>
    </w:p>
    <w:p>
      <w:pPr>
        <w:pStyle w:val="BodyText"/>
      </w:pPr>
      <w:r>
        <w:t xml:space="preserve">Prosjekttittel:</w:t>
      </w:r>
      <w:r>
        <w:t xml:space="preserve"> </w:t>
      </w:r>
      <w:r>
        <w:rPr>
          <w:b/>
          <w:bCs/>
        </w:rPr>
        <w:t xml:space="preserve">Felles løft: sammenhengende tjenester for barn og unge</w:t>
      </w:r>
    </w:p>
    <w:p>
      <w:pPr>
        <w:pStyle w:val="BodyText"/>
      </w:pPr>
      <w:r>
        <w:t xml:space="preserve">Budsjett og tidsperiode: Vi søker om ca. 35 MNOK som 50% støtte i en prosjektperiode som vil løpe fra oktober 2025 og ut 2027.</w:t>
      </w:r>
    </w:p>
    <w:p>
      <w:pPr>
        <w:pStyle w:val="BodyText"/>
      </w:pPr>
      <w:r>
        <w:t xml:space="preserve">Hovedsøker: Digdir</w:t>
      </w:r>
    </w:p>
    <w:p>
      <w:pPr>
        <w:pStyle w:val="BodyText"/>
      </w:pPr>
      <w:r>
        <w:t xml:space="preserve">Partnere: KS/KS Digital, STAF, Udir*, HK-dir, Sikt, Novari, SSB.</w:t>
      </w:r>
    </w:p>
    <w:p>
      <w:pPr>
        <w:pStyle w:val="BodyText"/>
      </w:pPr>
      <w:r>
        <w:t xml:space="preserve">Forankring: Budsjettet er forankret på direktørnivå hos prosjektpartnerne (intensjonsavtaler).</w:t>
      </w:r>
    </w:p>
    <w:bookmarkStart w:id="20" w:name="bakgrunn"/>
    <w:p>
      <w:pPr>
        <w:pStyle w:val="Heading2"/>
      </w:pPr>
      <w:r>
        <w:t xml:space="preserve">Bakgrunn:</w:t>
      </w:r>
    </w:p>
    <w:p>
      <w:pPr>
        <w:pStyle w:val="FirstParagraph"/>
      </w:pPr>
      <w:r>
        <w:t xml:space="preserve">Prosjektet bygger videre på tidligere arbeid og samarbeid om digitalisering, særlig innen arkitektur og fellesløsninger for datadeling og tjenesteutvikling, og adresserer noen av de samhandlingsutfordringene som fremdeles gjenstår - på tvers av sektorer og områder, men med søkelys på området barn og unge – fra barnehage til høyere utdanning.</w:t>
      </w:r>
    </w:p>
    <w:p>
      <w:pPr>
        <w:pStyle w:val="BodyText"/>
      </w:pPr>
      <w:r>
        <w:t xml:space="preserve">Dette framgår av Digitaliseringsstrategien 2024–2030 og flere av de rapportene vi omtaler i søknaden. Digitaliseringsstrategien sier blant annet: «</w:t>
      </w:r>
      <w:r>
        <w:rPr>
          <w:i/>
          <w:iCs/>
        </w:rPr>
        <w:t xml:space="preserve">Bedre samarbeid om digitalisering på tvers av sektorer og forvaltningsnivåer er nødvendig for effektiv ressursutnyttelse og bedre tjenester. Regjeringen vil derfor styrke samarbeidet med KS om digitalisering på tvers av sektorer og forvaltningsnivåer.</w:t>
      </w:r>
      <w:r>
        <w:t xml:space="preserve">» Videre pekes det på særskilte utfordringer i kommunesektoren, som variasjon i digital modenhet, begrensede ressurser og behov for bedre tilrettelegging for at kommuner kan gjenbruke nasjonale data og digitale ressurser i egen tjenesteutvikling - samtidig som staten må kunne bruke data fra kommunene.</w:t>
      </w:r>
    </w:p>
    <w:p>
      <w:pPr>
        <w:pStyle w:val="BodyText"/>
      </w:pPr>
      <w:r>
        <w:t xml:space="preserve">Vårt prosjekt kan leses som et direkte svar på digitaliseringsstrategien. Dette er et samarbeidsprosjekt som adresserer utfordringene samlet, på tvers av kommuner, fylkeskommuner og statlige virksomheter. Innen området barn og unge – fra barnehage til høyere utdanning peker vi også på</w:t>
      </w:r>
      <w:r>
        <w:t xml:space="preserve"> </w:t>
      </w:r>
      <w:r>
        <w:rPr>
          <w:i/>
          <w:iCs/>
        </w:rPr>
        <w:t xml:space="preserve">Strategi for digital kompetanse og infrastruktur i barnehage og skole</w:t>
      </w:r>
      <w:r>
        <w:t xml:space="preserve">, som fremhever betydningen av standardisering av data og programgrensesnitt for å få mer brukerorientert og effektiv deling av informasjon.</w:t>
      </w:r>
    </w:p>
    <w:p>
      <w:pPr>
        <w:pStyle w:val="BodyText"/>
      </w:pPr>
      <w:r>
        <w:t xml:space="preserve">Medfinansiering vil akkurat nå være en utløsende faktor for å utnytte momentet i pågående samarbeid og komme i gang med dette prosjektet.</w:t>
      </w:r>
    </w:p>
    <w:p>
      <w:pPr>
        <w:pStyle w:val="BodyText"/>
      </w:pPr>
      <w:r>
        <w:drawing>
          <wp:inline>
            <wp:extent cx="1882775" cy="275559"/>
            <wp:effectExtent b="0" l="0" r="0" t="0"/>
            <wp:docPr descr="Et bilde som inneholder Font, tekst, hvit, typografi KI-generert innhold kan være feil." title="" id="16" name="Picture"/>
            <a:graphic>
              <a:graphicData uri="http://schemas.openxmlformats.org/drawingml/2006/picture">
                <pic:pic>
                  <pic:nvPicPr>
                    <pic:cNvPr descr="media/image12.png" id="17" name="Picture"/>
                    <pic:cNvPicPr>
                      <a:picLocks noChangeArrowheads="1" noChangeAspect="1"/>
                    </pic:cNvPicPr>
                  </pic:nvPicPr>
                  <pic:blipFill>
                    <a:blip r:embed="rId15"/>
                    <a:stretch>
                      <a:fillRect/>
                    </a:stretch>
                  </pic:blipFill>
                  <pic:spPr bwMode="auto">
                    <a:xfrm>
                      <a:off x="0" y="0"/>
                      <a:ext cx="1882775" cy="275559"/>
                    </a:xfrm>
                    <a:prstGeom prst="rect">
                      <a:avLst/>
                    </a:prstGeom>
                    <a:noFill/>
                    <a:ln w="9525">
                      <a:noFill/>
                      <a:headEnd/>
                      <a:tailEnd/>
                    </a:ln>
                  </pic:spPr>
                </pic:pic>
              </a:graphicData>
            </a:graphic>
          </wp:inline>
        </w:drawing>
      </w:r>
      <w:r>
        <w:drawing>
          <wp:inline>
            <wp:extent cx="2040856" cy="299142"/>
            <wp:effectExtent b="0" l="0" r="0" t="0"/>
            <wp:docPr descr="Et bilde som inneholder Font, tekst, hvit, typografi KI-generert innhold kan være feil." title="" id="18" name="Picture"/>
            <a:graphic>
              <a:graphicData uri="http://schemas.openxmlformats.org/drawingml/2006/picture">
                <pic:pic>
                  <pic:nvPicPr>
                    <pic:cNvPr descr="media/image12.png" id="19" name="Picture"/>
                    <pic:cNvPicPr>
                      <a:picLocks noChangeArrowheads="1" noChangeAspect="1"/>
                    </pic:cNvPicPr>
                  </pic:nvPicPr>
                  <pic:blipFill>
                    <a:blip r:embed="rId15"/>
                    <a:stretch>
                      <a:fillRect/>
                    </a:stretch>
                  </pic:blipFill>
                  <pic:spPr bwMode="auto">
                    <a:xfrm>
                      <a:off x="0" y="0"/>
                      <a:ext cx="2040856" cy="299142"/>
                    </a:xfrm>
                    <a:prstGeom prst="rect">
                      <a:avLst/>
                    </a:prstGeom>
                    <a:noFill/>
                    <a:ln w="9525">
                      <a:noFill/>
                      <a:headEnd/>
                      <a:tailEnd/>
                    </a:ln>
                  </pic:spPr>
                </pic:pic>
              </a:graphicData>
            </a:graphic>
          </wp:inline>
        </w:drawing>
      </w:r>
    </w:p>
    <w:bookmarkEnd w:id="20"/>
    <w:bookmarkStart w:id="21" w:name="formål-og-ambisjon"/>
    <w:p>
      <w:pPr>
        <w:pStyle w:val="Heading2"/>
      </w:pPr>
      <w:r>
        <w:t xml:space="preserve">Formål og ambisjon:</w:t>
      </w:r>
    </w:p>
    <w:p>
      <w:pPr>
        <w:pStyle w:val="FirstParagraph"/>
      </w:pPr>
      <w:r>
        <w:t xml:space="preserve">Formålet er å etablere et felles fundament for samarbeid og kunnskap om datadrevet tjenesteutvikling og sømløse brukerreiser på tvers av forvaltningsnivåer og sektorer, med pilotering ut fra området barn og unge – fra barnehage til høyere utdanning. ​</w:t>
      </w:r>
    </w:p>
    <w:p>
      <w:pPr>
        <w:pStyle w:val="BodyText"/>
      </w:pPr>
      <w:r>
        <w:t xml:space="preserve">Ambisjonen er bred systematisk anvendelse og videreutvikling av prosjektets produkter for alle tjenester som det offentlige har ansvar for. ​</w:t>
      </w:r>
    </w:p>
    <w:p>
      <w:pPr>
        <w:pStyle w:val="BodyText"/>
      </w:pPr>
      <w:r>
        <w:t xml:space="preserve">Gjennom praktisk utprøving og kompetansebygging skal prosjektet legge grunnlag for at</w:t>
      </w:r>
      <w:r>
        <w:t xml:space="preserve"> </w:t>
      </w:r>
      <w:r>
        <w:rPr>
          <w:i/>
          <w:iCs/>
        </w:rPr>
        <w:t xml:space="preserve">felles fundamentet</w:t>
      </w:r>
      <w:r>
        <w:t xml:space="preserve"> </w:t>
      </w:r>
      <w:r>
        <w:t xml:space="preserve">er modent og kjent, slik at det blir brukt og bygget videre på, også på andre områder.</w:t>
      </w:r>
    </w:p>
    <w:p>
      <w:pPr>
        <w:pStyle w:val="BodyText"/>
      </w:pPr>
      <w:r>
        <w:t xml:space="preserve">Prosjektet vil bygge på eksisterende erfaringer og et utstrakt samarbeid om datadeling og sammenhengende tjenester i offentlig sektor.</w:t>
      </w:r>
    </w:p>
    <w:p>
      <w:pPr>
        <w:pStyle w:val="BodyText"/>
      </w:pPr>
      <w:r>
        <w:t xml:space="preserve">Det tas sikte på å hente ut betydelige samfunnsøkonomiske gevinster som følge av prosjektets produkter, målt gjennom en tiårsperiode.</w:t>
      </w:r>
    </w:p>
    <w:bookmarkEnd w:id="21"/>
    <w:bookmarkStart w:id="22" w:name="om-prosjektets-avgrensing"/>
    <w:p>
      <w:pPr>
        <w:pStyle w:val="Heading2"/>
      </w:pPr>
      <w:r>
        <w:t xml:space="preserve">Om prosjektets avgrensing:</w:t>
      </w:r>
    </w:p>
    <w:p>
      <w:pPr>
        <w:pStyle w:val="FirstParagraph"/>
      </w:pPr>
      <w:r>
        <w:t xml:space="preserve">Dette prosjektet avgrenses til utvalgte tjenester og brukstilfeller i et avgrenset område av barn og unge – fra barnehage til høyere utdanning, samt utvalgte grenseflater mot andre områder - slik som sosiale tjenester, helse og arbeidsliv. Gevinstvurderingene i denne søknaden gjøres for dette området, samtidig som det skal legges til rette for gevinster ved skalering til andre områder.</w:t>
      </w:r>
    </w:p>
    <w:bookmarkEnd w:id="22"/>
    <w:bookmarkStart w:id="23" w:name="prosjektets-produkter"/>
    <w:p>
      <w:pPr>
        <w:pStyle w:val="Heading2"/>
      </w:pPr>
      <w:r>
        <w:t xml:space="preserve">Prosjektets produkter:</w:t>
      </w:r>
      <w:r>
        <w:t xml:space="preserve"> </w:t>
      </w:r>
    </w:p>
    <w:p>
      <w:pPr>
        <w:pStyle w:val="FirstParagraph"/>
      </w:pPr>
      <w:r>
        <w:t xml:space="preserve">Prosjektet har definert følgende hovedprodukter, som vil utvikles iterativt gjennom prosjektløpet:</w:t>
      </w:r>
    </w:p>
    <w:p>
      <w:pPr>
        <w:numPr>
          <w:ilvl w:val="0"/>
          <w:numId w:val="1001"/>
        </w:numPr>
      </w:pPr>
      <w:r>
        <w:t xml:space="preserve">Rammeverk for datadrevet tjenesteutvikling, basert på valgt konsept</w:t>
      </w:r>
    </w:p>
    <w:p>
      <w:pPr>
        <w:numPr>
          <w:ilvl w:val="0"/>
          <w:numId w:val="1001"/>
        </w:numPr>
      </w:pPr>
      <w:r>
        <w:t xml:space="preserve">Felles katalogløsninger</w:t>
      </w:r>
    </w:p>
    <w:p>
      <w:pPr>
        <w:numPr>
          <w:ilvl w:val="0"/>
          <w:numId w:val="1001"/>
        </w:numPr>
      </w:pPr>
      <w:r>
        <w:t xml:space="preserve">Felles informasjonsmodeller innen barn og unge – fra barnehage til høyere utdanning</w:t>
      </w:r>
    </w:p>
    <w:p>
      <w:pPr>
        <w:numPr>
          <w:ilvl w:val="0"/>
          <w:numId w:val="1001"/>
        </w:numPr>
      </w:pPr>
      <w:r>
        <w:t xml:space="preserve">Forbedrede fellesløsninger</w:t>
      </w:r>
    </w:p>
    <w:p>
      <w:pPr>
        <w:numPr>
          <w:ilvl w:val="0"/>
          <w:numId w:val="1001"/>
        </w:numPr>
      </w:pPr>
      <w:r>
        <w:t xml:space="preserve">MVP-er og pilotering av informasjonsmodeller og tjenester innen barn og unge – fra barnehage til høyere utdanning</w:t>
      </w:r>
    </w:p>
    <w:p>
      <w:pPr>
        <w:numPr>
          <w:ilvl w:val="0"/>
          <w:numId w:val="1001"/>
        </w:numPr>
      </w:pPr>
      <w:r>
        <w:t xml:space="preserve">Innspill til regelverksendringer</w:t>
      </w:r>
    </w:p>
    <w:p>
      <w:pPr>
        <w:numPr>
          <w:ilvl w:val="0"/>
          <w:numId w:val="1001"/>
        </w:numPr>
      </w:pPr>
      <w:r>
        <w:t xml:space="preserve">Erfaringsdeling for kompetansebygging og utbredelse</w:t>
      </w:r>
    </w:p>
    <w:p>
      <w:pPr>
        <w:pStyle w:val="FirstParagraph"/>
      </w:pPr>
      <w:r>
        <w:t xml:space="preserve">Eksempler på aktuelle MVP-er/piloter (prioriteres underveis i prosjektet):</w:t>
      </w:r>
    </w:p>
    <w:p>
      <w:pPr>
        <w:numPr>
          <w:ilvl w:val="0"/>
          <w:numId w:val="1002"/>
        </w:numPr>
      </w:pPr>
      <w:r>
        <w:t xml:space="preserve">Overganger mellom utdanningsnivåer og utdanningstilbud.</w:t>
      </w:r>
    </w:p>
    <w:p>
      <w:pPr>
        <w:numPr>
          <w:ilvl w:val="0"/>
          <w:numId w:val="1002"/>
        </w:numPr>
      </w:pPr>
      <w:r>
        <w:t xml:space="preserve">Samspill med andre kommunale tjenester som barnevern, PPT, DigiUng.</w:t>
      </w:r>
    </w:p>
    <w:p>
      <w:pPr>
        <w:numPr>
          <w:ilvl w:val="0"/>
          <w:numId w:val="1002"/>
        </w:numPr>
      </w:pPr>
      <w:r>
        <w:t xml:space="preserve">Grenseflate mot arbeidslivet gjennom verifiserbare vitnemål og kompetansebevis.</w:t>
      </w:r>
    </w:p>
    <w:p>
      <w:pPr>
        <w:numPr>
          <w:ilvl w:val="0"/>
          <w:numId w:val="1002"/>
        </w:numPr>
      </w:pPr>
      <w:r>
        <w:t xml:space="preserve">Digital dialog og økt involvering mellom barnehage/skole og hjemmet.</w:t>
      </w:r>
    </w:p>
    <w:p>
      <w:pPr>
        <w:numPr>
          <w:ilvl w:val="0"/>
          <w:numId w:val="1002"/>
        </w:numPr>
      </w:pPr>
      <w:r>
        <w:t xml:space="preserve">Effektive anskaffelser</w:t>
      </w:r>
    </w:p>
    <w:p>
      <w:pPr>
        <w:numPr>
          <w:ilvl w:val="0"/>
          <w:numId w:val="1002"/>
        </w:numPr>
      </w:pPr>
      <w:r>
        <w:t xml:space="preserve">Hendelsesdrevet og automatisert rapportering, f.eks. rapportering kommune-stat.</w:t>
      </w:r>
    </w:p>
    <w:p>
      <w:pPr>
        <w:numPr>
          <w:ilvl w:val="0"/>
          <w:numId w:val="1002"/>
        </w:numPr>
      </w:pPr>
      <w:r>
        <w:t xml:space="preserve">KI-løsninger basert på strukturerte, felles informasjonsmodeller, i samarbeid med andre KI-initiativ.</w:t>
      </w:r>
      <w:r>
        <w:br/>
      </w:r>
    </w:p>
    <w:bookmarkEnd w:id="23"/>
    <w:bookmarkStart w:id="27" w:name="Xe0e71c6fb199f43cbf22041c4650f3009652672"/>
    <w:p>
      <w:pPr>
        <w:pStyle w:val="Heading2"/>
      </w:pPr>
      <w:r>
        <w:t xml:space="preserve">Hovedelementer i valgt konsept – kjernen i prosjektets innovasjon:</w:t>
      </w:r>
    </w:p>
    <w:p>
      <w:pPr>
        <w:pStyle w:val="FirstParagraph"/>
      </w:pPr>
      <w:r>
        <w:t xml:space="preserve">Innovasjonen i dette prosjektet handler ikke nødvendigvis om å finne på noe helt nytt, men først og fremst om å kombinere velprøvde teknologier og tidligere arbeid innen datadeling og tjenesteutvikling. Vi bygger da videre på blant annet Digdirs</w:t>
      </w:r>
      <w:r>
        <w:t xml:space="preserve"> </w:t>
      </w:r>
      <w:r>
        <w:rPr>
          <w:i/>
          <w:iCs/>
        </w:rPr>
        <w:t xml:space="preserve">Rammeverk for informasjonsforvaltning</w:t>
      </w:r>
      <w:r>
        <w:t xml:space="preserve">,</w:t>
      </w:r>
      <w:r>
        <w:t xml:space="preserve"> </w:t>
      </w:r>
      <w:r>
        <w:rPr>
          <w:i/>
          <w:iCs/>
        </w:rPr>
        <w:t xml:space="preserve">Felles økosystem</w:t>
      </w:r>
      <w:r>
        <w:t xml:space="preserve"> </w:t>
      </w:r>
      <w:r>
        <w:t xml:space="preserve">og</w:t>
      </w:r>
      <w:r>
        <w:t xml:space="preserve"> </w:t>
      </w:r>
      <w:r>
        <w:rPr>
          <w:i/>
          <w:iCs/>
        </w:rPr>
        <w:t xml:space="preserve">Samarbeidsmodell for sammenhengende tjenester</w:t>
      </w:r>
      <w:r>
        <w:t xml:space="preserve">.</w:t>
      </w:r>
    </w:p>
    <w:p>
      <w:pPr>
        <w:numPr>
          <w:ilvl w:val="0"/>
          <w:numId w:val="1003"/>
        </w:numPr>
      </w:pPr>
      <w:r>
        <w:t xml:space="preserve">Teknisk arkitektur: Bygger på erfaringer fra blant annet Novaris FINT, som i flere år har demonstrert et konsept som fungerer i praksis for fylkeskommunene. Det valgte konseptet legger opp til at nye løsninger og tjenester utvikles mot et fast «mellomlag», frikoplet fra hvor eller hvordan data er lagret. Samtidig nås data der de er lagret, uten behov for lokale kopier. Dette gir en rekke fordeler, deriblant betydelig kostnadsreduksjon gjennom redusert antall integrasjoner og gjenbruk av løsninger. Et slikt mellomlag kan også skjerme sluttbrukerne fra å måtte forholde seg til et broket og skiftende landskap av aktører, tekniske tjenester og systemer.</w:t>
      </w:r>
    </w:p>
    <w:p>
      <w:pPr>
        <w:numPr>
          <w:ilvl w:val="0"/>
          <w:numId w:val="1003"/>
        </w:numPr>
      </w:pPr>
      <w:r>
        <w:t xml:space="preserve">Helhetlig og strukturert tilnærming: Konseptet forutsetter en mer strukturert tilnærming til innhold i nasjonale kataloger for begreper, datasett, tjenester og hendelser enn det som har vært vanlig praksis så langt. Felles informasjonsmodeller og standardiserte utvekslingsformater defineres i sammenheng med tjenestene i en felles nasjonal tjenestekatalog – ikke på tilfeldig basis.</w:t>
      </w:r>
    </w:p>
    <w:p>
      <w:pPr>
        <w:numPr>
          <w:ilvl w:val="0"/>
          <w:numId w:val="1003"/>
        </w:numPr>
      </w:pPr>
      <w:r>
        <w:t xml:space="preserve">Samarbeidsmodell: Konseptet forutsetter samarbeid på tvers av forvaltningsnivåer og sektorer med avklarte roller og ansvar. Samlet utgjør partnerne en kjerne i det valgte området barn og unge - i hele løpet fra barnehage til høyere utdanning. Aktører som er tilgrensende til oppvekst, eksempelvis Digiung og barnevern, vil bli involvert underveis ut fra løpende prioritering av brukstilfeller og tjenester for pilotering.</w:t>
      </w:r>
    </w:p>
    <w:p>
      <w:pPr>
        <w:pStyle w:val="BlockText"/>
      </w:pPr>
      <w:r>
        <w:t xml:space="preserve">Illustrasjon av teknisk arkitektur - betydelig kostnadsreduksjon gjennom redusert antall integrasjoner:</w:t>
      </w:r>
    </w:p>
    <w:p>
      <w:pPr>
        <w:pStyle w:val="BlockText"/>
      </w:pPr>
      <w:r>
        <w:drawing>
          <wp:inline>
            <wp:extent cx="5334000" cy="1854371"/>
            <wp:effectExtent b="0" l="0" r="0" t="0"/>
            <wp:docPr descr="Et bilde som inneholder diagram, line, plan, Teknisk tegning KI-generert innhold kan være feil." title="" id="25" name="Picture"/>
            <a:graphic>
              <a:graphicData uri="http://schemas.openxmlformats.org/drawingml/2006/picture">
                <pic:pic>
                  <pic:nvPicPr>
                    <pic:cNvPr descr="media/image13.png" id="26" name="Picture"/>
                    <pic:cNvPicPr>
                      <a:picLocks noChangeArrowheads="1" noChangeAspect="1"/>
                    </pic:cNvPicPr>
                  </pic:nvPicPr>
                  <pic:blipFill>
                    <a:blip r:embed="rId24"/>
                    <a:stretch>
                      <a:fillRect/>
                    </a:stretch>
                  </pic:blipFill>
                  <pic:spPr bwMode="auto">
                    <a:xfrm>
                      <a:off x="0" y="0"/>
                      <a:ext cx="5334000" cy="1854371"/>
                    </a:xfrm>
                    <a:prstGeom prst="rect">
                      <a:avLst/>
                    </a:prstGeom>
                    <a:noFill/>
                    <a:ln w="9525">
                      <a:noFill/>
                      <a:headEnd/>
                      <a:tailEnd/>
                    </a:ln>
                  </pic:spPr>
                </pic:pic>
              </a:graphicData>
            </a:graphic>
          </wp:inline>
        </w:drawing>
      </w:r>
    </w:p>
    <w:bookmarkEnd w:id="27"/>
    <w:bookmarkStart w:id="28" w:name="mål-for-videre-arbeid"/>
    <w:p>
      <w:pPr>
        <w:pStyle w:val="Heading2"/>
      </w:pPr>
      <w:r>
        <w:t xml:space="preserve">Mål for videre arbeid:</w:t>
      </w:r>
    </w:p>
    <w:p>
      <w:pPr>
        <w:pStyle w:val="FirstParagraph"/>
      </w:pPr>
      <w:r>
        <w:t xml:space="preserve">Prosjektets produkter skal legge grunnlag for videre arbeid i andre prosjekter – både underveis i prosjektperioden og i bakkant av dette prosjektet, særlig med målsetninger om:</w:t>
      </w:r>
    </w:p>
    <w:p>
      <w:pPr>
        <w:numPr>
          <w:ilvl w:val="0"/>
          <w:numId w:val="1004"/>
        </w:numPr>
      </w:pPr>
      <w:r>
        <w:t xml:space="preserve">Felles informasjonsmodeller og standardiserte grensesnitt som på sikt dekker «alle» områder og sektorer.</w:t>
      </w:r>
    </w:p>
    <w:p>
      <w:pPr>
        <w:numPr>
          <w:ilvl w:val="0"/>
          <w:numId w:val="1004"/>
        </w:numPr>
      </w:pPr>
      <w:r>
        <w:t xml:space="preserve">Gjenbrukbare løsninger og fellesløsninger i stedet for lokal skreddersøm av fagsystemer.</w:t>
      </w:r>
    </w:p>
    <w:p>
      <w:pPr>
        <w:numPr>
          <w:ilvl w:val="0"/>
          <w:numId w:val="1004"/>
        </w:numPr>
      </w:pPr>
      <w:r>
        <w:t xml:space="preserve">Enklere brukerreiser for ansatte, foresatte, elever og studenter gjennom læringsløpet - fra barnehage til grunnskole, videregående og høyere utdanning.</w:t>
      </w:r>
    </w:p>
    <w:p>
      <w:pPr>
        <w:numPr>
          <w:ilvl w:val="0"/>
          <w:numId w:val="1004"/>
        </w:numPr>
      </w:pPr>
      <w:r>
        <w:t xml:space="preserve">Samarbeid og innovasjon på tvers av offentlige og private aktører i økosystemet, og økt konkurranse i markedet.</w:t>
      </w:r>
    </w:p>
    <w:p>
      <w:pPr>
        <w:numPr>
          <w:ilvl w:val="0"/>
          <w:numId w:val="1004"/>
        </w:numPr>
      </w:pPr>
      <w:r>
        <w:t xml:space="preserve">Langsiktige mål om livslang læring m.m.</w:t>
      </w:r>
    </w:p>
    <w:p>
      <w:pPr>
        <w:numPr>
          <w:ilvl w:val="0"/>
          <w:numId w:val="1004"/>
        </w:numPr>
      </w:pPr>
      <w:r>
        <w:t xml:space="preserve">Skalering og overføring av prosjektets produkter til andre områder og sektorer, etter pilotering i dette prosjektet.</w:t>
      </w:r>
    </w:p>
    <w:bookmarkEnd w:id="28"/>
    <w:bookmarkStart w:id="32" w:name="kritiske-suksessfaktorer"/>
    <w:p>
      <w:pPr>
        <w:pStyle w:val="Heading2"/>
      </w:pPr>
      <w:r>
        <w:t xml:space="preserve">Kritiske suksessfaktorer:</w:t>
      </w:r>
    </w:p>
    <w:p>
      <w:pPr>
        <w:pStyle w:val="FirstParagraph"/>
      </w:pPr>
      <w:r>
        <w:t xml:space="preserve">Prosjektet er ambisiøst, med mål om store samfunnsøkonomiske gevinster og skalering til andre områder enn barn og unge – fra barnehage til høyere utdanning.</w:t>
      </w:r>
    </w:p>
    <w:p>
      <w:pPr>
        <w:pStyle w:val="BodyText"/>
      </w:pPr>
      <w:r>
        <w:t xml:space="preserve">Erfaring viser at arbeidet med datadeling og sammenhengende tjenester er komplisert – det er ingen selvfølge at et godt konsept gir et godt resultat. Kritiske suksessfaktorer er:</w:t>
      </w:r>
    </w:p>
    <w:p>
      <w:pPr>
        <w:numPr>
          <w:ilvl w:val="0"/>
          <w:numId w:val="1005"/>
        </w:numPr>
      </w:pPr>
      <w:r>
        <w:t xml:space="preserve">At det bygges på eksisterende beste praksis og erfaringer.</w:t>
      </w:r>
    </w:p>
    <w:p>
      <w:pPr>
        <w:numPr>
          <w:ilvl w:val="0"/>
          <w:numId w:val="1005"/>
        </w:numPr>
      </w:pPr>
      <w:r>
        <w:t xml:space="preserve">Strategisk forankring og reell involvering - samordning og styring på tvers av forvaltningsnivåer gjennom aktuelle styringsorganer.</w:t>
      </w:r>
    </w:p>
    <w:p>
      <w:pPr>
        <w:numPr>
          <w:ilvl w:val="0"/>
          <w:numId w:val="1005"/>
        </w:numPr>
      </w:pPr>
      <w:r>
        <w:t xml:space="preserve">Kvalitet i prosjektets produkter – uten dette vil forsøk på involvering og skalering feile.</w:t>
      </w:r>
    </w:p>
    <w:p>
      <w:pPr>
        <w:numPr>
          <w:ilvl w:val="0"/>
          <w:numId w:val="1005"/>
        </w:numPr>
      </w:pPr>
      <w:r>
        <w:t xml:space="preserve">At prosjektets innspill til endring av lovverk for å fjerne juridiske hindre følges opp.</w:t>
      </w:r>
    </w:p>
    <w:p>
      <w:pPr>
        <w:numPr>
          <w:ilvl w:val="0"/>
          <w:numId w:val="1005"/>
        </w:numPr>
      </w:pPr>
      <w:r>
        <w:t xml:space="preserve">Helhetlig tilnærming – ikke som en skrivebordsøvelse, men gjennom praktisk utprøving.</w:t>
      </w:r>
    </w:p>
    <w:p>
      <w:pPr>
        <w:numPr>
          <w:ilvl w:val="0"/>
          <w:numId w:val="1005"/>
        </w:numPr>
      </w:pPr>
      <w:r>
        <w:t xml:space="preserve">Praktisk samordning med relaterte initiativ – unngå unødig arbeid.</w:t>
      </w:r>
    </w:p>
    <w:p>
      <w:pPr>
        <w:numPr>
          <w:ilvl w:val="0"/>
          <w:numId w:val="1005"/>
        </w:numPr>
      </w:pPr>
      <w:r>
        <w:t xml:space="preserve">At vi engasjerer de beste ressursene – både fra partnere og andre.</w:t>
      </w:r>
    </w:p>
    <w:p>
      <w:pPr>
        <w:numPr>
          <w:ilvl w:val="0"/>
          <w:numId w:val="1005"/>
        </w:numPr>
      </w:pPr>
      <w:r>
        <w:t xml:space="preserve">Samarbeid – internt, nasjonalt og internasjonalt.</w:t>
      </w:r>
    </w:p>
    <w:p>
      <w:pPr>
        <w:numPr>
          <w:ilvl w:val="0"/>
          <w:numId w:val="1005"/>
        </w:numPr>
      </w:pPr>
      <w:r>
        <w:t xml:space="preserve">Løpende erfaringsdeling for kompetansebygging og utbredelse.</w:t>
      </w:r>
    </w:p>
    <w:p>
      <w:pPr>
        <w:pStyle w:val="BlockText"/>
      </w:pPr>
      <w:r>
        <w:drawing>
          <wp:inline>
            <wp:extent cx="2297119" cy="2302210"/>
            <wp:effectExtent b="0" l="0" r="0" t="0"/>
            <wp:docPr descr="Et bilde som inneholder klær, sko, gutt, mann KI-generert innhold kan være feil." title="" id="30" name="Picture"/>
            <a:graphic>
              <a:graphicData uri="http://schemas.openxmlformats.org/drawingml/2006/picture">
                <pic:pic>
                  <pic:nvPicPr>
                    <pic:cNvPr descr="media/image14.png" id="31" name="Picture"/>
                    <pic:cNvPicPr>
                      <a:picLocks noChangeArrowheads="1" noChangeAspect="1"/>
                    </pic:cNvPicPr>
                  </pic:nvPicPr>
                  <pic:blipFill>
                    <a:blip r:embed="rId29"/>
                    <a:stretch>
                      <a:fillRect/>
                    </a:stretch>
                  </pic:blipFill>
                  <pic:spPr bwMode="auto">
                    <a:xfrm>
                      <a:off x="0" y="0"/>
                      <a:ext cx="2297119" cy="2302210"/>
                    </a:xfrm>
                    <a:prstGeom prst="rect">
                      <a:avLst/>
                    </a:prstGeom>
                    <a:noFill/>
                    <a:ln w="9525">
                      <a:noFill/>
                      <a:headEnd/>
                      <a:tailEnd/>
                    </a:ln>
                  </pic:spPr>
                </pic:pic>
              </a:graphicData>
            </a:graphic>
          </wp:inline>
        </w:drawing>
      </w:r>
    </w:p>
    <w:bookmarkEnd w:id="32"/>
    <w:bookmarkEnd w:id="33"/>
    <w:bookmarkStart w:id="34" w:name="generell-informasjon"/>
    <w:p>
      <w:pPr>
        <w:pStyle w:val="Heading1"/>
      </w:pPr>
      <w:r>
        <w:t xml:space="preserve">Generell informasjon</w:t>
      </w:r>
    </w:p>
    <w:p>
      <w:pPr>
        <w:pStyle w:val="FirstParagraph"/>
      </w:pPr>
      <w:r>
        <w:t xml:space="preserve">Navn på prosjektet:</w:t>
      </w:r>
      <w:r>
        <w:t xml:space="preserve"> </w:t>
      </w:r>
      <w:r>
        <w:rPr>
          <w:b/>
          <w:bCs/>
        </w:rPr>
        <w:t xml:space="preserve">Felles løft: Sammenhengende tjenester for barn og unge</w:t>
      </w:r>
    </w:p>
    <w:p>
      <w:pPr>
        <w:pStyle w:val="BodyText"/>
      </w:pPr>
      <w:r>
        <w:t xml:space="preserve">Hovedsøker: Digdir</w:t>
      </w:r>
    </w:p>
    <w:p>
      <w:pPr>
        <w:pStyle w:val="BodyText"/>
      </w:pPr>
      <w:r>
        <w:t xml:space="preserve">Prosjektets varighet: 3 regnskapsår, med oppstart ca. okt. 2025 (dvs. ca. 27 mnd. )</w:t>
      </w:r>
    </w:p>
    <w:bookmarkEnd w:id="34"/>
    <w:bookmarkStart w:id="35" w:name="søknadsbeløp"/>
    <w:p>
      <w:pPr>
        <w:pStyle w:val="Heading1"/>
      </w:pPr>
      <w:r>
        <w:t xml:space="preserve">Søknadsbeløp</w:t>
      </w:r>
      <w:r>
        <w:t xml:space="preserve"> </w:t>
      </w:r>
    </w:p>
    <w:p>
      <w:pPr>
        <w:pStyle w:val="FirstParagraph"/>
      </w:pPr>
      <w:r>
        <w:t xml:space="preserve">Samlet beløp det søkes om: Ca. 35 MNOK (nøyaktig beløp føres inn i søknadsskjemaet).</w:t>
      </w:r>
    </w:p>
    <w:p>
      <w:pPr>
        <w:pStyle w:val="BodyText"/>
      </w:pPr>
      <w:r>
        <w:t xml:space="preserve">kapitttel</w:t>
      </w:r>
    </w:p>
    <w:bookmarkEnd w:id="35"/>
    <w:bookmarkStart w:id="39" w:name="prosjektkostnad-og-planlagt-finansiering"/>
    <w:p>
      <w:pPr>
        <w:pStyle w:val="Heading1"/>
      </w:pPr>
      <w:r>
        <w:t xml:space="preserve">Prosjektkostnad og planlagt finansiering</w:t>
      </w:r>
    </w:p>
    <w:p>
      <w:pPr>
        <w:pStyle w:val="FirstParagraph"/>
      </w:pPr>
      <w:r>
        <w:t xml:space="preserve">Veiledning: Fordeling av finansiering og egenbidrag fra navngitte eksterne virksomheter/kommuner</w:t>
      </w:r>
    </w:p>
    <w:p>
      <w:pPr>
        <w:pStyle w:val="BodyText"/>
      </w:pPr>
      <w:r>
        <w:rPr>
          <w:i/>
          <w:iCs/>
        </w:rPr>
        <w:t xml:space="preserve">Se søknadens excel-ark, men her er et screenshot datert 29/7-25:</w:t>
      </w:r>
    </w:p>
    <w:p>
      <w:pPr>
        <w:pStyle w:val="BodyText"/>
      </w:pPr>
      <w:r>
        <w:drawing>
          <wp:inline>
            <wp:extent cx="5334000" cy="2437707"/>
            <wp:effectExtent b="0" l="0" r="0" t="0"/>
            <wp:docPr descr="Et bilde som inneholder tekst, skjermbilde, nummer, Font KI-generert innhold kan være feil." title="" id="37" name="Picture"/>
            <a:graphic>
              <a:graphicData uri="http://schemas.openxmlformats.org/drawingml/2006/picture">
                <pic:pic>
                  <pic:nvPicPr>
                    <pic:cNvPr descr="media/image15.png" id="38" name="Picture"/>
                    <pic:cNvPicPr>
                      <a:picLocks noChangeArrowheads="1" noChangeAspect="1"/>
                    </pic:cNvPicPr>
                  </pic:nvPicPr>
                  <pic:blipFill>
                    <a:blip r:embed="rId36"/>
                    <a:stretch>
                      <a:fillRect/>
                    </a:stretch>
                  </pic:blipFill>
                  <pic:spPr bwMode="auto">
                    <a:xfrm>
                      <a:off x="0" y="0"/>
                      <a:ext cx="5334000" cy="2437707"/>
                    </a:xfrm>
                    <a:prstGeom prst="rect">
                      <a:avLst/>
                    </a:prstGeom>
                    <a:noFill/>
                    <a:ln w="9525">
                      <a:noFill/>
                      <a:headEnd/>
                      <a:tailEnd/>
                    </a:ln>
                  </pic:spPr>
                </pic:pic>
              </a:graphicData>
            </a:graphic>
          </wp:inline>
        </w:drawing>
      </w:r>
    </w:p>
    <w:p>
      <w:pPr>
        <w:pStyle w:val="BodyText"/>
      </w:pPr>
      <w:r>
        <w:rPr>
          <w:i/>
          <w:iCs/>
        </w:rPr>
        <w:t xml:space="preserve">Merk: Samtlige budsjettandeler og egenbidrag er bekreftet gjennom signerte intensjonsavtaler eller egenerklæringer, med uttrykt intensjon om rask etablering av bindende avtaler, forankret på direktørnivå. Samtlige intensjonsavtaler angir også vilje til å gå inn på et lavere budsjett dersom det er nødvendig for tildeling.</w:t>
      </w:r>
    </w:p>
    <w:bookmarkEnd w:id="39"/>
    <w:bookmarkStart w:id="49" w:name="bakgrunn-og-formål"/>
    <w:p>
      <w:pPr>
        <w:pStyle w:val="Heading1"/>
      </w:pPr>
      <w:r>
        <w:t xml:space="preserve">Bakgrunn og formål</w:t>
      </w:r>
    </w:p>
    <w:p>
      <w:pPr>
        <w:pStyle w:val="FirstParagraph"/>
      </w:pPr>
      <w:r>
        <w:rPr>
          <w:i/>
          <w:iCs/>
        </w:rPr>
        <w:t xml:space="preserve">Instruks i søknadsskjemaet: Beskriv kort nåværende og framtidig situasjon og hvilke behov prosjektet skal dekke. Hva er formålet med prosjektet (eks. effektivisering, kvalitetsforbedring og nye tjenester)?</w:t>
      </w:r>
    </w:p>
    <w:bookmarkStart w:id="40" w:name="formål-og-ambisjon-1"/>
    <w:p>
      <w:pPr>
        <w:pStyle w:val="Heading2"/>
      </w:pPr>
      <w:r>
        <w:t xml:space="preserve">Formål og ambisjon:</w:t>
      </w:r>
    </w:p>
    <w:p>
      <w:pPr>
        <w:pStyle w:val="FirstParagraph"/>
      </w:pPr>
      <w:r>
        <w:rPr>
          <w:b/>
          <w:bCs/>
          <w:i/>
          <w:iCs/>
        </w:rPr>
        <w:t xml:space="preserve">Formålet er å etablere et felles fundament for samarbeid og kunnskap om datadrevet tjenesteutvikling og sømløse brukerreiser på tvers av forvaltningsnivåer og sektorer, med pilotering ut fra området barn og unge – fra barnehage til høyere utdanning.</w:t>
      </w:r>
    </w:p>
    <w:p>
      <w:pPr>
        <w:pStyle w:val="BodyText"/>
      </w:pPr>
      <w:r>
        <w:rPr>
          <w:b/>
          <w:bCs/>
          <w:i/>
          <w:iCs/>
        </w:rPr>
        <w:t xml:space="preserve">​Ambisjonen er bred systematisk anvendelse og videreutvikling av prosjektets produkter for alle tjenester som det offentlige har ansvar for. ​</w:t>
      </w:r>
    </w:p>
    <w:bookmarkEnd w:id="40"/>
    <w:bookmarkStart w:id="41" w:name="tilnærming"/>
    <w:p>
      <w:pPr>
        <w:pStyle w:val="Heading2"/>
      </w:pPr>
      <w:r>
        <w:t xml:space="preserve">Tilnærming:</w:t>
      </w:r>
    </w:p>
    <w:p>
      <w:pPr>
        <w:pStyle w:val="FirstParagraph"/>
      </w:pPr>
      <w:r>
        <w:t xml:space="preserve">Prosjektet bygger videre på tidligere arbeid og etablerte samarbeid om digitalisering, særlig innen arkitektur og fellesløsninger for datadeling og tjenesteutvikling. Det adresserer noen av de samhandlingsutfordringene som fremdeles gjenstår - på tvers av sektorer og områder, men med søkelys på området barn og unge – fra barnehage til høyere utdanning.</w:t>
      </w:r>
    </w:p>
    <w:bookmarkEnd w:id="41"/>
    <w:bookmarkStart w:id="42" w:name="avgrensing"/>
    <w:p>
      <w:pPr>
        <w:pStyle w:val="Heading2"/>
      </w:pPr>
      <w:r>
        <w:t xml:space="preserve">Avgrensing:</w:t>
      </w:r>
    </w:p>
    <w:p>
      <w:pPr>
        <w:pStyle w:val="FirstParagraph"/>
      </w:pPr>
      <w:r>
        <w:t xml:space="preserve">Dette prosjektet avgrenses til utvalgte tjenester og brukstilfeller innen området barn og unge – fra barnehage til høyere utdanning – et område som KS Digital allerede har planlagt arbeid med, i tilknytning til etablering av en felles kommunal tjenesteplattform. Gevinstvurderingene i denne søknaden gjøres utelukkende for dette området, samtidig som det skal legges til rette for gevinster ved skalering til andre områder.</w:t>
      </w:r>
    </w:p>
    <w:p>
      <w:pPr>
        <w:pStyle w:val="BodyText"/>
      </w:pPr>
      <w:r>
        <w:t xml:space="preserve">Området omfatter alt fra planlegging og gjennomføring av utdanning, støttetjenester, rapportering, tilgangsstyring, samtykke og informasjonsdeling, til administrative oppgaver, dialog med foresatte og elever, prøver og eksamener, m.m.</w:t>
      </w:r>
    </w:p>
    <w:p>
      <w:pPr>
        <w:pStyle w:val="BodyText"/>
      </w:pPr>
      <w:r>
        <w:t xml:space="preserve">Det er dessuten aktuelt å dekke grenseflater mot andre områder, slik som sosiale tjenester, helse og arbeidsliv.</w:t>
      </w:r>
    </w:p>
    <w:bookmarkEnd w:id="42"/>
    <w:bookmarkStart w:id="47" w:name="X5f5276bb5c6a27439548d6f0d8e8a1d7d54bac1"/>
    <w:p>
      <w:pPr>
        <w:pStyle w:val="Heading2"/>
      </w:pPr>
      <w:r>
        <w:t xml:space="preserve">Nåværende situasjon innen området barn og unge – fra barnehage til høyere utdanning:</w:t>
      </w:r>
    </w:p>
    <w:p>
      <w:pPr>
        <w:pStyle w:val="FirstParagraph"/>
      </w:pPr>
      <w:r>
        <w:t xml:space="preserve">En rotårsak til manglende samhandlingsevne på tvers er fragmentert datainfrastruktur, manglende samordning og manglende gjenbruk av data og løsninger. Dette framgår av Digitaliseringsstrategien 2024–2030 og flere av de rapportene vi omtaler i denne søknaden. Digitaliseringsstrategien sier blant annet: «</w:t>
      </w:r>
      <w:r>
        <w:rPr>
          <w:i/>
          <w:iCs/>
        </w:rPr>
        <w:t xml:space="preserve">Bedre samarbeid om digitalisering på tvers av sektorer og forvaltningsnivåer er nødvendig for effektiv ressursutnyttelse og bedre tjenester. Regjeringen vil derfor styrke samarbeidet med KS om digitalisering på tvers av sektorer og forvaltningsnivåer.</w:t>
      </w:r>
      <w:r>
        <w:t xml:space="preserve">» Videre pekes det på særskilte utfordringer i kommunesektoren, som variasjon i digital modenhet, begrensede ressurser og behov for bedre tilrettelegging for at kommuner kan gjenbruke nasjonale data og digitale ressurser i egen tjenesteutvikling - samtidig som staten må kunne bruke data fra kommunene.</w:t>
      </w:r>
    </w:p>
    <w:p>
      <w:pPr>
        <w:pStyle w:val="BodyText"/>
      </w:pPr>
      <w:r>
        <w:t xml:space="preserve">Data knyttet til oppvekst og skole – for eksempel data om elever, foresatte, ansatte, institusjoner, klasser og fag – er tilsvarende ofte fragmentert og fordelt på mange forskjellige fagsystemer eller andre verktøy. Kommuner har i praksis begrenset mulighet til å få tak i, dele og bruke alle data de trenger - enten til tjenester, styring eller rapportering.</w:t>
      </w:r>
    </w:p>
    <w:p>
      <w:pPr>
        <w:pStyle w:val="BodyText"/>
      </w:pPr>
      <w:r>
        <w:t xml:space="preserve">Mye informasjon må flyte mellom forskjellige fag- og støttesystemer, og det er et stort behov for å effektivisere denne flyten. Tjenester må også i større grad gjøres tilgjengelig gjennom digitale innbyggerflater som</w:t>
      </w:r>
      <w:r>
        <w:t xml:space="preserve"> </w:t>
      </w:r>
      <w:r>
        <w:rPr>
          <w:i/>
          <w:iCs/>
        </w:rPr>
        <w:t xml:space="preserve">Min Kommune.</w:t>
      </w:r>
      <w:r>
        <w:t xml:space="preserve"> </w:t>
      </w:r>
      <w:r>
        <w:t xml:space="preserve">Innbyggere må oppgi samme informasjon og gi samtykker/fullmakter flere ganger og forholde seg til et mylder av skjema, søknader og informasjon. Ansatte må utføre manuelle arbeidsoperasjoner og dobbeltarbeid fordi systemer og informasjonsflyter ikke henger sammen. Årsakene til dette er sammensatte, og det er krevende å finne løsninger som adresserer juridiske, organisatoriske, semantiske og tekniske barrierer under ett. Se også</w:t>
      </w:r>
      <w:r>
        <w:t xml:space="preserve"> </w:t>
      </w:r>
      <w:hyperlink r:id="rId43">
        <w:r>
          <w:rPr>
            <w:rStyle w:val="Hyperlink"/>
          </w:rPr>
          <w:t xml:space="preserve">Rammeverk for digital samhandling | Digdir</w:t>
        </w:r>
      </w:hyperlink>
      <w:r>
        <w:t xml:space="preserve">.</w:t>
      </w:r>
    </w:p>
    <w:p>
      <w:pPr>
        <w:pStyle w:val="BodyText"/>
      </w:pPr>
      <w:r>
        <w:drawing>
          <wp:inline>
            <wp:extent cx="3193366" cy="1846817"/>
            <wp:effectExtent b="0" l="0" r="0" t="0"/>
            <wp:docPr descr="Figur som viser de fem forskjellige typene samhandling: Juridisk, organisatorisk, semantisk, teknisk, samt styring og forvaltning. " title="" id="45" name="Picture"/>
            <a:graphic>
              <a:graphicData uri="http://schemas.openxmlformats.org/drawingml/2006/picture">
                <pic:pic>
                  <pic:nvPicPr>
                    <pic:cNvPr descr="media/image16.png" id="46" name="Picture"/>
                    <pic:cNvPicPr>
                      <a:picLocks noChangeArrowheads="1" noChangeAspect="1"/>
                    </pic:cNvPicPr>
                  </pic:nvPicPr>
                  <pic:blipFill>
                    <a:blip r:embed="rId44"/>
                    <a:stretch>
                      <a:fillRect/>
                    </a:stretch>
                  </pic:blipFill>
                  <pic:spPr bwMode="auto">
                    <a:xfrm>
                      <a:off x="0" y="0"/>
                      <a:ext cx="3193366" cy="1846817"/>
                    </a:xfrm>
                    <a:prstGeom prst="rect">
                      <a:avLst/>
                    </a:prstGeom>
                    <a:noFill/>
                    <a:ln w="9525">
                      <a:noFill/>
                      <a:headEnd/>
                      <a:tailEnd/>
                    </a:ln>
                  </pic:spPr>
                </pic:pic>
              </a:graphicData>
            </a:graphic>
          </wp:inline>
        </w:drawing>
      </w:r>
    </w:p>
    <w:p>
      <w:pPr>
        <w:pStyle w:val="BodyText"/>
      </w:pPr>
      <w:r>
        <w:t xml:space="preserve">En av årsakene er at markedet for digitale løsninger i kommunesektoren er lite samordnet, er at kommuner gjør innkjøp hver for seg. Det gir høye kostnader og gjør det vanskelig å lage gode tjenester.</w:t>
      </w:r>
    </w:p>
    <w:p>
      <w:pPr>
        <w:pStyle w:val="BodyText"/>
      </w:pPr>
      <w:r>
        <w:t xml:space="preserve">Ellers nevnes at den økonomiske situasjonen i offentlig sektor, og særlig kommunene, for tiden er svært stram. Det er også begrenset tilgang på kvalifisert arbeidskraft.</w:t>
      </w:r>
    </w:p>
    <w:bookmarkEnd w:id="47"/>
    <w:bookmarkStart w:id="48" w:name="mål-for-videre-arbeid-1"/>
    <w:p>
      <w:pPr>
        <w:pStyle w:val="Heading2"/>
      </w:pPr>
      <w:r>
        <w:t xml:space="preserve">Mål for videre arbeid:</w:t>
      </w:r>
    </w:p>
    <w:p>
      <w:pPr>
        <w:pStyle w:val="FirstParagraph"/>
      </w:pPr>
      <w:r>
        <w:t xml:space="preserve">Prosjektets produkter skal legge grunnlag for videre arbeid i andre prosjekter – både underveis i prosjektperioden og i bakkant av dette prosjektet, særlig med målsetninger om:</w:t>
      </w:r>
    </w:p>
    <w:p>
      <w:pPr>
        <w:numPr>
          <w:ilvl w:val="0"/>
          <w:numId w:val="1006"/>
        </w:numPr>
      </w:pPr>
      <w:r>
        <w:t xml:space="preserve">Felles informasjonsmodeller og standardiserte grensesnitt som på sikt dekker «alle» områder.</w:t>
      </w:r>
    </w:p>
    <w:p>
      <w:pPr>
        <w:numPr>
          <w:ilvl w:val="0"/>
          <w:numId w:val="1006"/>
        </w:numPr>
      </w:pPr>
      <w:r>
        <w:t xml:space="preserve">Gjenbrukbare løsninger i stedet for lokal skreddersøm av fagsystemer.</w:t>
      </w:r>
    </w:p>
    <w:p>
      <w:pPr>
        <w:numPr>
          <w:ilvl w:val="0"/>
          <w:numId w:val="1006"/>
        </w:numPr>
      </w:pPr>
      <w:r>
        <w:t xml:space="preserve">Enklere brukerreiser for ansatte, foresatte, elever og studenter gjennom læringsløpet - fra barnehage til grunnskole, videregående og høyere utdanning.</w:t>
      </w:r>
    </w:p>
    <w:p>
      <w:pPr>
        <w:numPr>
          <w:ilvl w:val="0"/>
          <w:numId w:val="1006"/>
        </w:numPr>
      </w:pPr>
      <w:r>
        <w:t xml:space="preserve">Samarbeid, konkurranse og innovasjon i økosystemer for tjenesteutvikling og løsninger på tvers av offentlige og private leverandører.</w:t>
      </w:r>
    </w:p>
    <w:p>
      <w:pPr>
        <w:numPr>
          <w:ilvl w:val="0"/>
          <w:numId w:val="1006"/>
        </w:numPr>
      </w:pPr>
      <w:r>
        <w:t xml:space="preserve">Langsiktige mål om livslang læring m.m.</w:t>
      </w:r>
    </w:p>
    <w:p>
      <w:pPr>
        <w:numPr>
          <w:ilvl w:val="0"/>
          <w:numId w:val="1006"/>
        </w:numPr>
      </w:pPr>
      <w:r>
        <w:t xml:space="preserve">Skalering og overføring av prosjektets produkter til andre områder og sektorer, etter pilotering i dette prosjektet.</w:t>
      </w:r>
    </w:p>
    <w:bookmarkEnd w:id="48"/>
    <w:bookmarkEnd w:id="49"/>
    <w:bookmarkStart w:id="64" w:name="konseptvalg"/>
    <w:p>
      <w:pPr>
        <w:pStyle w:val="Heading1"/>
      </w:pPr>
      <w:r>
        <w:t xml:space="preserve">Konseptvalg</w:t>
      </w:r>
    </w:p>
    <w:p>
      <w:pPr>
        <w:pStyle w:val="FirstParagraph"/>
      </w:pPr>
      <w:r>
        <w:rPr>
          <w:i/>
          <w:iCs/>
        </w:rPr>
        <w:t xml:space="preserve">Instruks i søknadsskjemaet: Hvorfor valgte dere det aktuelle konseptet? Hvilke alternative konsept ble vurdert? Gjør spesielt greie for hvordan mulige innsparinger i egen virksomhet er vurdert. Se spørsmål 1 og 2 i utredningsinstruksen kap. 2-1 for inspirasjon</w:t>
      </w:r>
    </w:p>
    <w:bookmarkStart w:id="50" w:name="generelt"/>
    <w:p>
      <w:pPr>
        <w:pStyle w:val="Heading2"/>
      </w:pPr>
      <w:r>
        <w:t xml:space="preserve">Generelt</w:t>
      </w:r>
      <w:r>
        <w:rPr>
          <w:u w:val="single"/>
        </w:rPr>
        <w:t xml:space="preserve">:</w:t>
      </w:r>
      <w:r>
        <w:t xml:space="preserve"> </w:t>
      </w:r>
    </w:p>
    <w:p>
      <w:pPr>
        <w:pStyle w:val="FirstParagraph"/>
      </w:pPr>
      <w:r>
        <w:t xml:space="preserve">Vi har ikke utredet alternative konsepter spesifikt for denne søknaden, men baserer oss i hovedsak på en nylig KVU fra kommunal sektor. Vi henviser også til en samling av rapporter som understøtter dette valget. Vi vil her først gi en kortfattet beskrivelse av konseptet og viktige fordeler. Vi redegjør deretter nærmere for valget. Vi redegjør til sist for hvordan mulige innsparinger i egen virksomhet (Digdir) er vurdert.</w:t>
      </w:r>
    </w:p>
    <w:bookmarkEnd w:id="50"/>
    <w:bookmarkStart w:id="53" w:name="kort-beskrivelse-av-valgt-konsept"/>
    <w:p>
      <w:pPr>
        <w:pStyle w:val="Heading2"/>
      </w:pPr>
      <w:r>
        <w:t xml:space="preserve">Kort beskrivelse av valgt konsept:</w:t>
      </w:r>
    </w:p>
    <w:p>
      <w:pPr>
        <w:pStyle w:val="FirstParagraph"/>
      </w:pPr>
      <w:r>
        <w:t xml:space="preserve">Noen av de viktigste elementene i det valgte konseptet er:</w:t>
      </w:r>
    </w:p>
    <w:p>
      <w:pPr>
        <w:numPr>
          <w:ilvl w:val="0"/>
          <w:numId w:val="1007"/>
        </w:numPr>
      </w:pPr>
      <w:r>
        <w:t xml:space="preserve">Teknisk arkitektur: Konseptet bygger på erfaringer fra blant annet Novaris FINT, som i flere år har demonstrert et konsept som fungerer i praksis for fylkeskommunene. Det valgte konseptet gjør at nye løsninger og tjenester utvikles mot et fast «mellomlag», frikoplet fra hvor eller hvordan data er lagret. Samtidig nås data der de er lagret, uten behov for lokale kopier. Dette gir en rekke fordeler, deriblant enklere tjenesteutvikling, betydelig kostnadsreduksjon gjennom redusert antall integrasjoner (se også nedenfor om dette og flere andre fordeler).</w:t>
      </w:r>
    </w:p>
    <w:p>
      <w:pPr>
        <w:numPr>
          <w:ilvl w:val="0"/>
          <w:numId w:val="1007"/>
        </w:numPr>
      </w:pPr>
      <w:r>
        <w:t xml:space="preserve">Helhetlig og strukturert tilnærming: Konseptet forutsetter en mer strukturert tilnærming til innhold i nasjonale kataloger for begreper, datasett, tjenester og hendelser enn det som har vært vanlig praksis så langt. Felles informasjonsmodeller og standardiserte utvekslingsformater defineres i sammenheng med tjenestene i en felles nasjonal tjenestekatalog – ikke på tilfeldig basis.</w:t>
      </w:r>
    </w:p>
    <w:p>
      <w:pPr>
        <w:numPr>
          <w:ilvl w:val="0"/>
          <w:numId w:val="1007"/>
        </w:numPr>
      </w:pPr>
      <w:r>
        <w:t xml:space="preserve">Samarbeidsmodell: Konseptet forutsetter samarbeid på tvers av forvaltningsnivåer og sektorer med avklarte roller og ansvar. Samlet utgjør partnerne en kjerne i det valgte området barn og unge - i hele løpet fra barnehage til høyere utdanning. Aktører som er tilgrensende til oppvekst, eksempelvis innen barnevern, vil bli involvert etter behov, hvis de aktuelle tjenestene blir prioritert for pilotering.</w:t>
      </w:r>
    </w:p>
    <w:p>
      <w:pPr>
        <w:pStyle w:val="FirstParagraph"/>
      </w:pPr>
      <w:r>
        <w:t xml:space="preserve">Illustrasjon av teknisk arkitektur:</w:t>
      </w:r>
    </w:p>
    <w:p>
      <w:pPr>
        <w:pStyle w:val="BodyText"/>
      </w:pPr>
      <w:r>
        <w:drawing>
          <wp:inline>
            <wp:extent cx="5334000" cy="1854371"/>
            <wp:effectExtent b="0" l="0" r="0" t="0"/>
            <wp:docPr descr="Et bilde som inneholder diagram, line, plan, Teknisk tegning KI-generert innhold kan være feil." title="" id="51" name="Picture"/>
            <a:graphic>
              <a:graphicData uri="http://schemas.openxmlformats.org/drawingml/2006/picture">
                <pic:pic>
                  <pic:nvPicPr>
                    <pic:cNvPr descr="media/image13.png" id="52" name="Picture"/>
                    <pic:cNvPicPr>
                      <a:picLocks noChangeArrowheads="1" noChangeAspect="1"/>
                    </pic:cNvPicPr>
                  </pic:nvPicPr>
                  <pic:blipFill>
                    <a:blip r:embed="rId24"/>
                    <a:stretch>
                      <a:fillRect/>
                    </a:stretch>
                  </pic:blipFill>
                  <pic:spPr bwMode="auto">
                    <a:xfrm>
                      <a:off x="0" y="0"/>
                      <a:ext cx="5334000" cy="1854371"/>
                    </a:xfrm>
                    <a:prstGeom prst="rect">
                      <a:avLst/>
                    </a:prstGeom>
                    <a:noFill/>
                    <a:ln w="9525">
                      <a:noFill/>
                      <a:headEnd/>
                      <a:tailEnd/>
                    </a:ln>
                  </pic:spPr>
                </pic:pic>
              </a:graphicData>
            </a:graphic>
          </wp:inline>
        </w:drawing>
      </w:r>
    </w:p>
    <w:bookmarkEnd w:id="53"/>
    <w:bookmarkStart w:id="54" w:name="X07922a2eabc23fe2039108f7c0766c26ab401bd"/>
    <w:p>
      <w:pPr>
        <w:pStyle w:val="Heading2"/>
      </w:pPr>
      <w:r>
        <w:br/>
      </w:r>
      <w:r>
        <w:t xml:space="preserve">Noen viktige fordeler med det valgte konseptet:</w:t>
      </w:r>
    </w:p>
    <w:p>
      <w:pPr>
        <w:numPr>
          <w:ilvl w:val="0"/>
          <w:numId w:val="1008"/>
        </w:numPr>
      </w:pPr>
      <w:r>
        <w:rPr>
          <w:b/>
          <w:bCs/>
        </w:rPr>
        <w:t xml:space="preserve">Reduserte utviklingskostnader</w:t>
      </w:r>
      <w:r>
        <w:t xml:space="preserve"> </w:t>
      </w:r>
      <w:r>
        <w:t xml:space="preserve">gjennom</w:t>
      </w:r>
      <w:r>
        <w:t xml:space="preserve"> </w:t>
      </w:r>
      <w:r>
        <w:rPr>
          <w:b/>
          <w:bCs/>
        </w:rPr>
        <w:t xml:space="preserve">redusert antall integrasjoner</w:t>
      </w:r>
      <w:r>
        <w:t xml:space="preserve">: Integrasjoner gjøres mot standardiserte informasjonsmodeller og grensesnitt i et mellomlag, frikoplet fra detaljer i hvordan data er lagret eller strukturert internt hos samhandlingspartnere.</w:t>
      </w:r>
    </w:p>
    <w:p>
      <w:pPr>
        <w:numPr>
          <w:ilvl w:val="0"/>
          <w:numId w:val="1008"/>
        </w:numPr>
      </w:pPr>
      <w:r>
        <w:rPr>
          <w:b/>
          <w:bCs/>
        </w:rPr>
        <w:t xml:space="preserve">Reduserte utviklingskostnader</w:t>
      </w:r>
      <w:r>
        <w:t xml:space="preserve"> </w:t>
      </w:r>
      <w:r>
        <w:t xml:space="preserve">gjennom</w:t>
      </w:r>
      <w:r>
        <w:t xml:space="preserve"> </w:t>
      </w:r>
      <w:r>
        <w:rPr>
          <w:b/>
          <w:bCs/>
        </w:rPr>
        <w:t xml:space="preserve">redusert antall sluttbrukersystemer:</w:t>
      </w:r>
      <w:r>
        <w:t xml:space="preserve"> </w:t>
      </w:r>
      <w:r>
        <w:t xml:space="preserve">Gjenbrukbare løsninger eller fellesløsninger i stedet for lokal skreddersøm av fagsystemer. Felles informasjonsmodeller og standardiserte grensesnitt gjør det mulig å utvikle felles fagsystemer eller komponenter og tjenester uten hensyn til hvordan data er lagret lokalt i hver kommune. Generiske løsninger kan tilpasses lokale forhold med langt lavere kostnad enn alternativet med at mange kommuner eller kommunesamarbeid har egne løsninger.</w:t>
      </w:r>
    </w:p>
    <w:p>
      <w:pPr>
        <w:numPr>
          <w:ilvl w:val="0"/>
          <w:numId w:val="1008"/>
        </w:numPr>
      </w:pPr>
      <w:r>
        <w:rPr>
          <w:b/>
          <w:bCs/>
        </w:rPr>
        <w:t xml:space="preserve">Reduserte utviklingskostnader</w:t>
      </w:r>
      <w:r>
        <w:t xml:space="preserve"> </w:t>
      </w:r>
      <w:r>
        <w:t xml:space="preserve">gjennom</w:t>
      </w:r>
      <w:r>
        <w:t xml:space="preserve"> </w:t>
      </w:r>
      <w:r>
        <w:rPr>
          <w:b/>
          <w:bCs/>
        </w:rPr>
        <w:t xml:space="preserve">mindre behov for vedlikehold</w:t>
      </w:r>
      <w:r>
        <w:t xml:space="preserve"> </w:t>
      </w:r>
      <w:r>
        <w:t xml:space="preserve">i sluttbrukersystemer: Sluttbrukersystemene når data gjennom «mellomlaget» uten at det nødvendigvis på gjøres tilpasninger når det skjer endringer i hvordan data er lagret eller representert hos andre.</w:t>
      </w:r>
    </w:p>
    <w:p>
      <w:pPr>
        <w:numPr>
          <w:ilvl w:val="0"/>
          <w:numId w:val="1008"/>
        </w:numPr>
      </w:pPr>
      <w:r>
        <w:rPr>
          <w:b/>
          <w:bCs/>
        </w:rPr>
        <w:t xml:space="preserve">Sømløse brukerreiser</w:t>
      </w:r>
      <w:r>
        <w:t xml:space="preserve">: «Mellomlaget» skjermer sluttbrukerne fra å måtte forholde seg til et broket og skiftende landskap av aktører, tekniske tjenester og systemer.</w:t>
      </w:r>
    </w:p>
    <w:p>
      <w:pPr>
        <w:numPr>
          <w:ilvl w:val="0"/>
          <w:numId w:val="1008"/>
        </w:numPr>
      </w:pPr>
      <w:r>
        <w:rPr>
          <w:b/>
          <w:bCs/>
        </w:rPr>
        <w:t xml:space="preserve">Like tjenester og sømløse overganger mellom kommuner</w:t>
      </w:r>
      <w:r>
        <w:t xml:space="preserve">: Det forutsettes en standardisert nasjonal tjenestekatalog med støtte for de samme typene tjenester og datasett på tvers av alle kommuner (med eller uten gjenbruk av løsninger). Merk: Dette har også en demokratisk verdi - likeverdige tjenester uansett hvor en bor.</w:t>
      </w:r>
    </w:p>
    <w:p>
      <w:pPr>
        <w:numPr>
          <w:ilvl w:val="0"/>
          <w:numId w:val="1008"/>
        </w:numPr>
      </w:pPr>
      <w:r>
        <w:rPr>
          <w:b/>
          <w:bCs/>
        </w:rPr>
        <w:t xml:space="preserve">Støtte for kun-én-gang-prinsippet</w:t>
      </w:r>
      <w:r>
        <w:t xml:space="preserve">: Innbyggere og virksomheter skal slippe å gi de samme opplysningene flere ganger til det offentlige. Dette kan bare oppnås gjennom bedre oversikt over hvilke data det offentlige har, noe som krever sammenliknbare data gjennom felles datamodeller.</w:t>
      </w:r>
    </w:p>
    <w:p>
      <w:pPr>
        <w:numPr>
          <w:ilvl w:val="0"/>
          <w:numId w:val="1008"/>
        </w:numPr>
      </w:pPr>
      <w:r>
        <w:rPr>
          <w:b/>
          <w:bCs/>
        </w:rPr>
        <w:t xml:space="preserve">Unngå innelåste data</w:t>
      </w:r>
      <w:r>
        <w:t xml:space="preserve">: Tjenester og data kan nås via et standardisert mellomlag, uten å være innelåst i proprietære løsninger/fagsystemer.</w:t>
      </w:r>
    </w:p>
    <w:p>
      <w:pPr>
        <w:numPr>
          <w:ilvl w:val="0"/>
          <w:numId w:val="1008"/>
        </w:numPr>
      </w:pPr>
      <w:r>
        <w:rPr>
          <w:b/>
          <w:bCs/>
        </w:rPr>
        <w:t xml:space="preserve">Sunnere konkurranseforhold</w:t>
      </w:r>
      <w:r>
        <w:t xml:space="preserve">: Mer likeverdig konkurranse på tvers av offentlige og private leverandører av løsninger/ fellesløsninger: Åpne standarder legger til rette for likeverdig konkurranse mellom alle aktører (gitt lik adgang til finansiering).</w:t>
      </w:r>
    </w:p>
    <w:p>
      <w:pPr>
        <w:numPr>
          <w:ilvl w:val="0"/>
          <w:numId w:val="1008"/>
        </w:numPr>
      </w:pPr>
      <w:r>
        <w:rPr>
          <w:b/>
          <w:bCs/>
        </w:rPr>
        <w:t xml:space="preserve">Mer effektive anskaffelsesprosesser</w:t>
      </w:r>
      <w:r>
        <w:t xml:space="preserve">: Åpne standarder legger til rette for sammenlikning av leverandører.</w:t>
      </w:r>
    </w:p>
    <w:p>
      <w:pPr>
        <w:numPr>
          <w:ilvl w:val="0"/>
          <w:numId w:val="1008"/>
        </w:numPr>
      </w:pPr>
      <w:r>
        <w:rPr>
          <w:b/>
          <w:bCs/>
        </w:rPr>
        <w:t xml:space="preserve">Bedre datakvalitet</w:t>
      </w:r>
      <w:r>
        <w:t xml:space="preserve">: Mindre behov for kopiering eller flytting av data gir bedre datakvalitet ved at data ikke tas ut av kontekst.</w:t>
      </w:r>
    </w:p>
    <w:p>
      <w:pPr>
        <w:numPr>
          <w:ilvl w:val="0"/>
          <w:numId w:val="1008"/>
        </w:numPr>
      </w:pPr>
      <w:r>
        <w:rPr>
          <w:b/>
          <w:bCs/>
        </w:rPr>
        <w:t xml:space="preserve">Bedre informasjonssikkerhet</w:t>
      </w:r>
      <w:r>
        <w:t xml:space="preserve">: Data kan i større grad nås der de eies, slik at det blir færre kopier av data som trenger å sikres. Gjennom at data nås gjennom standardiserte tjenester og data i «mellomlaget», kan også tilgangsstyringen settes opp en gang for alle mot typer av tjenester og data i stedet for mange ganger mot lokale data og tjenester.</w:t>
      </w:r>
    </w:p>
    <w:p>
      <w:pPr>
        <w:numPr>
          <w:ilvl w:val="0"/>
          <w:numId w:val="1008"/>
        </w:numPr>
      </w:pPr>
      <w:r>
        <w:rPr>
          <w:b/>
          <w:bCs/>
        </w:rPr>
        <w:t xml:space="preserve">Miljøgevinster</w:t>
      </w:r>
      <w:r>
        <w:t xml:space="preserve">: Redusert behov for å lagre kopier av data.</w:t>
      </w:r>
      <w:r>
        <w:br/>
      </w:r>
    </w:p>
    <w:bookmarkEnd w:id="54"/>
    <w:bookmarkStart w:id="61" w:name="bakgrunn-for-valg-av-konsept"/>
    <w:p>
      <w:pPr>
        <w:pStyle w:val="Heading2"/>
      </w:pPr>
      <w:r>
        <w:t xml:space="preserve">Bakgrunn for valg av konsept:</w:t>
      </w:r>
      <w:r>
        <w:t xml:space="preserve"> </w:t>
      </w:r>
    </w:p>
    <w:p>
      <w:pPr>
        <w:pStyle w:val="FirstParagraph"/>
      </w:pPr>
      <w:r>
        <w:t xml:space="preserve">Vi henviser primært til Konseptforslag felles kommunal dataforvaltning (Vedlegg 1), en fersk konseptvalgutredning utarbeidet av Bergen kommune sammen med flere storbykommuner om deling av data. Denne konseptvalgutredningen kom som en oppfølging av PwC-rapporten «Deling av data i kommunal sektor» fra mars 2024 (Vedlegg 2), som avdekket store utfordringer knyttet til fragmentert datainfrastruktur, manglende samordning og lav grad av systematisk gjenbruk av data og løsninger i kommunene.</w:t>
      </w:r>
    </w:p>
    <w:p>
      <w:pPr>
        <w:pStyle w:val="BodyText"/>
      </w:pPr>
      <w:r>
        <w:t xml:space="preserve">I konseptvalgutredningen landet man på et konsept med felles informasjonsmodeller i kombinasjon med en felles tjenestekatalog, samt felles begreps- og metadatakataloger og tilhørende styringsmodeller for samarbeid. Dette konseptet bygger på fylkeskommunenes arbeid med FINT (Felles INTegrasjoner), som har vist verdien av en felles, autoritativ datamodell og standardiserte grensesnitt for fylkeskommunene. Rapporten peker også på organisatoriske og juridiske forhold.</w:t>
      </w:r>
    </w:p>
    <w:p>
      <w:pPr>
        <w:pStyle w:val="BodyText"/>
      </w:pPr>
      <w:r>
        <w:t xml:space="preserve">Vårt prosjekt løfter dette konseptet fra kommunal sektor til et nasjonalt nivå på tvers av kommuner, fylkeskommuner og statlige virksomheter. Konseptet må følgelig også ses i sammenheng med Digdirs arbeid med datadeling, Felles økosystem for sammenhengende tjenester og arbeidet med livshendelsene.</w:t>
      </w:r>
    </w:p>
    <w:p>
      <w:pPr>
        <w:pStyle w:val="BodyText"/>
      </w:pPr>
      <w:r>
        <w:t xml:space="preserve">===</w:t>
      </w:r>
    </w:p>
    <w:p>
      <w:pPr>
        <w:pStyle w:val="BodyText"/>
      </w:pPr>
      <w:r>
        <w:t xml:space="preserve">I tillegg til rapportene fra kommunal sektor som nevnt over, bygger vi på vurderinger av alternativer som er gjort i en rekke andre rapporter, slik som:</w:t>
      </w:r>
    </w:p>
    <w:p>
      <w:pPr>
        <w:numPr>
          <w:ilvl w:val="0"/>
          <w:numId w:val="1009"/>
        </w:numPr>
      </w:pPr>
      <w:hyperlink r:id="rId55">
        <w:r>
          <w:rPr>
            <w:rStyle w:val="Hyperlink"/>
          </w:rPr>
          <w:t xml:space="preserve">Gevinstpotensialet i et felles konsept for informasjonsforvaltning i offentlig sektor (DNV GL 2014):</w:t>
        </w:r>
      </w:hyperlink>
    </w:p>
    <w:p>
      <w:pPr>
        <w:pStyle w:val="FirstParagraph"/>
      </w:pPr>
      <w:r>
        <w:t xml:space="preserve">Dette er en alternativanalyse (tilsvarende KVU) der konseptvalget i denne søknaden i stor grad samsvarer med det anbefalte alternativet - «Felles metoder og standarder for beskrivelser og informasjonsforvaltning samt felles tjenester og infrastruktur». Nettonytte ble den gang beregnet til 30,4 mrd. kroner over 15 år (2014-tall). Vi anser vurderingene som fortsatt gyldige, selv om det har vist seg vanskelig å realisere potensialet fullt ut.</w:t>
      </w:r>
    </w:p>
    <w:p>
      <w:pPr>
        <w:numPr>
          <w:ilvl w:val="0"/>
          <w:numId w:val="1010"/>
        </w:numPr>
      </w:pPr>
      <w:hyperlink r:id="rId56">
        <w:r>
          <w:rPr>
            <w:rStyle w:val="Hyperlink"/>
          </w:rPr>
          <w:t xml:space="preserve">Barrierer og muligheter i kommunal sektors arbeid med kunstig intelligens (FoU 2024)</w:t>
        </w:r>
      </w:hyperlink>
      <w:r>
        <w:t xml:space="preserve">:</w:t>
      </w:r>
    </w:p>
    <w:p>
      <w:pPr>
        <w:pStyle w:val="FirstParagraph"/>
      </w:pPr>
      <w:r>
        <w:t xml:space="preserve">I denne FoU-rapporten adresseres «Muligheter innen oppvekst og utdanning». Valgt konsept omfatter disse mulighetene rundt KI – ikke som et alternativ, men som en integrert del.</w:t>
      </w:r>
    </w:p>
    <w:p>
      <w:pPr>
        <w:numPr>
          <w:ilvl w:val="0"/>
          <w:numId w:val="1011"/>
        </w:numPr>
      </w:pPr>
      <w:hyperlink r:id="rId57">
        <w:r>
          <w:rPr>
            <w:rStyle w:val="Hyperlink"/>
          </w:rPr>
          <w:t xml:space="preserve">Strategi for digital kompetanse og infrastruktur i barnehage og skole</w:t>
        </w:r>
      </w:hyperlink>
      <w:r>
        <w:t xml:space="preserve">:</w:t>
      </w:r>
    </w:p>
    <w:p>
      <w:pPr>
        <w:pStyle w:val="FirstParagraph"/>
      </w:pPr>
      <w:r>
        <w:t xml:space="preserve">Strategien legger sterk vekt på behovet for helhetlig samordning mellom stat og kommuner når det gjelder teknologi, digital kompetanse og infrastruktur.</w:t>
      </w:r>
    </w:p>
    <w:p>
      <w:pPr>
        <w:numPr>
          <w:ilvl w:val="0"/>
          <w:numId w:val="1012"/>
        </w:numPr>
      </w:pPr>
      <w:hyperlink r:id="rId58">
        <w:r>
          <w:rPr>
            <w:rStyle w:val="Hyperlink"/>
          </w:rPr>
          <w:t xml:space="preserve">Deling av data – Konseptvalgutredning (Difirapport 2018:7)</w:t>
        </w:r>
      </w:hyperlink>
    </w:p>
    <w:p>
      <w:pPr>
        <w:pStyle w:val="FirstParagraph"/>
      </w:pPr>
      <w:r>
        <w:t xml:space="preserve">Denne utredningen vurderer flere alternative konsepter for deling av data i offentlig sektor. Det valgte konseptet i denne søknaden er i tråd med anbefalingen om felles økosystem med standardisering, tilgangsstyring og felleskomponenter.</w:t>
      </w:r>
    </w:p>
    <w:p>
      <w:pPr>
        <w:numPr>
          <w:ilvl w:val="0"/>
          <w:numId w:val="1013"/>
        </w:numPr>
      </w:pPr>
      <w:hyperlink r:id="rId59">
        <w:r>
          <w:rPr>
            <w:rStyle w:val="Hyperlink"/>
          </w:rPr>
          <w:t xml:space="preserve">Stortingsmelding nr. 22 (2020–2021)</w:t>
        </w:r>
        <w:r>
          <w:rPr>
            <w:rStyle w:val="Hyperlink"/>
          </w:rPr>
          <w:t xml:space="preserve"> </w:t>
        </w:r>
        <w:r>
          <w:rPr>
            <w:rStyle w:val="Hyperlink"/>
            <w:i/>
            <w:iCs/>
          </w:rPr>
          <w:t xml:space="preserve">«Data som ressurs – datadrevet økonomi og innovasjon»</w:t>
        </w:r>
      </w:hyperlink>
      <w:r>
        <w:t xml:space="preserve">.</w:t>
      </w:r>
    </w:p>
    <w:p>
      <w:pPr>
        <w:pStyle w:val="FirstParagraph"/>
      </w:pPr>
      <w:r>
        <w:t xml:space="preserve">Meldingen peker på behovet for samordning, fellesløsninger og økt dataflyt i offentlig sektor. Konseptet i søknaden operasjonaliserer flere av tiltakene som her løftes fram.</w:t>
      </w:r>
    </w:p>
    <w:p>
      <w:pPr>
        <w:numPr>
          <w:ilvl w:val="0"/>
          <w:numId w:val="1014"/>
        </w:numPr>
      </w:pPr>
      <w:hyperlink r:id="rId60">
        <w:r>
          <w:rPr>
            <w:rStyle w:val="Hyperlink"/>
          </w:rPr>
          <w:t xml:space="preserve">NOU 2024:14 –</w:t>
        </w:r>
        <w:r>
          <w:rPr>
            <w:rStyle w:val="Hyperlink"/>
          </w:rPr>
          <w:t xml:space="preserve"> </w:t>
        </w:r>
        <w:r>
          <w:rPr>
            <w:rStyle w:val="Hyperlink"/>
            <w:i/>
            <w:iCs/>
          </w:rPr>
          <w:t xml:space="preserve">Med lov skal data deles</w:t>
        </w:r>
      </w:hyperlink>
    </w:p>
    <w:p>
      <w:pPr>
        <w:pStyle w:val="FirstParagraph"/>
      </w:pPr>
      <w:r>
        <w:t xml:space="preserve">Tydelige anbefalinger om å etablere</w:t>
      </w:r>
      <w:r>
        <w:t xml:space="preserve"> </w:t>
      </w:r>
      <w:r>
        <w:rPr>
          <w:i/>
          <w:iCs/>
        </w:rPr>
        <w:t xml:space="preserve">rettslige og organisatoriske rammer</w:t>
      </w:r>
      <w:r>
        <w:t xml:space="preserve"> </w:t>
      </w:r>
      <w:r>
        <w:t xml:space="preserve">som fremmer</w:t>
      </w:r>
      <w:r>
        <w:t xml:space="preserve"> </w:t>
      </w:r>
      <w:r>
        <w:rPr>
          <w:i/>
          <w:iCs/>
        </w:rPr>
        <w:t xml:space="preserve">tilgang til og gjenbruk av data på tvers av forvaltningsnivåer, standardisering av metadata og informasjonsmodeller, og klare styringsstrukturer for deling.</w:t>
      </w:r>
    </w:p>
    <w:bookmarkEnd w:id="61"/>
    <w:bookmarkStart w:id="62" w:name="om-sammenlikning-med-nullalternativet"/>
    <w:p>
      <w:pPr>
        <w:pStyle w:val="Heading2"/>
      </w:pPr>
      <w:r>
        <w:t xml:space="preserve">Om sammenlikning med nullalternativet:</w:t>
      </w:r>
      <w:r>
        <w:t xml:space="preserve"> </w:t>
      </w:r>
    </w:p>
    <w:p>
      <w:pPr>
        <w:pStyle w:val="FirstParagraph"/>
      </w:pPr>
      <w:r>
        <w:t xml:space="preserve">En overordnet betraktning er at man må bort fra dagens situasjon, der enkeltkommuner, ulike regionale samarbeid, fylkeskommuner og statlige etater hver for seg utvikler og vedlikeholder sine egne informasjonsmodeller, kataloger og integrasjoner, uten støtte i autoritative modeller. Dette har vist seg kostbart over tid, lite skalerbart, og det skaper barrierer for innovasjon, samhandling og et velfungerende leverandørmarked.</w:t>
      </w:r>
    </w:p>
    <w:p>
      <w:pPr>
        <w:pStyle w:val="BodyText"/>
      </w:pPr>
      <w:r>
        <w:t xml:space="preserve">I våre sammenlikninger med nullalternativet legger vi uansett til grunn at det også uten tiltaket forventes fortsatt utvikling, slik som:</w:t>
      </w:r>
    </w:p>
    <w:p>
      <w:pPr>
        <w:numPr>
          <w:ilvl w:val="0"/>
          <w:numId w:val="1015"/>
        </w:numPr>
      </w:pPr>
      <w:r>
        <w:t xml:space="preserve">Gradvis økt bruk av KI og automatisering i undervisning og administrasjon.</w:t>
      </w:r>
    </w:p>
    <w:p>
      <w:pPr>
        <w:numPr>
          <w:ilvl w:val="0"/>
          <w:numId w:val="1015"/>
        </w:numPr>
      </w:pPr>
      <w:r>
        <w:t xml:space="preserve">Videreutvikling av nasjonale fellesløsninger og nye datadelingstjenester som følge av EU- og nasjonalt regelverk.</w:t>
      </w:r>
    </w:p>
    <w:p>
      <w:pPr>
        <w:numPr>
          <w:ilvl w:val="0"/>
          <w:numId w:val="1015"/>
        </w:numPr>
      </w:pPr>
      <w:r>
        <w:t xml:space="preserve">Enkelte tidsbesparelser og kvalitetsforbedringer gjennom oppgraderinger i eksisterende systemer.</w:t>
      </w:r>
    </w:p>
    <w:p>
      <w:pPr>
        <w:pStyle w:val="FirstParagraph"/>
      </w:pPr>
      <w:r>
        <w:t xml:space="preserve">I nullalternativet skjer imidlertid utviklingen fragmentert og ujevnt, med manglende felles datamodeller og standardiserte integrasjoner. Gevinster fra datadeling og helhetlige tjenester realiseres kun delvis.</w:t>
      </w:r>
    </w:p>
    <w:p>
      <w:pPr>
        <w:pStyle w:val="BodyText"/>
      </w:pPr>
      <w:r>
        <w:t xml:space="preserve">For nytteberegningene er det ut fra dette lagt til grunn at 30–50 % av forventede gevinster vil realiseres også i nullalternativet.</w:t>
      </w:r>
    </w:p>
    <w:bookmarkEnd w:id="62"/>
    <w:bookmarkStart w:id="63" w:name="X95d3b6cc3f127b78fba469239cb98892cdd817d"/>
    <w:p>
      <w:pPr>
        <w:pStyle w:val="Heading2"/>
      </w:pPr>
      <w:r>
        <w:t xml:space="preserve">Vurdering av om prosjektet medfører innsparinger i egen virksomhet:</w:t>
      </w:r>
    </w:p>
    <w:p>
      <w:pPr>
        <w:pStyle w:val="FirstParagraph"/>
      </w:pPr>
      <w:r>
        <w:t xml:space="preserve">Digdir er en non-profit forvaltningsvirksomhet som ikke har som mål å skape overskudd eller realisere innsparingseffekter i egen virksomhet. Direktoratets rolle er å utvikle, forvalte og tilgjengeliggjøre fellesløsninger og standarder som skal gi samfunnsøkonomiske gevinster og effektivisering i andre deler av offentlig sektor – særlig gjennom samarbeid på tvers av virksomheter og forvaltningsnivåer.</w:t>
      </w:r>
    </w:p>
    <w:p>
      <w:pPr>
        <w:pStyle w:val="BodyText"/>
      </w:pPr>
      <w:r>
        <w:t xml:space="preserve">Eventuelle driftsoverskudd fra Digdirs forvaltning av fellesløsninger, som for eksempel Altinn, tilbakeføres til tjenesteeierne, og benyttes til videreutvikling og forbedring av løsningene etter prinsipper om kostnadsnøytralitet. Det er derfor verken forventet eller hensiktsmessig å beregne virksomhetsinterne gevinster eller budsjettkutt i Digdir som følge av prosjektet.</w:t>
      </w:r>
    </w:p>
    <w:p>
      <w:pPr>
        <w:pStyle w:val="BodyText"/>
      </w:pPr>
      <w:r>
        <w:t xml:space="preserve">Midlene fra medfinansieringsordningen vil bidra til et høyere ambisjonsnivå og til tiltak som ellers ikke ville blitt gjennomført nå, i tråd med Digdirs samfunnsoppdrag om å legge til rette for en effektiv, brukerorientert og koordinert digitalisering av offentlig sektor. De samfunnsøkonomiske gevinstene er i hovedsak forventet å realiseres i kommunal sektor. </w:t>
      </w:r>
    </w:p>
    <w:p>
      <w:pPr>
        <w:pStyle w:val="BodyText"/>
      </w:pPr>
      <w:r>
        <w:rPr>
          <w:i/>
          <w:iCs/>
        </w:rPr>
        <w:t xml:space="preserve">Merk: Tilsvarende argumentasjon gjelder for statlige samarbeidende virksomheter, slik som for STAF, HK-dir, Udir, SIKT og SSB.</w:t>
      </w:r>
    </w:p>
    <w:bookmarkEnd w:id="63"/>
    <w:bookmarkEnd w:id="64"/>
    <w:bookmarkStart w:id="65" w:name="digitaliseringsstrategien"/>
    <w:p>
      <w:pPr>
        <w:pStyle w:val="Heading1"/>
      </w:pPr>
      <w:r>
        <w:t xml:space="preserve">Digitaliseringsstrategien</w:t>
      </w:r>
    </w:p>
    <w:p>
      <w:pPr>
        <w:pStyle w:val="FirstParagraph"/>
      </w:pPr>
      <w:r>
        <w:rPr>
          <w:i/>
          <w:iCs/>
        </w:rPr>
        <w:t xml:space="preserve">Kort beskrivelse av hvordan prosjektet støtter oppunder regjeringen sin nasjonale digitaliseringsstrategi 2024-2030: Fremtidens digitale Norge</w:t>
      </w:r>
    </w:p>
    <w:p>
      <w:pPr>
        <w:pStyle w:val="BodyText"/>
      </w:pPr>
      <w:r>
        <w:t xml:space="preserve">Prosjektet støtter opp under strategien ved å:</w:t>
      </w:r>
    </w:p>
    <w:p>
      <w:pPr>
        <w:numPr>
          <w:ilvl w:val="0"/>
          <w:numId w:val="1016"/>
        </w:numPr>
      </w:pPr>
      <w:r>
        <w:t xml:space="preserve">Legge fundament for mål om at Norge innen 2030 skal være</w:t>
      </w:r>
      <w:r>
        <w:t xml:space="preserve"> </w:t>
      </w:r>
      <w:r>
        <w:rPr>
          <w:b/>
          <w:bCs/>
        </w:rPr>
        <w:t xml:space="preserve">l</w:t>
      </w:r>
      <w:r>
        <w:t xml:space="preserve">edende p</w:t>
      </w:r>
      <w:r>
        <w:rPr>
          <w:b/>
          <w:bCs/>
        </w:rPr>
        <w:t xml:space="preserve">å verdiskaping med data og på datadrevet forskning og innovasjon</w:t>
      </w:r>
      <w:r>
        <w:t xml:space="preserve">.</w:t>
      </w:r>
    </w:p>
    <w:p>
      <w:pPr>
        <w:numPr>
          <w:ilvl w:val="0"/>
          <w:numId w:val="1016"/>
        </w:numPr>
      </w:pPr>
      <w:r>
        <w:t xml:space="preserve">Operasjonalisere prinsippene om</w:t>
      </w:r>
      <w:r>
        <w:t xml:space="preserve"> </w:t>
      </w:r>
      <w:r>
        <w:rPr>
          <w:b/>
          <w:bCs/>
        </w:rPr>
        <w:t xml:space="preserve">økt datadeling</w:t>
      </w:r>
      <w:r>
        <w:t xml:space="preserve"> </w:t>
      </w:r>
      <w:r>
        <w:t xml:space="preserve">og</w:t>
      </w:r>
      <w:r>
        <w:t xml:space="preserve"> </w:t>
      </w:r>
      <w:r>
        <w:rPr>
          <w:b/>
          <w:bCs/>
        </w:rPr>
        <w:t xml:space="preserve">bedre samordning</w:t>
      </w:r>
      <w:r>
        <w:t xml:space="preserve"> </w:t>
      </w:r>
      <w:r>
        <w:t xml:space="preserve">på tvers av forvaltningsnivåer.</w:t>
      </w:r>
    </w:p>
    <w:p>
      <w:pPr>
        <w:numPr>
          <w:ilvl w:val="0"/>
          <w:numId w:val="1016"/>
        </w:numPr>
      </w:pPr>
      <w:r>
        <w:t xml:space="preserve">Bidra til</w:t>
      </w:r>
      <w:r>
        <w:t xml:space="preserve"> </w:t>
      </w:r>
      <w:r>
        <w:rPr>
          <w:b/>
          <w:bCs/>
        </w:rPr>
        <w:t xml:space="preserve">sammenhengende og brukervennlige tjenester</w:t>
      </w:r>
      <w:r>
        <w:t xml:space="preserve">, her spesielt innen barn og unge – fra barnehage til høyere utdanning</w:t>
      </w:r>
    </w:p>
    <w:p>
      <w:pPr>
        <w:numPr>
          <w:ilvl w:val="0"/>
          <w:numId w:val="1016"/>
        </w:numPr>
      </w:pPr>
      <w:r>
        <w:t xml:space="preserve">Etablere og forvalte</w:t>
      </w:r>
      <w:r>
        <w:t xml:space="preserve"> </w:t>
      </w:r>
      <w:r>
        <w:rPr>
          <w:b/>
          <w:bCs/>
        </w:rPr>
        <w:t xml:space="preserve">felles informasjonsmodeller og datakataloger</w:t>
      </w:r>
      <w:r>
        <w:t xml:space="preserve"> </w:t>
      </w:r>
      <w:r>
        <w:t xml:space="preserve">– grunnlag for bedre datakvalitet, gjenbruk og automatisering.</w:t>
      </w:r>
    </w:p>
    <w:p>
      <w:pPr>
        <w:numPr>
          <w:ilvl w:val="0"/>
          <w:numId w:val="1016"/>
        </w:numPr>
      </w:pPr>
      <w:r>
        <w:t xml:space="preserve">Legge til rette for</w:t>
      </w:r>
      <w:r>
        <w:t xml:space="preserve"> </w:t>
      </w:r>
      <w:r>
        <w:rPr>
          <w:b/>
          <w:bCs/>
        </w:rPr>
        <w:t xml:space="preserve">kunstig intelligens og avansert analyse</w:t>
      </w:r>
      <w:r>
        <w:t xml:space="preserve"> </w:t>
      </w:r>
      <w:r>
        <w:t xml:space="preserve">gjennom tilgang til strukturerte, standardiserte data.</w:t>
      </w:r>
    </w:p>
    <w:p>
      <w:pPr>
        <w:numPr>
          <w:ilvl w:val="0"/>
          <w:numId w:val="1016"/>
        </w:numPr>
      </w:pPr>
      <w:r>
        <w:t xml:space="preserve">Støtte opp om</w:t>
      </w:r>
      <w:r>
        <w:t xml:space="preserve"> </w:t>
      </w:r>
      <w:r>
        <w:rPr>
          <w:b/>
          <w:bCs/>
        </w:rPr>
        <w:t xml:space="preserve">digital inkludering</w:t>
      </w:r>
      <w:r>
        <w:t xml:space="preserve"> </w:t>
      </w:r>
      <w:r>
        <w:t xml:space="preserve">ved å forenkle overgangene i utdanningsløpet og redusere ulikhet i brukeropplevelse.</w:t>
      </w:r>
    </w:p>
    <w:p>
      <w:pPr>
        <w:numPr>
          <w:ilvl w:val="0"/>
          <w:numId w:val="1016"/>
        </w:numPr>
      </w:pPr>
      <w:r>
        <w:t xml:space="preserve">Tilpasse seg og bidra til</w:t>
      </w:r>
      <w:r>
        <w:t xml:space="preserve"> </w:t>
      </w:r>
      <w:r>
        <w:rPr>
          <w:b/>
          <w:bCs/>
        </w:rPr>
        <w:t xml:space="preserve">grenseoverskridende digitale tjenester</w:t>
      </w:r>
      <w:r>
        <w:t xml:space="preserve"> </w:t>
      </w:r>
      <w:r>
        <w:t xml:space="preserve">i tråd med EUs reguleringer (SDGR, OOTS, EUDI Wallet).</w:t>
      </w:r>
    </w:p>
    <w:p>
      <w:pPr>
        <w:numPr>
          <w:ilvl w:val="0"/>
          <w:numId w:val="1016"/>
        </w:numPr>
      </w:pPr>
      <w:r>
        <w:t xml:space="preserve">Legge grunnlag for norsk deltakelse i</w:t>
      </w:r>
      <w:r>
        <w:t xml:space="preserve"> </w:t>
      </w:r>
      <w:r>
        <w:rPr>
          <w:b/>
          <w:bCs/>
        </w:rPr>
        <w:t xml:space="preserve">europeiske data spaces</w:t>
      </w:r>
      <w:r>
        <w:t xml:space="preserve">, særlig Skills Data Space.</w:t>
      </w:r>
    </w:p>
    <w:p>
      <w:pPr>
        <w:numPr>
          <w:ilvl w:val="0"/>
          <w:numId w:val="1016"/>
        </w:numPr>
      </w:pPr>
      <w:r>
        <w:t xml:space="preserve">Realisere prinsippet om</w:t>
      </w:r>
      <w:r>
        <w:t xml:space="preserve"> </w:t>
      </w:r>
      <w:r>
        <w:rPr>
          <w:b/>
          <w:bCs/>
        </w:rPr>
        <w:t xml:space="preserve">kun én gang</w:t>
      </w:r>
      <w:r>
        <w:t xml:space="preserve"> </w:t>
      </w:r>
      <w:r>
        <w:t xml:space="preserve">– brukeren slipper å oppgi samme informasjon flere steder i forvaltningen.</w:t>
      </w:r>
    </w:p>
    <w:bookmarkEnd w:id="65"/>
    <w:bookmarkStart w:id="66" w:name="Xae44b26e9ff03023cede1385201b2fc13903c9e"/>
    <w:p>
      <w:pPr>
        <w:pStyle w:val="Heading1"/>
      </w:pPr>
      <w:r>
        <w:t xml:space="preserve">Etterlevelse av Digitaliseringsrundskrivet</w:t>
      </w:r>
    </w:p>
    <w:p>
      <w:pPr>
        <w:pStyle w:val="FirstParagraph"/>
      </w:pPr>
      <w:r>
        <w:rPr>
          <w:i/>
          <w:iCs/>
        </w:rPr>
        <w:t xml:space="preserve">Kort beskrivelse av hvordan prosjektet vil forholde seg til aktuelle krav og anbefalinger i digitaliseringsrundskrivet.</w:t>
      </w:r>
    </w:p>
    <w:tbl>
      <w:tblPr>
        <w:tblStyle w:val="Table"/>
        <w:tblW w:type="pct" w:w="5000"/>
        <w:tblLayout w:type="fixed"/>
        <w:tblLook w:firstRow="1" w:lastRow="0" w:firstColumn="0" w:lastColumn="0" w:noHBand="0" w:noVBand="0" w:val="0020"/>
      </w:tblPr>
      <w:tblGrid>
        <w:gridCol w:w="2862"/>
        <w:gridCol w:w="5057"/>
      </w:tblGrid>
      <w:tr>
        <w:trPr>
          <w:tblHeader w:val="on"/>
        </w:trPr>
        <w:tc>
          <w:tcPr/>
          <w:p>
            <w:pPr>
              <w:pStyle w:val="Compact"/>
            </w:pPr>
            <w:r>
              <w:t xml:space="preserve">Setter brukeren i sentrum for tjenesteutviklingen</w:t>
            </w:r>
          </w:p>
        </w:tc>
        <w:tc>
          <w:tcPr/>
          <w:p>
            <w:pPr>
              <w:pStyle w:val="Compact"/>
            </w:pPr>
            <w:r>
              <w:t xml:space="preserve">Dette er et hovedanliggende for prosjektet, som handler om å tilrettelegge for sammenhengende tjenester med brukeren i sentrum, på tvers av forvaltningsnivåer og sektorer.</w:t>
            </w:r>
          </w:p>
        </w:tc>
      </w:tr>
      <w:tr>
        <w:tc>
          <w:tcPr/>
          <w:p>
            <w:pPr>
              <w:pStyle w:val="Compact"/>
            </w:pPr>
            <w:r>
              <w:t xml:space="preserve">Tilrettelegger for gjenbruk og viderebruk av informasjon</w:t>
            </w:r>
          </w:p>
        </w:tc>
        <w:tc>
          <w:tcPr/>
          <w:p>
            <w:pPr>
              <w:pStyle w:val="Compact"/>
            </w:pPr>
            <w:r>
              <w:t xml:space="preserve">Dette er et hovedanliggende for prosjektet - som vil ta fram oppdatert beste praksis for informasjonsforvaltning og informasjonsarkitektur på tvers av forvaltningsnivåer og sektorer.</w:t>
            </w:r>
          </w:p>
        </w:tc>
      </w:tr>
      <w:tr>
        <w:tc>
          <w:tcPr/>
          <w:p>
            <w:pPr>
              <w:pStyle w:val="Compact"/>
            </w:pPr>
            <w:r>
              <w:t xml:space="preserve">Tar i bruk kunstig intelligens</w:t>
            </w:r>
          </w:p>
        </w:tc>
        <w:tc>
          <w:tcPr/>
          <w:p>
            <w:pPr>
              <w:pStyle w:val="Compact"/>
            </w:pPr>
            <w:r>
              <w:t xml:space="preserve">I et KI-perspektiv handler prosjektet primært om å skape strukturerte data med høy kvalitet, som grunnlag for gode KI-løsninger. Prosjektet vil også demonstrere hvordan dette kan gjøres i praksis.</w:t>
            </w:r>
          </w:p>
        </w:tc>
      </w:tr>
      <w:tr>
        <w:tc>
          <w:tcPr/>
          <w:p>
            <w:pPr>
              <w:pStyle w:val="Compact"/>
            </w:pPr>
            <w:r>
              <w:t xml:space="preserve">Bygger inn arkiveringsfunksjoner</w:t>
            </w:r>
          </w:p>
        </w:tc>
        <w:tc>
          <w:tcPr/>
          <w:p>
            <w:pPr>
              <w:pStyle w:val="Compact"/>
            </w:pPr>
            <w:r>
              <w:t xml:space="preserve">Prosjektet antas å legge til rette for videre arbeid med innebygget arkivering gjennom å introdusere krav til datavirtualisering og distribuert lagring, slik at en unngår å lage kopier av data eller flytte data ut av kontekst for arkiveringsformål.</w:t>
            </w:r>
          </w:p>
        </w:tc>
      </w:tr>
      <w:tr>
        <w:tc>
          <w:tcPr/>
          <w:p>
            <w:pPr>
              <w:pStyle w:val="Compact"/>
            </w:pPr>
            <w:r>
              <w:t xml:space="preserve">Følger opp informasjonssikkerheten</w:t>
            </w:r>
          </w:p>
        </w:tc>
        <w:tc>
          <w:tcPr/>
          <w:p>
            <w:pPr>
              <w:pStyle w:val="Compact"/>
            </w:pPr>
            <w:r>
              <w:t xml:space="preserve">Det valgte konseptet vil bidra til mindre kopiering av data, med mindre behov for sikring av data på avveie. Metadatabeskrivelser av datasett, tjenester og andre ressurser gir også grunnlag for sikkerhetsklassifisering i tråd med gjeldende føringer.</w:t>
            </w:r>
          </w:p>
        </w:tc>
      </w:tr>
      <w:tr>
        <w:tc>
          <w:tcPr/>
          <w:p>
            <w:pPr>
              <w:pStyle w:val="Compact"/>
            </w:pPr>
            <w:r>
              <w:t xml:space="preserve">Bygger inn personvern</w:t>
            </w:r>
          </w:p>
        </w:tc>
        <w:tc>
          <w:tcPr/>
          <w:p>
            <w:pPr>
              <w:pStyle w:val="Compact"/>
            </w:pPr>
            <w:r>
              <w:t xml:space="preserve">Vurdering av personvernet skal gjøres i alle ledd av prosjektet, og skal hensyntas ved utvikling av tjenester og løsninger.</w:t>
            </w:r>
          </w:p>
        </w:tc>
      </w:tr>
      <w:tr>
        <w:tc>
          <w:tcPr/>
          <w:p>
            <w:pPr>
              <w:pStyle w:val="Compact"/>
            </w:pPr>
            <w:r>
              <w:t xml:space="preserve">Personvern ved bruk av sosiale medier i kommunikasjon med innbyggerne</w:t>
            </w:r>
          </w:p>
        </w:tc>
        <w:tc>
          <w:tcPr/>
          <w:p>
            <w:pPr>
              <w:pStyle w:val="Compact"/>
            </w:pPr>
            <w:r>
              <w:t xml:space="preserve">Prosjektet har foreløpig ikke planlagt kommunikasjon i sosiale medier. Gjeldende krav må som minimum ivaretas i utvalgte piloter dersom det blir relevant, men det er inntil videre ikke klart om dette blir relevant.</w:t>
            </w:r>
          </w:p>
        </w:tc>
      </w:tr>
      <w:tr>
        <w:tc>
          <w:tcPr/>
          <w:p>
            <w:pPr>
              <w:pStyle w:val="Compact"/>
            </w:pPr>
            <w:r>
              <w:t xml:space="preserve">Personvern ved bruk av nettbaserte analyseverktøy</w:t>
            </w:r>
          </w:p>
        </w:tc>
        <w:tc>
          <w:tcPr/>
          <w:p>
            <w:pPr>
              <w:pStyle w:val="Compact"/>
            </w:pPr>
            <w:r>
              <w:t xml:space="preserve">Gjeldende krav må som minimum ivaretas i utvalgte piloter, men det er inntil videre ikke klart om dette blir relevant.</w:t>
            </w:r>
          </w:p>
        </w:tc>
      </w:tr>
      <w:tr>
        <w:tc>
          <w:tcPr/>
          <w:p>
            <w:pPr>
              <w:pStyle w:val="Compact"/>
            </w:pPr>
            <w:r>
              <w:t xml:space="preserve">Bruker nasjonale felleskomponenter og -løsninger (Hvis dere ikke bruker nasjonale felleskomponenter og/eller fellesløsninger skal dette forklares.)</w:t>
            </w:r>
          </w:p>
        </w:tc>
        <w:tc>
          <w:tcPr/>
          <w:p>
            <w:pPr>
              <w:pStyle w:val="Compact"/>
            </w:pPr>
            <w:r>
              <w:t xml:space="preserve">Ja, dette prosjektet vil bruke de fleste nasjonale felleskomponenter og -løsninger. Her nevnes spesielt katalogløsningene i data.norge.no, tjenesteutviklingsplattformen Altinn Studio, KS Fiks-plattform og fylkeskommunenes FINT. Prosjektet vil dessuten bidra aktivt til å forbedre fellesløsningene utfra behov som dette prosjektet har.</w:t>
            </w:r>
          </w:p>
        </w:tc>
      </w:tr>
      <w:tr>
        <w:tc>
          <w:tcPr/>
          <w:p>
            <w:pPr>
              <w:pStyle w:val="Compact"/>
            </w:pPr>
            <w:r>
              <w:t xml:space="preserve">Bruker digital postkasse til innbyggere</w:t>
            </w:r>
          </w:p>
        </w:tc>
        <w:tc>
          <w:tcPr/>
          <w:p>
            <w:pPr>
              <w:pStyle w:val="Compact"/>
            </w:pPr>
            <w:r>
              <w:t xml:space="preserve">Dagens DPI-løsning vil brukes i utvalgte piloter i den grad det fortsatt vil være et relevante krav i prosjektperioden,</w:t>
            </w:r>
          </w:p>
        </w:tc>
      </w:tr>
      <w:tr>
        <w:tc>
          <w:tcPr/>
          <w:p>
            <w:pPr>
              <w:pStyle w:val="Compact"/>
            </w:pPr>
            <w:r>
              <w:t xml:space="preserve">Følger krav om arkitektur og standarder</w:t>
            </w:r>
          </w:p>
        </w:tc>
        <w:tc>
          <w:tcPr/>
          <w:p>
            <w:pPr>
              <w:pStyle w:val="Compact"/>
            </w:pPr>
            <w:r>
              <w:t xml:space="preserve">Alle relevante krav om arkitektur og standarder i Digitaliseringsrundskrivet vil følges, med mindre det er gode grunner til å dokumentere behov for unntak fra visse krav. Prosjektet vil eventuelt også søke å få til endringer i Digitaliseringsrundskrivet i prosjektperioden dersom det anses som viktig.</w:t>
            </w:r>
          </w:p>
        </w:tc>
      </w:tr>
      <w:tr>
        <w:tc>
          <w:tcPr/>
          <w:p>
            <w:pPr>
              <w:pStyle w:val="Compact"/>
            </w:pPr>
            <w:r>
              <w:t xml:space="preserve">Grenseoverskridende tjenester</w:t>
            </w:r>
          </w:p>
        </w:tc>
        <w:tc>
          <w:tcPr/>
          <w:p>
            <w:pPr>
              <w:pStyle w:val="Compact"/>
            </w:pPr>
            <w:r>
              <w:t xml:space="preserve">Løsninger for grenseoverskridende tjenester vil så langt praktisk mulig bygge på aktuelle internasjonale standarder og krav fra EU. Nasjonale felleskomponenter og tjenester vil også, så langt det er hensiktsmessig, utvikles i takt med utviklingen av EUs digitale infrastruktur implementert gjennom EU-programmet DIGITAL, som Norge deltar i. Per i dag handler dette særlig om støtte for arkitektur og løsninger for EUs Single Digital Gateway Regulation (SDGR) og EU Data Spaces. I tilknytning til barn og unge – fra barnehage til høyere utdanninger det felleseuropeiske Skills Data Space særlig relevant.</w:t>
            </w:r>
          </w:p>
        </w:tc>
      </w:tr>
      <w:tr>
        <w:tc>
          <w:tcPr/>
          <w:p>
            <w:pPr>
              <w:pStyle w:val="Compact"/>
            </w:pPr>
            <w:r>
              <w:t xml:space="preserve">Tar i bruk digital anskaffelsesprosess</w:t>
            </w:r>
          </w:p>
        </w:tc>
        <w:tc>
          <w:tcPr/>
          <w:p>
            <w:pPr>
              <w:pStyle w:val="Compact"/>
            </w:pPr>
            <w:r>
              <w:t xml:space="preserve">Ved eventuelle anskaffelser i prosjektet vil gjeldene krav og føringer følges.</w:t>
            </w:r>
          </w:p>
        </w:tc>
      </w:tr>
      <w:tr>
        <w:tc>
          <w:tcPr/>
          <w:p>
            <w:pPr>
              <w:pStyle w:val="Compact"/>
            </w:pPr>
            <w:r>
              <w:t xml:space="preserve">Lager sourcingstrategi</w:t>
            </w:r>
          </w:p>
        </w:tc>
        <w:tc>
          <w:tcPr/>
          <w:p>
            <w:pPr>
              <w:pStyle w:val="Compact"/>
            </w:pPr>
            <w:r>
              <w:t xml:space="preserve">Både Digdir som hovedsøker og andre prosjektdeltakere forutsettes å følge egen sourcingstrategi. I tillegg vil dette prosjektet gjennom standardiserte krav og felles informasjonsmodeller kunne avklare roller og ansvar på en tydeligere måte samt legge til rette for bedre fungerende marked for private leverandører.</w:t>
            </w:r>
          </w:p>
        </w:tc>
      </w:tr>
      <w:tr>
        <w:tc>
          <w:tcPr/>
          <w:p>
            <w:pPr>
              <w:pStyle w:val="Compact"/>
            </w:pPr>
            <w:r>
              <w:t xml:space="preserve">Velger skytjenester</w:t>
            </w:r>
          </w:p>
        </w:tc>
        <w:tc>
          <w:tcPr/>
          <w:p>
            <w:pPr>
              <w:pStyle w:val="Compact"/>
            </w:pPr>
            <w:r>
              <w:t xml:space="preserve">Skytjenester vil vurderes opp mot andre løsninger i henhold til Digitaliseringsrundskrivet.</w:t>
            </w:r>
          </w:p>
        </w:tc>
      </w:tr>
      <w:tr>
        <w:tc>
          <w:tcPr/>
          <w:p>
            <w:pPr>
              <w:pStyle w:val="Compact"/>
            </w:pPr>
            <w:r>
              <w:t xml:space="preserve">Sikrer digital inkludering</w:t>
            </w:r>
          </w:p>
        </w:tc>
        <w:tc>
          <w:tcPr/>
          <w:p>
            <w:pPr>
              <w:pStyle w:val="Compact"/>
            </w:pPr>
            <w:r>
              <w:t xml:space="preserve">Gjeldende krav vil som minimum ivaretas i utvalgte piloter. Prosjektet vil også tilrettelegge for videre forbedringer på dette området gjennom bedre strukturert informasjon.</w:t>
            </w:r>
          </w:p>
        </w:tc>
      </w:tr>
    </w:tbl>
    <w:bookmarkEnd w:id="66"/>
    <w:bookmarkStart w:id="67" w:name="prosjektets-produkter-1"/>
    <w:p>
      <w:pPr>
        <w:pStyle w:val="Heading1"/>
      </w:pPr>
      <w:r>
        <w:t xml:space="preserve">Prosjektets produkter</w:t>
      </w:r>
    </w:p>
    <w:p>
      <w:pPr>
        <w:pStyle w:val="FirstParagraph"/>
      </w:pPr>
      <w:r>
        <w:rPr>
          <w:i/>
          <w:iCs/>
        </w:rPr>
        <w:t xml:space="preserve">Kort beskrivelse av hvilke hovedprodukt prosjektet skal levere.</w:t>
      </w:r>
    </w:p>
    <w:tbl>
      <w:tblPr>
        <w:tblStyle w:val="Table"/>
        <w:tblW w:type="pct" w:w="5000"/>
        <w:tblLayout w:type="fixed"/>
        <w:tblLook w:firstRow="1" w:lastRow="0" w:firstColumn="0" w:lastColumn="0" w:noHBand="0" w:noVBand="0" w:val="0020"/>
      </w:tblPr>
      <w:tblGrid>
        <w:gridCol w:w="284"/>
        <w:gridCol w:w="2867"/>
        <w:gridCol w:w="4767"/>
      </w:tblGrid>
      <w:tr>
        <w:trPr>
          <w:tblHeader w:val="on"/>
        </w:trPr>
        <w:tc>
          <w:tcPr>
            <w:gridSpan w:val="2"/>
          </w:tcPr>
          <w:p>
            <w:pPr>
              <w:pStyle w:val="Compact"/>
              <w:jc w:val="center"/>
            </w:pPr>
            <w:r>
              <w:rPr>
                <w:b/>
                <w:bCs/>
              </w:rPr>
              <w:t xml:space="preserve">Produkt</w:t>
            </w:r>
          </w:p>
        </w:tc>
        <w:tc>
          <w:tcPr/>
          <w:p>
            <w:pPr>
              <w:pStyle w:val="Compact"/>
              <w:jc w:val="center"/>
            </w:pPr>
            <w:r>
              <w:rPr>
                <w:b/>
                <w:bCs/>
              </w:rPr>
              <w:t xml:space="preserve">Beskrivelser</w:t>
            </w:r>
          </w:p>
        </w:tc>
      </w:tr>
      <w:tr>
        <w:tc>
          <w:tcPr/>
          <w:p>
            <w:pPr>
              <w:pStyle w:val="Compact"/>
            </w:pPr>
            <w:r>
              <w:t xml:space="preserve">1</w:t>
            </w:r>
          </w:p>
        </w:tc>
        <w:tc>
          <w:tcPr/>
          <w:p>
            <w:pPr>
              <w:pStyle w:val="Compact"/>
            </w:pPr>
            <w:r>
              <w:t xml:space="preserve">Rammeverk for datadrevet tjenesteutvikling (ansvar: KS/Digdir)</w:t>
            </w:r>
          </w:p>
        </w:tc>
        <w:tc>
          <w:tcPr/>
          <w:p>
            <w:pPr>
              <w:pStyle w:val="Compact"/>
            </w:pPr>
            <w:r>
              <w:t xml:space="preserve">Et rammeverk som beskriver felles konsepter, et felles språk, standarder og en tydelig styringsmodell for samarbeid med roller og ansvar. Rammeverket skal legge grunnlaget for utvikling av nye og forbedrede tjenester ved å etablere en oppdatert beste praksis for hvordan informasjonsmodeller og tjenester kan utvikles og forvaltes i samspill. Med utgangspunkt i barn og unge – fra barnehage til høyere utdanning testes rammeverket ut i utvalgte piloter, men det skal være fleksibelt nok til å støtte videre tjenesteinnovasjon og skalering, og kunne tas i bruk på andre områder.</w:t>
            </w:r>
          </w:p>
        </w:tc>
      </w:tr>
      <w:tr>
        <w:tc>
          <w:tcPr/>
          <w:p>
            <w:pPr>
              <w:pStyle w:val="Compact"/>
            </w:pPr>
            <w:r>
              <w:t xml:space="preserve">2</w:t>
            </w:r>
          </w:p>
        </w:tc>
        <w:tc>
          <w:tcPr/>
          <w:p>
            <w:pPr>
              <w:pStyle w:val="Compact"/>
            </w:pPr>
            <w:r>
              <w:t xml:space="preserve">Felles katalogløsninger (ansvar: Digdir)</w:t>
            </w:r>
          </w:p>
        </w:tc>
        <w:tc>
          <w:tcPr/>
          <w:p>
            <w:pPr>
              <w:pStyle w:val="Compact"/>
            </w:pPr>
            <w:r>
              <w:t xml:space="preserve">Videreføring av standarder og felles offentlige kataloger på dagens plattform (data.norge.no) med nødvendige utvidelser. Samtidig legges det til rette for et åpent økosystem der flere kataloger – det vil si oversikter eller registre over data, tjenester eller andre ressurser – er koblet sammen, men eies og forvaltes av ulike aktører.</w:t>
            </w:r>
            <w:r>
              <w:t xml:space="preserve"> </w:t>
            </w:r>
            <w:r>
              <w:rPr>
                <w:i/>
                <w:iCs/>
              </w:rPr>
              <w:t xml:space="preserve">Eksempler på aktuelle kataloger i data.norge.no:</w:t>
            </w:r>
            <w:r>
              <w:t xml:space="preserve"> </w:t>
            </w:r>
            <w:r>
              <w:t xml:space="preserve">Begrepskatalog, datakatalog, tjeneste- og hendelseskatalog, informasjonsmodellkatalog.</w:t>
            </w:r>
          </w:p>
        </w:tc>
      </w:tr>
      <w:tr>
        <w:tc>
          <w:tcPr/>
          <w:p>
            <w:pPr>
              <w:pStyle w:val="Compact"/>
            </w:pPr>
            <w:r>
              <w:t xml:space="preserve">3</w:t>
            </w:r>
          </w:p>
        </w:tc>
        <w:tc>
          <w:tcPr/>
          <w:p>
            <w:pPr>
              <w:pStyle w:val="Compact"/>
            </w:pPr>
            <w:r>
              <w:t xml:space="preserve">Felles informasjonsmodeller innen oppvekst og utdanning (ansvar: "flere")</w:t>
            </w:r>
          </w:p>
        </w:tc>
        <w:tc>
          <w:tcPr/>
          <w:p>
            <w:pPr>
              <w:pStyle w:val="Compact"/>
            </w:pPr>
            <w:r>
              <w:t xml:space="preserve">Felles informasjonsmodeller som beskriver sentrale begreper og sammenhenger mellom lovpålagte rettigheter, plikter, oppgaver, tjenester, hendelser og datastrukturer i oppvekst og utdanning – på tvers av kommunale og statlige systemer, gjennom hele løpet fra barnehage til høyere utdanning. Modellarbeidet i prosjektet avgrenses til at konkrete tjenester kan piloteres, og videreutvikles etter hvert som pilotene gjennomføres og erfaringer oppnås.</w:t>
            </w:r>
          </w:p>
        </w:tc>
      </w:tr>
      <w:tr>
        <w:tc>
          <w:tcPr/>
          <w:p>
            <w:pPr>
              <w:pStyle w:val="Compact"/>
            </w:pPr>
            <w:r>
              <w:t xml:space="preserve">4</w:t>
            </w:r>
          </w:p>
        </w:tc>
        <w:tc>
          <w:tcPr/>
          <w:p>
            <w:pPr>
              <w:pStyle w:val="Compact"/>
            </w:pPr>
            <w:r>
              <w:t xml:space="preserve">Forbedrede fellesløsninger (ansvar "flere")</w:t>
            </w:r>
          </w:p>
        </w:tc>
        <w:tc>
          <w:tcPr/>
          <w:p>
            <w:pPr>
              <w:pStyle w:val="Compact"/>
            </w:pPr>
            <w:r>
              <w:t xml:space="preserve">Forbedringer i eksisterende fellesløsninger og -tjenester som dekker behovene innen barn og unge – fra barnehage til høyere utdanning. Tiltakene utvikles i tråd med behov som avdekkes i arbeidet med MVP-er og piloter. Det etableres en felles backlog/prioriteringsliste for å sikre framdrift i utviklingen av økosystemet og de digitale verdikjedene.</w:t>
            </w:r>
          </w:p>
        </w:tc>
      </w:tr>
      <w:tr>
        <w:tc>
          <w:tcPr/>
          <w:p>
            <w:pPr>
              <w:pStyle w:val="Compact"/>
            </w:pPr>
            <w:r>
              <w:t xml:space="preserve">5</w:t>
            </w:r>
          </w:p>
        </w:tc>
        <w:tc>
          <w:tcPr/>
          <w:p>
            <w:pPr>
              <w:pStyle w:val="Compact"/>
            </w:pPr>
            <w:r>
              <w:t xml:space="preserve">MVP-er for utvikling av informasjonsmodeller og tjenester (ansvar: flere)</w:t>
            </w:r>
          </w:p>
        </w:tc>
        <w:tc>
          <w:tcPr/>
          <w:p>
            <w:pPr>
              <w:pStyle w:val="BodyText"/>
            </w:pPr>
            <w:r>
              <w:t xml:space="preserve">Utvikling av MVP-er og piloter som demonstrerer hvordan det valgte konseptet gir effektiv utvikling av informasjonsmodeller og tjenester</w:t>
            </w:r>
            <w:r>
              <w:t xml:space="preserve"> </w:t>
            </w:r>
            <w:r>
              <w:rPr>
                <w:u w:val="single"/>
              </w:rPr>
              <w:t xml:space="preserve">i praksis</w:t>
            </w:r>
            <w:r>
              <w:t xml:space="preserve">. Prosjektet vil prioritere konkrete tjenester og brukstilfeller underveis (fra planleggingsfasen og videre). Foreløpige eksempler:</w:t>
            </w:r>
          </w:p>
          <w:p>
            <w:pPr>
              <w:numPr>
                <w:ilvl w:val="0"/>
                <w:numId w:val="1017"/>
              </w:numPr>
            </w:pPr>
            <w:r>
              <w:t xml:space="preserve">Overganger mellom utdanningsnivåer (fra barnehage til grunnskole, videre til videregående og høyere utdanning) – f.eks. utveksling av elevinformasjon ved skolebytte.</w:t>
            </w:r>
          </w:p>
          <w:p>
            <w:pPr>
              <w:numPr>
                <w:ilvl w:val="0"/>
                <w:numId w:val="1017"/>
              </w:numPr>
            </w:pPr>
            <w:r>
              <w:t xml:space="preserve">Fordeling av elever i overgang fra grunnskole til videregående av kriminalitetsforebyggende hensyn</w:t>
            </w:r>
          </w:p>
          <w:p>
            <w:pPr>
              <w:numPr>
                <w:ilvl w:val="0"/>
                <w:numId w:val="1017"/>
              </w:numPr>
            </w:pPr>
            <w:r>
              <w:t xml:space="preserve">Bytte av skole eller studiested.</w:t>
            </w:r>
          </w:p>
          <w:p>
            <w:pPr>
              <w:numPr>
                <w:ilvl w:val="0"/>
                <w:numId w:val="1017"/>
              </w:numPr>
            </w:pPr>
            <w:r>
              <w:t xml:space="preserve">Samspill med andre kommunale tjenester som barnevern eller PPT.</w:t>
            </w:r>
          </w:p>
          <w:p>
            <w:pPr>
              <w:numPr>
                <w:ilvl w:val="0"/>
                <w:numId w:val="1017"/>
              </w:numPr>
            </w:pPr>
            <w:r>
              <w:t xml:space="preserve">Samspill med arbeidslivet</w:t>
            </w:r>
          </w:p>
          <w:p>
            <w:pPr>
              <w:numPr>
                <w:ilvl w:val="0"/>
                <w:numId w:val="1017"/>
              </w:numPr>
            </w:pPr>
            <w:r>
              <w:t xml:space="preserve">Digital dialog og økt involvering mellom barnehage/skole og hjemmet (foresatte og elever).</w:t>
            </w:r>
          </w:p>
          <w:p>
            <w:pPr>
              <w:numPr>
                <w:ilvl w:val="0"/>
                <w:numId w:val="1017"/>
              </w:numPr>
            </w:pPr>
            <w:r>
              <w:t xml:space="preserve">Endring av utdanningsløp eller studieretning.</w:t>
            </w:r>
          </w:p>
          <w:p>
            <w:pPr>
              <w:numPr>
                <w:ilvl w:val="0"/>
                <w:numId w:val="1017"/>
              </w:numPr>
            </w:pPr>
            <w:r>
              <w:t xml:space="preserve">Avbrutt utdanning (frafall).</w:t>
            </w:r>
          </w:p>
          <w:p>
            <w:pPr>
              <w:numPr>
                <w:ilvl w:val="0"/>
                <w:numId w:val="1017"/>
              </w:numPr>
            </w:pPr>
            <w:r>
              <w:t xml:space="preserve">Deling av digitale vitnemål og kompetansebevis med arbeidslivet</w:t>
            </w:r>
          </w:p>
          <w:p>
            <w:pPr>
              <w:numPr>
                <w:ilvl w:val="0"/>
                <w:numId w:val="1017"/>
              </w:numPr>
            </w:pPr>
            <w:r>
              <w:t xml:space="preserve">Effektive IT-anskaffelser med felles standarder</w:t>
            </w:r>
          </w:p>
          <w:p>
            <w:pPr>
              <w:numPr>
                <w:ilvl w:val="0"/>
                <w:numId w:val="1017"/>
              </w:numPr>
            </w:pPr>
            <w:r>
              <w:t xml:space="preserve">KI-løsninger basert på strukturerte, felles informasjonsmodeller innen oppvekst og utdanning, i samarbeid med andre KI-initiativ.</w:t>
            </w:r>
          </w:p>
          <w:p>
            <w:pPr>
              <w:numPr>
                <w:ilvl w:val="0"/>
                <w:numId w:val="1017"/>
              </w:numPr>
            </w:pPr>
            <w:r>
              <w:t xml:space="preserve">Hendelsesdrevet og automatisert rapportering med MVP på ny løsning for dette (f.eks. rapportering til SSB/KOSTRA).</w:t>
            </w:r>
          </w:p>
        </w:tc>
      </w:tr>
      <w:tr>
        <w:tc>
          <w:tcPr/>
          <w:p>
            <w:pPr>
              <w:pStyle w:val="Compact"/>
            </w:pPr>
            <w:r>
              <w:t xml:space="preserve">6</w:t>
            </w:r>
          </w:p>
        </w:tc>
        <w:tc>
          <w:tcPr/>
          <w:p>
            <w:pPr>
              <w:pStyle w:val="Compact"/>
            </w:pPr>
            <w:r>
              <w:t xml:space="preserve">Innspill til regelverksendringer (ansvar: Digdir)</w:t>
            </w:r>
          </w:p>
        </w:tc>
        <w:tc>
          <w:tcPr/>
          <w:p>
            <w:pPr>
              <w:pStyle w:val="Compact"/>
            </w:pPr>
            <w:r>
              <w:t xml:space="preserve">Innspill til endring av lovverket for å rydde bort juridiske samhandlingshindre. Dette gjøres så tidlig som mulig, for å legge til rette for pilotering og videre skalering, men prosjektet tar ikke ansvar for selve lovarbeidet.</w:t>
            </w:r>
          </w:p>
        </w:tc>
      </w:tr>
      <w:tr>
        <w:tc>
          <w:tcPr/>
          <w:p>
            <w:pPr>
              <w:pStyle w:val="Compact"/>
            </w:pPr>
            <w:r>
              <w:t xml:space="preserve">7</w:t>
            </w:r>
          </w:p>
        </w:tc>
        <w:tc>
          <w:tcPr/>
          <w:p>
            <w:pPr>
              <w:pStyle w:val="Compact"/>
            </w:pPr>
            <w:r>
              <w:t xml:space="preserve">Erfaringsdeling for kompetansebygging og utbredelse (ansvar: Digdir)</w:t>
            </w:r>
          </w:p>
        </w:tc>
        <w:tc>
          <w:tcPr/>
          <w:p>
            <w:pPr>
              <w:pStyle w:val="Compact"/>
            </w:pPr>
            <w:r>
              <w:t xml:space="preserve">Prosjektets resultater og erfaringer dokumenteres og spres slik at andre kan dra nytte av dem, både underveis og i etterkant av prosjektet. Dette skal bidra til videre utbredelse og skalering av konseptene og løsningene som etableres. Alt relevant materiale tas vare på i en samlet sluttrapport ved prosjektets avslutning, inkludert veiledere, dokumentasjon og eksempler.</w:t>
            </w:r>
          </w:p>
        </w:tc>
      </w:tr>
    </w:tbl>
    <w:bookmarkEnd w:id="67"/>
    <w:bookmarkStart w:id="68" w:name="interessenter"/>
    <w:p>
      <w:pPr>
        <w:pStyle w:val="Heading1"/>
      </w:pPr>
      <w:r>
        <w:t xml:space="preserve">Interessenter</w:t>
      </w:r>
    </w:p>
    <w:p>
      <w:pPr>
        <w:pStyle w:val="FirstParagraph"/>
      </w:pPr>
      <w:r>
        <w:rPr>
          <w:i/>
          <w:iCs/>
        </w:rPr>
        <w:t xml:space="preserve">De viktigste interne og eksterne interessentene for prosjektet, og hva interessen består i.</w:t>
      </w:r>
    </w:p>
    <w:tbl>
      <w:tblPr>
        <w:tblStyle w:val="Table"/>
        <w:tblW w:type="pct" w:w="5000"/>
        <w:tblLayout w:type="fixed"/>
        <w:tblLook w:firstRow="1" w:lastRow="0" w:firstColumn="0" w:lastColumn="0" w:noHBand="0" w:noVBand="0" w:val="0020"/>
      </w:tblPr>
      <w:tblGrid>
        <w:gridCol w:w="1945"/>
        <w:gridCol w:w="5974"/>
      </w:tblGrid>
      <w:tr>
        <w:trPr>
          <w:tblHeader w:val="on"/>
        </w:trPr>
        <w:tc>
          <w:tcPr/>
          <w:p>
            <w:pPr>
              <w:pStyle w:val="Compact"/>
            </w:pPr>
            <w:r>
              <w:rPr>
                <w:b/>
                <w:bCs/>
              </w:rPr>
              <w:t xml:space="preserve">Interessent</w:t>
            </w:r>
          </w:p>
        </w:tc>
        <w:tc>
          <w:tcPr/>
          <w:p>
            <w:pPr>
              <w:pStyle w:val="Compact"/>
              <w:jc w:val="center"/>
            </w:pPr>
            <w:r>
              <w:rPr>
                <w:b/>
                <w:bCs/>
              </w:rPr>
              <w:t xml:space="preserve">Hvilken interesse har disse i prosjektet?</w:t>
            </w:r>
          </w:p>
        </w:tc>
      </w:tr>
      <w:tr>
        <w:tc>
          <w:tcPr/>
          <w:p>
            <w:pPr>
              <w:pStyle w:val="Compact"/>
            </w:pPr>
            <w:r>
              <w:t xml:space="preserve">(navn på virksomhet o.l.)</w:t>
            </w:r>
          </w:p>
        </w:tc>
        <w:tc>
          <w:tcPr/>
          <w:p>
            <w:pPr>
              <w:pStyle w:val="Compact"/>
              <w:jc w:val="center"/>
            </w:pPr>
            <w:r>
              <w:t xml:space="preserve">(f.eks. gevinsteier, samarbeidspart, premissgiver osv.)</w:t>
            </w:r>
          </w:p>
        </w:tc>
      </w:tr>
      <w:tr>
        <w:tc>
          <w:tcPr/>
          <w:p>
            <w:pPr>
              <w:pStyle w:val="Compact"/>
            </w:pPr>
            <w:r>
              <w:t xml:space="preserve">Udir</w:t>
            </w:r>
          </w:p>
        </w:tc>
        <w:tc>
          <w:tcPr/>
          <w:p>
            <w:pPr>
              <w:pStyle w:val="Compact"/>
              <w:jc w:val="center"/>
            </w:pPr>
            <w:r>
              <w:t xml:space="preserve">Premissgiver og samarbeidspart. Udir utvikler kunnskap om tilstanden i barnehage, SFO, skole og fagopplæring gjennom forskning, evaluering, statistikk, flere internasjonale studier, elevundersøkelsen og andre brukerundersøkelser.  Udir har derfor behov for data og informasjon fra ulike forvaltningsnivåer, deriblant kommuner og fylkeskommuner. Prosjektet bidrar til at Udir kan få høyere kvalitet og mer standardisert rapportering fra kommunene.</w:t>
            </w:r>
          </w:p>
        </w:tc>
      </w:tr>
      <w:tr>
        <w:tc>
          <w:tcPr/>
          <w:p>
            <w:pPr>
              <w:pStyle w:val="Compact"/>
            </w:pPr>
            <w:r>
              <w:t xml:space="preserve">KS</w:t>
            </w:r>
          </w:p>
        </w:tc>
        <w:tc>
          <w:tcPr/>
          <w:p>
            <w:pPr>
              <w:pStyle w:val="Compact"/>
              <w:jc w:val="center"/>
            </w:pPr>
            <w:r>
              <w:t xml:space="preserve">Samarbeidspart og gevinsteier. KS samler kommunesektoren i digitaliseringsarbeidet og fremmer deres interesser. Kommunesektorens behov defineres gjennom samstyringsorganer som KommIT-rådet, digitaliseringsutvalget og underliggende fagutvalg, i samarbeid med digitaliseringsnettverkene. I prosjektet har KS ansvar for å fremme kommunesektorens behov, og skal også bidra med relevante ressurspersoner særlig for å fremme sammenhenger, felles arkitektur og bidra til at gevinstene kan hentes ut i sektoren.</w:t>
            </w:r>
          </w:p>
        </w:tc>
      </w:tr>
      <w:tr>
        <w:tc>
          <w:tcPr/>
          <w:p>
            <w:pPr>
              <w:pStyle w:val="Compact"/>
            </w:pPr>
            <w:r>
              <w:t xml:space="preserve">KS Digital</w:t>
            </w:r>
          </w:p>
        </w:tc>
        <w:tc>
          <w:tcPr/>
          <w:p>
            <w:pPr>
              <w:pStyle w:val="Compact"/>
              <w:jc w:val="center"/>
            </w:pPr>
            <w:r>
              <w:t xml:space="preserve">Samarbeidspart (under KS). KS Digital skal bidra til å øke farten på digitalisering i kommuner og fylkeskommuner. Selskapet er heleid av KS, har et ikke-økonomisk formål og er styrt av kommunene og fylkeskommunene. KS Digital etablerer og leverer tjenester og løsninger på behov i kommuner og fylkeskommuner, og skal legge til rette for at tjenestene kan bli tatt i bruk og skape en felles gevinst for sektoren. Prosjektet er i tråd med eierstrategi og virksomhetsstrategi gjennom samarbeid med andre aktører og bidrag til bedre og billigere tjenester til kommuner og fylkeskommuner innen oppvekst.</w:t>
            </w:r>
          </w:p>
        </w:tc>
      </w:tr>
      <w:tr>
        <w:tc>
          <w:tcPr/>
          <w:p>
            <w:pPr>
              <w:pStyle w:val="Compact"/>
            </w:pPr>
            <w:r>
              <w:t xml:space="preserve">Statsforvalterens felles tjenester (STAF)</w:t>
            </w:r>
          </w:p>
        </w:tc>
        <w:tc>
          <w:tcPr/>
          <w:p>
            <w:pPr>
              <w:pStyle w:val="Compact"/>
              <w:jc w:val="center"/>
            </w:pPr>
            <w:r>
              <w:t xml:space="preserve">Samarbeidspartner og viktig krav/behovsstiller i arbeidet. STAF får bedre forutsetninger for å utøve sine oppgaver (veiledning, tilskudd, tilsyn og klagebehandling).  </w:t>
            </w:r>
          </w:p>
        </w:tc>
      </w:tr>
      <w:tr>
        <w:tc>
          <w:tcPr/>
          <w:p>
            <w:pPr>
              <w:pStyle w:val="Compact"/>
            </w:pPr>
            <w:r>
              <w:t xml:space="preserve">HK-dir</w:t>
            </w:r>
          </w:p>
        </w:tc>
        <w:tc>
          <w:tcPr/>
          <w:p>
            <w:pPr>
              <w:pStyle w:val="Compact"/>
              <w:jc w:val="center"/>
            </w:pPr>
            <w:r>
              <w:t xml:space="preserve">Premissgiver og samarbeidspart. HK-dir får bedre oversikt over sammenhenger mellom grunnopplæring, høyere utdanning og overgang til arbeidsmarkedet, og bidrar med videreutvikling av felles datamodeller i KUDAF (dataanalyseorientert, sekundærdata) i sammenheng med tilsvarende fra SIKT (systemintegrasjonsorientert, primærdata).</w:t>
            </w:r>
          </w:p>
        </w:tc>
      </w:tr>
      <w:tr>
        <w:tc>
          <w:tcPr/>
          <w:p>
            <w:pPr>
              <w:pStyle w:val="Compact"/>
            </w:pPr>
            <w:r>
              <w:t xml:space="preserve">Digdir</w:t>
            </w:r>
          </w:p>
        </w:tc>
        <w:tc>
          <w:tcPr/>
          <w:p>
            <w:pPr>
              <w:pStyle w:val="Compact"/>
              <w:jc w:val="center"/>
            </w:pPr>
            <w:r>
              <w:t xml:space="preserve">Premissgiver og samarbeidspart. Digitaliseringsdirektoratet har, generelt og også i dette prosjektet, ansvar for å samordne og tilrettelegge for helhetlige, sammenhengende tjenester av god kvalitet i offentlig sektor. For Digitaliseringsdirektoratet representerer prosjektet en strategisk investering som, selv om det ikke genererer umiddelbare besparelser i egen virksomhet, er i tråd med vårt samfunnsoppdrag om å legge til rette for en effektiv, brukerorientert og koordinert digitalisering av offentlig sektor. Prosjektet forventes også å skape grunnlag for nye muligheter til utvidet bruk og videreutvikling av Digdirs fellesløsninger.</w:t>
            </w:r>
          </w:p>
        </w:tc>
      </w:tr>
      <w:tr>
        <w:tc>
          <w:tcPr/>
          <w:p>
            <w:pPr>
              <w:pStyle w:val="Compact"/>
            </w:pPr>
            <w:r>
              <w:t xml:space="preserve">Sikt</w:t>
            </w:r>
          </w:p>
        </w:tc>
        <w:tc>
          <w:tcPr/>
          <w:p>
            <w:pPr>
              <w:jc w:val="center"/>
            </w:pPr>
            <w:r>
              <w:t xml:space="preserve">Sikt er kunnskapssektorens tjenesteleverandør, og har ansvar for mange av de nasjonale digitale fellestjenestene som brukes i kunnskapssektoren. </w:t>
            </w:r>
          </w:p>
          <w:p>
            <w:pPr>
              <w:jc w:val="center"/>
            </w:pPr>
            <w:r>
              <w:t xml:space="preserve">Sikt skal bidra til utvikling av sammenhengende digitale tjenester på tvers av offentlig sektor, forsterke verdiskapning basert på datadeling og økt samarbeid mellom offentlige aktører med et spesielt fokus på data. Sikt sitt bidrag i prosjektet vil knyttes til videreutvikling av Sikts dataorienterte tjenester og økosystemene rundt disse med fokus på: </w:t>
            </w:r>
          </w:p>
          <w:p>
            <w:pPr>
              <w:numPr>
                <w:ilvl w:val="0"/>
                <w:numId w:val="1018"/>
              </w:numPr>
              <w:jc w:val="center"/>
            </w:pPr>
            <w:r>
              <w:t xml:space="preserve">Feide - enklere pålogging og datadeling i kunnskapssektoren.</w:t>
            </w:r>
          </w:p>
          <w:p>
            <w:pPr>
              <w:numPr>
                <w:ilvl w:val="0"/>
                <w:numId w:val="1018"/>
              </w:numPr>
              <w:jc w:val="center"/>
            </w:pPr>
            <w:r>
              <w:t xml:space="preserve">Nasjonale registre, herunder utdanningsregister, kompetansebevis-register og personid, videreutvikle de felles generiske datamodellene for autorative register og pilotering av bruk på flere utdanningsnivåer for disse registrene).</w:t>
            </w:r>
          </w:p>
        </w:tc>
      </w:tr>
      <w:tr>
        <w:tc>
          <w:tcPr/>
          <w:p>
            <w:pPr>
              <w:pStyle w:val="Compact"/>
            </w:pPr>
            <w:r>
              <w:t xml:space="preserve">SSB</w:t>
            </w:r>
          </w:p>
        </w:tc>
        <w:tc>
          <w:tcPr/>
          <w:p>
            <w:pPr>
              <w:pStyle w:val="Compact"/>
              <w:jc w:val="center"/>
            </w:pPr>
            <w:r>
              <w:rPr>
                <w:i/>
                <w:iCs/>
              </w:rPr>
              <w:t xml:space="preserve">Samarbeidspartner. SSB ønsker å samle inn data for utarbeiding av offisiell statistikk på en mest mulig effektiv og trygg måte, og til lavest mulig kostnad for de som skal levere data. SSB gjenbruker mest mulig data som allerede fins i offentlige registre, og ønsker å hente dem inn gjennom trygge kanaler og etablerte tjenester som allerede benyttes av oppgavegivere og respondenter til andre formål for deling av data. SSB vil bidra til at informasjonsmodellen blir rik nok til å dekke de vesentligste behovene for datagrunnlag til offisiell statistikk. SSB vil videre bidra til at rapportering av data innenfor og mellom ulike sektorer/forvaltningsnivåer kan skje mest mulig sømløst også for statistikkformål der deling av data fra relevante kilder blir etablert rapportering av styringsdata, kontrollformål. Prosjektet er relevant for fremtidige forenklinger knyttet til utdanningsstatistikk og for enklere tilgang til data i KOSTRA.</w:t>
            </w:r>
          </w:p>
        </w:tc>
      </w:tr>
      <w:tr>
        <w:tc>
          <w:tcPr/>
          <w:p>
            <w:pPr>
              <w:pStyle w:val="Compact"/>
            </w:pPr>
            <w:r>
              <w:t xml:space="preserve">Novari IKS</w:t>
            </w:r>
          </w:p>
        </w:tc>
        <w:tc>
          <w:tcPr/>
          <w:p>
            <w:pPr>
              <w:pStyle w:val="Compact"/>
              <w:jc w:val="center"/>
            </w:pPr>
            <w:r>
              <w:t xml:space="preserve">Samarbeidspart. Novari IKS ivaretar fylkeskommunenes behov for digitale tjenester og utvikler blant annet felleskomponenter for videregående opplæring for alle fylkeskommuner. Novari har utviklet og drifter FINT og kan på vegne av fylkeskommunene bidra med erfaring og kompetanse rundt felles informasjonsmodell. Prosjektet vil bidra til at Novari på en bedre måte enn i dag kan oppfylle oppdraget med å ivareta fylkeskommunenes behov for datadeling på tvers av forvaltningsnivåer og hente ut gevinster for hele utdanningssektoren.</w:t>
            </w:r>
          </w:p>
        </w:tc>
      </w:tr>
      <w:tr>
        <w:tc>
          <w:tcPr/>
          <w:p>
            <w:pPr>
              <w:pStyle w:val="Compact"/>
            </w:pPr>
            <w:r>
              <w:t xml:space="preserve">Innbygger</w:t>
            </w:r>
          </w:p>
        </w:tc>
        <w:tc>
          <w:tcPr/>
          <w:p>
            <w:pPr>
              <w:pStyle w:val="Compact"/>
              <w:jc w:val="center"/>
            </w:pPr>
            <w:r>
              <w:t xml:space="preserve">Tjenestemottaker. Barn, foresatte, elever og studenter skal oppleve sømløse, enkle og sammenhengende tjenester i møtet med det offentlige innen oppvekst og utdanning.</w:t>
            </w:r>
          </w:p>
        </w:tc>
      </w:tr>
      <w:tr>
        <w:tc>
          <w:tcPr/>
          <w:p>
            <w:pPr>
              <w:pStyle w:val="Compact"/>
            </w:pPr>
            <w:r>
              <w:t xml:space="preserve">Private leverandører av digitale tjenester</w:t>
            </w:r>
          </w:p>
        </w:tc>
        <w:tc>
          <w:tcPr/>
          <w:p>
            <w:pPr>
              <w:pStyle w:val="Compact"/>
              <w:jc w:val="center"/>
            </w:pPr>
            <w:r>
              <w:t xml:space="preserve">Leverandør og tjenestemottaker: Leverer tjenester til offentlig sektor og kan påvirkes av prosjektets leveranser. Prosjektet kan bidra til at næringslivet kan tilby bedre tjenester basert på standardiserte informasjonsmodeller og integrasjonsgrensesnitt.</w:t>
            </w:r>
          </w:p>
        </w:tc>
      </w:tr>
      <w:tr>
        <w:tc>
          <w:tcPr/>
          <w:p>
            <w:pPr>
              <w:pStyle w:val="Compact"/>
            </w:pPr>
            <w:r>
              <w:t xml:space="preserve">Private utdanningstilbud</w:t>
            </w:r>
          </w:p>
        </w:tc>
        <w:tc>
          <w:tcPr/>
          <w:p>
            <w:pPr>
              <w:pStyle w:val="Compact"/>
              <w:jc w:val="center"/>
            </w:pPr>
            <w:r>
              <w:t xml:space="preserve">Leverandør. Prosjekter tilrettelegger for at privat utdanning kan fungere mer integrert med offentlige utdanningstilbud, med enklere overganger og muligheter for kombinasjon.</w:t>
            </w:r>
          </w:p>
        </w:tc>
      </w:tr>
      <w:tr>
        <w:tc>
          <w:tcPr/>
          <w:p>
            <w:pPr>
              <w:pStyle w:val="Compact"/>
            </w:pPr>
            <w:r>
              <w:t xml:space="preserve">Arbeidsgivere</w:t>
            </w:r>
          </w:p>
        </w:tc>
        <w:tc>
          <w:tcPr/>
          <w:p>
            <w:pPr>
              <w:pStyle w:val="Compact"/>
              <w:jc w:val="center"/>
            </w:pPr>
            <w:r>
              <w:t xml:space="preserve">Tjenestemottakere. Arbeidsgivere får digitale studiebevis som de kan stole på og som kan sammenliknes maskinelt. Prosjekter tilrettelegger dessuten for bedre integrasjon mellom utdanning og arbeidsliv, slik at mer av utdanningen eventuelt kan skje i praktisk arbeid. Dette handler også om å tilrettelegge for videre arbeid med mål om livslang læring.</w:t>
            </w:r>
          </w:p>
        </w:tc>
      </w:tr>
      <w:tr>
        <w:tc>
          <w:tcPr/>
          <w:p>
            <w:pPr>
              <w:pStyle w:val="Compact"/>
            </w:pPr>
            <w:r>
              <w:t xml:space="preserve">Styringsorganer</w:t>
            </w:r>
          </w:p>
        </w:tc>
        <w:tc>
          <w:tcPr/>
          <w:p>
            <w:pPr>
              <w:jc w:val="center"/>
            </w:pPr>
            <w:r>
              <w:t xml:space="preserve">Styring og forankring. Eksempler:</w:t>
            </w:r>
          </w:p>
          <w:p>
            <w:pPr>
              <w:numPr>
                <w:ilvl w:val="0"/>
                <w:numId w:val="1019"/>
              </w:numPr>
              <w:jc w:val="center"/>
            </w:pPr>
            <w:r>
              <w:t xml:space="preserve">Samstyringsrådet for digitalisering i grunnopplæringen.</w:t>
            </w:r>
          </w:p>
          <w:p>
            <w:pPr>
              <w:numPr>
                <w:ilvl w:val="0"/>
                <w:numId w:val="1019"/>
              </w:numPr>
              <w:jc w:val="center"/>
            </w:pPr>
            <w:r>
              <w:t xml:space="preserve">Direktørgruppen for digital transformasjon i utdanningen.</w:t>
            </w:r>
          </w:p>
          <w:p>
            <w:pPr>
              <w:numPr>
                <w:ilvl w:val="0"/>
                <w:numId w:val="1019"/>
              </w:numPr>
              <w:jc w:val="center"/>
            </w:pPr>
            <w:r>
              <w:t xml:space="preserve">Skate</w:t>
            </w:r>
          </w:p>
          <w:p>
            <w:pPr>
              <w:numPr>
                <w:ilvl w:val="0"/>
                <w:numId w:val="1019"/>
              </w:numPr>
              <w:jc w:val="center"/>
            </w:pPr>
            <w:r>
              <w:t xml:space="preserve">Arkitektur- og standardiseringsrådet</w:t>
            </w:r>
          </w:p>
        </w:tc>
      </w:tr>
      <w:tr>
        <w:tc>
          <w:tcPr/>
          <w:p>
            <w:pPr>
              <w:pStyle w:val="Compact"/>
            </w:pPr>
            <w:r>
              <w:t xml:space="preserve">Andre offentlige aktører</w:t>
            </w:r>
          </w:p>
        </w:tc>
        <w:tc>
          <w:tcPr/>
          <w:p>
            <w:pPr>
              <w:jc w:val="center"/>
            </w:pPr>
            <w:r>
              <w:t xml:space="preserve">Leverandør og samarbeidspart. Aktører som leverer offentlige tjenester kan ha stor nytteverdi av en standardisert informasjonsmodell, som også kan gjenbrukes og videreføres på andre områder. Det kan bidra til at det blir enklere for offentlige aktører å få tilgang på data, bygge bedre tjenester og bidra til sømløse brukerreiser.</w:t>
            </w:r>
          </w:p>
          <w:p>
            <w:pPr>
              <w:jc w:val="center"/>
            </w:pPr>
            <w:r>
              <w:t xml:space="preserve">Kommuner og fylkeskommuner vil involveres i arbeidet for å sikre nær dialog med tjenestene som prosjektet skal understøtte.</w:t>
            </w:r>
          </w:p>
        </w:tc>
      </w:tr>
      <w:tr>
        <w:tc>
          <w:tcPr/>
          <w:p>
            <w:pPr>
              <w:pStyle w:val="Compact"/>
            </w:pPr>
            <w:r>
              <w:t xml:space="preserve">Kommuner</w:t>
            </w:r>
          </w:p>
        </w:tc>
        <w:tc>
          <w:tcPr/>
          <w:p>
            <w:pPr>
              <w:pStyle w:val="Compact"/>
              <w:jc w:val="center"/>
            </w:pPr>
            <w:r>
              <w:t xml:space="preserve">Kommuner er tjenesteleverandører for innbyggere og næringsliv, med ansvar for viktige velferdstjenester som helse, omsorg, utdanning, teknisk infrastruktur og samfunnsutvikling og mer. Kommunene produserer og leverer tjenester, ofte i samarbeid med statlige aktører og private leverandører. Kommunen skal sikre brukervennlige, tilgjengelige, sikre og effektive tjenester, og har et økende ansvar for digital tjenesteutvikling og datadrevet forvaltning.</w:t>
            </w:r>
          </w:p>
        </w:tc>
      </w:tr>
      <w:tr>
        <w:tc>
          <w:tcPr/>
          <w:p>
            <w:pPr>
              <w:pStyle w:val="Compact"/>
            </w:pPr>
            <w:r>
              <w:t xml:space="preserve">Fylkeskommuner</w:t>
            </w:r>
          </w:p>
        </w:tc>
        <w:tc>
          <w:tcPr/>
          <w:p>
            <w:pPr>
              <w:pStyle w:val="Compact"/>
              <w:jc w:val="center"/>
            </w:pPr>
            <w:r>
              <w:t xml:space="preserve">Fylkeskommuner leverer regionale tjenester og har ansvar for områder som videregående opplæring, kollektivtransport, tannhelse, regional utvikling, kultur og næringsutvikling. Fylkeskommuner har også et økende fokus på digitalisering, datadeling og innovasjon for å møte fremtidige behov.</w:t>
            </w:r>
          </w:p>
        </w:tc>
      </w:tr>
      <w:tr>
        <w:tc>
          <w:tcPr/>
          <w:p>
            <w:pPr>
              <w:pStyle w:val="Compact"/>
            </w:pPr>
          </w:p>
        </w:tc>
        <w:tc>
          <w:tcPr/>
          <w:p>
            <w:pPr>
              <w:pStyle w:val="Compact"/>
            </w:pPr>
          </w:p>
        </w:tc>
      </w:tr>
    </w:tbl>
    <w:bookmarkEnd w:id="68"/>
    <w:bookmarkStart w:id="69" w:name="avhengigheter"/>
    <w:p>
      <w:pPr>
        <w:pStyle w:val="Heading1"/>
      </w:pPr>
      <w:r>
        <w:t xml:space="preserve"> </w:t>
      </w:r>
      <w:r>
        <w:t xml:space="preserve">Avhengigheter</w:t>
      </w:r>
    </w:p>
    <w:p>
      <w:pPr>
        <w:pStyle w:val="FirstParagraph"/>
      </w:pPr>
      <w:r>
        <w:rPr>
          <w:i/>
          <w:iCs/>
        </w:rPr>
        <w:t xml:space="preserve">Kort beskrivelse av prosjektets interne og eksterne avhengigheter (f.eks. til andre prosjekter, interne og eksterne leveranser, endringer i lover og forskrifter, felleskomponenter mv.</w:t>
      </w:r>
    </w:p>
    <w:p>
      <w:pPr>
        <w:pStyle w:val="BodyText"/>
      </w:pPr>
      <w:r>
        <w:t xml:space="preserve">Dette prosjektet må utvikles med en smidig tilnærming til avhengigheter og samarbeid, med koordinering, bruk og gjenbruk av løsninger fra parallelle aktiviteter. Vi beveger oss i et komplisert landskap i rask endring nasjonalt og internasjonalt gjennom prosjektperioden. Det behøves løpende arbeid med dette i prosjektet, spesielt i planleggingsfasen. Her er en foreløpig liste over viktige avhengigheter:</w:t>
      </w:r>
    </w:p>
    <w:p>
      <w:pPr>
        <w:numPr>
          <w:ilvl w:val="0"/>
          <w:numId w:val="1020"/>
        </w:numPr>
      </w:pPr>
      <w:r>
        <w:rPr>
          <w:b/>
          <w:bCs/>
        </w:rPr>
        <w:t xml:space="preserve">DigiUng og ung.no:</w:t>
      </w:r>
      <w:r>
        <w:t xml:space="preserve"> </w:t>
      </w:r>
      <w:r>
        <w:t xml:space="preserve">DigiUng er et samarbeid mellom offentlige etater og virksomheter. DigiUng samler kvalitetssikret informasjon og tjenester for ungdom på ett sted, statens primære informasjonskanal ung.no. Avhengigheter bør analyseres nærmere.</w:t>
      </w:r>
    </w:p>
    <w:p>
      <w:pPr>
        <w:numPr>
          <w:ilvl w:val="0"/>
          <w:numId w:val="1020"/>
        </w:numPr>
      </w:pPr>
      <w:r>
        <w:rPr>
          <w:b/>
          <w:bCs/>
        </w:rPr>
        <w:t xml:space="preserve">Grunndataprosjektet i Digdir</w:t>
      </w:r>
      <w:r>
        <w:t xml:space="preserve"> </w:t>
      </w:r>
      <w:r>
        <w:t xml:space="preserve">definerer N</w:t>
      </w:r>
      <w:r>
        <w:rPr>
          <w:i/>
          <w:iCs/>
        </w:rPr>
        <w:t xml:space="preserve">asjonale grunndata</w:t>
      </w:r>
      <w:r>
        <w:t xml:space="preserve"> </w:t>
      </w:r>
      <w:r>
        <w:t xml:space="preserve">som «</w:t>
      </w:r>
      <w:r>
        <w:rPr>
          <w:i/>
          <w:iCs/>
        </w:rPr>
        <w:t xml:space="preserve">opplysninger som mange har bruk for og som er særlig viktige for samfunnets funksjoner og tjenester». Prosjektet tar utgangspunkt i de viktigste registrene i Norge. Målet om autoritative datasett og datamodeller er felles med mål i dette prosjektet/denne søknaden. Prosjektene bør samordnes i Digdir.</w:t>
      </w:r>
    </w:p>
    <w:p>
      <w:pPr>
        <w:numPr>
          <w:ilvl w:val="0"/>
          <w:numId w:val="1020"/>
        </w:numPr>
      </w:pPr>
      <w:r>
        <w:rPr>
          <w:b/>
          <w:bCs/>
          <w:i/>
          <w:iCs/>
        </w:rPr>
        <w:t xml:space="preserve">Løpende arbeid med fellesløsninger</w:t>
      </w:r>
      <w:r>
        <w:rPr>
          <w:i/>
          <w:iCs/>
        </w:rPr>
        <w:t xml:space="preserve"> </w:t>
      </w:r>
      <w:r>
        <w:rPr>
          <w:i/>
          <w:iCs/>
        </w:rPr>
        <w:t xml:space="preserve">hos Digdir, KS Digital og andre. Dette styres overordnet av arbeidet med nasjonalt veikart (SKATE/Digdir), der en f.eks. har planlagt arbeid med en fullmaktløsning som dette prosjektet kan ha nytte av og ev. bidra til (datamodeller).</w:t>
      </w:r>
    </w:p>
    <w:p>
      <w:pPr>
        <w:numPr>
          <w:ilvl w:val="0"/>
          <w:numId w:val="1020"/>
        </w:numPr>
      </w:pPr>
      <w:r>
        <w:rPr>
          <w:b/>
          <w:bCs/>
        </w:rPr>
        <w:t xml:space="preserve">KI-initiativ</w:t>
      </w:r>
      <w:r>
        <w:t xml:space="preserve"> </w:t>
      </w:r>
      <w:r>
        <w:t xml:space="preserve">- dette er en smeltedigel med et stort antall initiativ på tvers av forskning, næringsliv og offentlig sektor. Som eksempler nevnes her pågående etablering av KI Norge ledet av Digdir på bestilling av DFD for å møte kravene fra EUs KI-forordning; Digdirs «KI-lab»; prosjektet «Enklere tilgang til informasjon (ETI) - et tverrsektorielt prosjekt ledet av Helsedirektoratet i samarbeid med offentlig sektor med mål om å utvikle en KI-basert informasjonsassistent; samt pågående arbeid med digitale assistenter og KI-agenter i flere kommuner. Dette prosjektet vil søke samarbeid med parallelle prosjekter for å demonstrere bruk av kunstig intelligens basert på strukturerte, felles informasjonsmodeller innen barn og unge – fra barnehage til høyere utdanning.</w:t>
      </w:r>
    </w:p>
    <w:p>
      <w:pPr>
        <w:numPr>
          <w:ilvl w:val="0"/>
          <w:numId w:val="1020"/>
        </w:numPr>
      </w:pPr>
      <w:r>
        <w:rPr>
          <w:b/>
          <w:bCs/>
        </w:rPr>
        <w:t xml:space="preserve">Arbeid med felles tillitsrammeverk -</w:t>
      </w:r>
      <w:r>
        <w:t xml:space="preserve"> </w:t>
      </w:r>
      <w:r>
        <w:t xml:space="preserve">Mål om sammenhengende tjenester og datadeling kan ikke nås uten et minimum av felles tillitstjenester, der interoperabilitet mellom løsninger for identitet og tilgangsstyring er essensielt. Som eksempler nevnes her Sikts arbeid med FEIDE som særlig relevant, samt Digdirs arbeid med IDporten, Maskinporten, Altinn Autoriasjon og digitale lommebøker iht. nye EU-standarder. Videre er det arbeid innen helse hvor både KS/KS Digital og Norsk Helsenett deltar. Det bør også ses på avhengigheter til tillitsrammeverket for datadeling fra EUs Data Spaces Support Center.</w:t>
      </w:r>
    </w:p>
    <w:p>
      <w:pPr>
        <w:numPr>
          <w:ilvl w:val="0"/>
          <w:numId w:val="1020"/>
        </w:numPr>
      </w:pPr>
      <w:r>
        <w:rPr>
          <w:b/>
          <w:bCs/>
        </w:rPr>
        <w:t xml:space="preserve">KS-prosjektet Felles kommunal arkitektur (FKA)</w:t>
      </w:r>
      <w:r>
        <w:t xml:space="preserve"> </w:t>
      </w:r>
      <w:r>
        <w:t xml:space="preserve">Etablering av felles arkitektur og arkitekturprodukter til bruk i digitaliseringsarbeidet for kommuner og fylkeskommuner</w:t>
      </w:r>
    </w:p>
    <w:p>
      <w:pPr>
        <w:numPr>
          <w:ilvl w:val="0"/>
          <w:numId w:val="1020"/>
        </w:numPr>
      </w:pPr>
      <w:r>
        <w:rPr>
          <w:b/>
          <w:bCs/>
        </w:rPr>
        <w:t xml:space="preserve">Felles tjenesteplattform</w:t>
      </w:r>
      <w:r>
        <w:t xml:space="preserve"> </w:t>
      </w:r>
      <w:r>
        <w:t xml:space="preserve">i kommunal sektor, som omfatter felles applikasjonsplattform, dataplattform, felles dataforvaltning og etablering av «Allmenningen» for deling av metode- og rammeverk, informasjon og ressurser.</w:t>
      </w:r>
    </w:p>
    <w:p>
      <w:pPr>
        <w:numPr>
          <w:ilvl w:val="0"/>
          <w:numId w:val="1020"/>
        </w:numPr>
      </w:pPr>
      <w:r>
        <w:rPr>
          <w:b/>
          <w:bCs/>
        </w:rPr>
        <w:t xml:space="preserve">Andre prosjekter innen informasjonsforvaltning</w:t>
      </w:r>
      <w:r>
        <w:t xml:space="preserve">: Aktuelle eksempler er HK-dirs KUDAF-løsning og Hdirs «MinVei» med Nav og Skatteetaten.</w:t>
      </w:r>
    </w:p>
    <w:p>
      <w:pPr>
        <w:numPr>
          <w:ilvl w:val="0"/>
          <w:numId w:val="1020"/>
        </w:numPr>
      </w:pPr>
      <w:r>
        <w:rPr>
          <w:b/>
          <w:bCs/>
        </w:rPr>
        <w:t xml:space="preserve">Juridisk interoperabilitet</w:t>
      </w:r>
      <w:r>
        <w:t xml:space="preserve">: Stimulab-prosjektet til Hdir om lovverk på tvers av sektorer og forvaltningsnivå; forskning på digitalisering av regelverk og "rules as code" - åpner for automatisering av arbeidsprosesser og KI-baserte løsninger.</w:t>
      </w:r>
    </w:p>
    <w:p>
      <w:pPr>
        <w:numPr>
          <w:ilvl w:val="0"/>
          <w:numId w:val="1020"/>
        </w:numPr>
      </w:pPr>
      <w:r>
        <w:rPr>
          <w:b/>
          <w:bCs/>
        </w:rPr>
        <w:t xml:space="preserve">Andre EU</w:t>
      </w:r>
      <w:r>
        <w:rPr>
          <w:b/>
          <w:bCs/>
          <w:i/>
          <w:iCs/>
        </w:rPr>
        <w:t xml:space="preserve">-initiativ</w:t>
      </w:r>
      <w:r>
        <w:rPr>
          <w:i/>
          <w:iCs/>
        </w:rPr>
        <w:t xml:space="preserve">:</w:t>
      </w:r>
      <w:r>
        <w:t xml:space="preserve"> </w:t>
      </w:r>
      <w:r>
        <w:t xml:space="preserve">Reguleringer o</w:t>
      </w:r>
      <w:r>
        <w:rPr>
          <w:i/>
          <w:iCs/>
        </w:rPr>
        <w:t xml:space="preserve">g</w:t>
      </w:r>
      <w:r>
        <w:t xml:space="preserve"> </w:t>
      </w:r>
      <w:r>
        <w:t xml:space="preserve">løsninger for datadeling, livshendelser og grensekryssende tjenester, slik som eIDAS og European Digital Identity Wallet, Single Digital Gateway Regulation (SDGR) og Data Spaces; spesielt Skills Data Space for studiebevis, livslang læring og kopling til arbeidsmarkedet.</w:t>
      </w:r>
    </w:p>
    <w:p>
      <w:pPr>
        <w:numPr>
          <w:ilvl w:val="0"/>
          <w:numId w:val="1020"/>
        </w:numPr>
      </w:pPr>
      <w:r>
        <w:rPr>
          <w:b/>
          <w:bCs/>
        </w:rPr>
        <w:t xml:space="preserve">Sikts etablering av nasjonale registre</w:t>
      </w:r>
      <w:r>
        <w:t xml:space="preserve">: Disse registrene inkluderer registre over utdanninger og akkreditering (utdanningsregister), vitnemål og andre resultater fra utdanning (kompetansebevisregister) og identitet for personer i utdanning. Utdanningsregister etableres nå for høyere utdanning og fagskoler, med mål om å også inkludere grunnopplæring i neste faser. Kompetansebevisregister etableres med vitnemål fra videregående skole, også her med mål om å inkludere alle utdanningsnivåer. Identifikasjon av personer i utdanning, også for utenlandske personer, er en forutsetning for å få denne infrastrukturen til å fungere. Felles generiske datamodeller for å beskrive utdanning og resultater fra utdanning etableres som en del av denne utviklingen.</w:t>
      </w:r>
    </w:p>
    <w:bookmarkEnd w:id="69"/>
    <w:bookmarkStart w:id="70" w:name="faser-og-hovedleveranser"/>
    <w:p>
      <w:pPr>
        <w:pStyle w:val="Heading1"/>
      </w:pPr>
      <w:r>
        <w:t xml:space="preserve"> </w:t>
      </w:r>
      <w:r>
        <w:t xml:space="preserve">Faser og hovedleveranser</w:t>
      </w:r>
    </w:p>
    <w:p>
      <w:pPr>
        <w:pStyle w:val="FirstParagraph"/>
      </w:pPr>
      <w:r>
        <w:rPr>
          <w:i/>
          <w:iCs/>
        </w:rPr>
        <w:t xml:space="preserve">Beslutningspunkter (BP) og milepæler/hovedleveranser.</w:t>
      </w:r>
    </w:p>
    <w:tbl>
      <w:tblPr>
        <w:tblStyle w:val="Table"/>
        <w:tblW w:type="pct" w:w="5000"/>
        <w:tblLayout w:type="fixed"/>
        <w:tblLook w:firstRow="1" w:lastRow="0" w:firstColumn="0" w:lastColumn="0" w:noHBand="0" w:noVBand="0" w:val="0020"/>
      </w:tblPr>
      <w:tblGrid>
        <w:gridCol w:w="1987"/>
        <w:gridCol w:w="4358"/>
        <w:gridCol w:w="1573"/>
      </w:tblGrid>
      <w:tr>
        <w:trPr>
          <w:tblHeader w:val="on"/>
        </w:trPr>
        <w:tc>
          <w:tcPr/>
          <w:p>
            <w:pPr>
              <w:pStyle w:val="Compact"/>
            </w:pPr>
            <w:r>
              <w:rPr>
                <w:b/>
                <w:bCs/>
              </w:rPr>
              <w:t xml:space="preserve">BP/Fase</w:t>
            </w:r>
          </w:p>
        </w:tc>
        <w:tc>
          <w:tcPr/>
          <w:p>
            <w:pPr>
              <w:pStyle w:val="Compact"/>
            </w:pPr>
            <w:r>
              <w:rPr>
                <w:b/>
                <w:bCs/>
              </w:rPr>
              <w:t xml:space="preserve">Leveranse</w:t>
            </w:r>
          </w:p>
        </w:tc>
        <w:tc>
          <w:tcPr/>
          <w:p>
            <w:pPr>
              <w:pStyle w:val="Compact"/>
              <w:jc w:val="right"/>
            </w:pPr>
            <w:r>
              <w:rPr>
                <w:b/>
                <w:bCs/>
              </w:rPr>
              <w:t xml:space="preserve">Måned/år</w:t>
            </w:r>
          </w:p>
        </w:tc>
      </w:tr>
      <w:tr>
        <w:tc>
          <w:tcPr/>
          <w:p>
            <w:pPr>
              <w:pStyle w:val="Compact"/>
            </w:pPr>
            <w:r>
              <w:t xml:space="preserve">BP2 / start planleggingsfase</w:t>
            </w:r>
          </w:p>
        </w:tc>
        <w:tc>
          <w:tcPr/>
          <w:p>
            <w:pPr>
              <w:pStyle w:val="Compact"/>
            </w:pPr>
            <w:r>
              <w:t xml:space="preserve">Konseptfasens leveranser før BP2: Prosjektbegrunnelse, prosjektforslag, styringsdokument (inkl. gevinstrealiseringsplan)</w:t>
            </w:r>
          </w:p>
        </w:tc>
        <w:tc>
          <w:tcPr/>
          <w:p>
            <w:pPr>
              <w:pStyle w:val="Compact"/>
              <w:jc w:val="right"/>
            </w:pPr>
            <w:r>
              <w:t xml:space="preserve">okt/25</w:t>
            </w:r>
          </w:p>
        </w:tc>
      </w:tr>
      <w:tr>
        <w:tc>
          <w:tcPr/>
          <w:p>
            <w:pPr>
              <w:pStyle w:val="Compact"/>
            </w:pPr>
            <w:r>
              <w:t xml:space="preserve">BP3 / start gjennomføringsfase</w:t>
            </w:r>
          </w:p>
        </w:tc>
        <w:tc>
          <w:tcPr/>
          <w:p>
            <w:pPr>
              <w:pStyle w:val="Compact"/>
            </w:pPr>
            <w:r>
              <w:t xml:space="preserve">Planfasens leveranser før BP3: Overordnet arkitektur, prosjektplan og oppdatert styringsdokument. Merk: Forutsetter smidig metodikk med kontinuerlig oppdatering, detaljering og høyde for endringer underveis i prosjektet. I dagens situasjon, spesielt med utviklingen innenfor «kunstig intelligens», er smidig tilnærming essensielt.</w:t>
            </w:r>
          </w:p>
        </w:tc>
        <w:tc>
          <w:tcPr/>
          <w:p>
            <w:pPr>
              <w:pStyle w:val="Compact"/>
              <w:jc w:val="right"/>
            </w:pPr>
            <w:r>
              <w:t xml:space="preserve">mars/26</w:t>
            </w:r>
          </w:p>
        </w:tc>
      </w:tr>
      <w:tr>
        <w:tc>
          <w:tcPr/>
          <w:p>
            <w:pPr>
              <w:pStyle w:val="Compact"/>
            </w:pPr>
            <w:r>
              <w:t xml:space="preserve">Gjennomføringsfase og milepæler</w:t>
            </w:r>
          </w:p>
        </w:tc>
        <w:tc>
          <w:tcPr/>
          <w:p>
            <w:pPr>
              <w:pStyle w:val="BodyText"/>
            </w:pPr>
            <w:r>
              <w:t xml:space="preserve">Hovedleveransene fra gjennomføringsfasen tilsvarer prosjektets produkter, som beskrevet i kap. 8. Siden søknaden leveres før planleggingsfasen er gjennomført, er ambisjonsnivå og milepælsplan foreløpig formulert på et overordnet nivå. Milepælsplanen vil detaljeres i planleggingsfasen og kvalitetssikres i BP3.</w:t>
            </w:r>
            <w:r>
              <w:br/>
            </w:r>
            <w:r>
              <w:br/>
            </w:r>
            <w:r>
              <w:t xml:space="preserve">Her følger overordnede milepæler i en logisk rekkefølge som antas i gjennomføringsfasen (men noen av aktivitetene vil løpe parallelt og leveransene utvikles gjennom iterasjoner):</w:t>
            </w:r>
          </w:p>
          <w:p>
            <w:pPr>
              <w:numPr>
                <w:ilvl w:val="0"/>
                <w:numId w:val="1021"/>
              </w:numPr>
            </w:pPr>
            <w:r>
              <w:t xml:space="preserve">MP1: Rammeverk som grunnlag for videre arbeid i dette prosjektet, som utvidelser av dagens rammeverk for informasjons-forvaltning og nasjonal arkitektur fra Digdir og KS, med detaljering av konsepter, felles språk, metamodeller og oppdatert beste praksis.</w:t>
            </w:r>
          </w:p>
          <w:p>
            <w:pPr>
              <w:numPr>
                <w:ilvl w:val="0"/>
                <w:numId w:val="1021"/>
              </w:numPr>
            </w:pPr>
            <w:r>
              <w:t xml:space="preserve">MP2: Etablert nasjonal tjenestekatalog innenfor «barn og unge – fra barnehage til høyere utdanning» i første versjon.</w:t>
            </w:r>
          </w:p>
          <w:p>
            <w:pPr>
              <w:numPr>
                <w:ilvl w:val="0"/>
                <w:numId w:val="1021"/>
              </w:numPr>
            </w:pPr>
            <w:r>
              <w:t xml:space="preserve">MP3: Kartlegging av brukerreiser / tjenestekjeder i utvalgte brukstilfeller innen barn og unge – fra barnehage til høyere utdanning, med identifisering av informasjonsflyt og eventuelle juridiske hindre.</w:t>
            </w:r>
          </w:p>
          <w:p>
            <w:pPr>
              <w:numPr>
                <w:ilvl w:val="0"/>
                <w:numId w:val="1021"/>
              </w:numPr>
            </w:pPr>
            <w:r>
              <w:t xml:space="preserve">MP4: Avgitt eventuelle innspill til endring av lovverket for å rydde bort juridiske samhandlingshindre.</w:t>
            </w:r>
          </w:p>
          <w:p>
            <w:pPr>
              <w:numPr>
                <w:ilvl w:val="0"/>
                <w:numId w:val="1021"/>
              </w:numPr>
            </w:pPr>
            <w:r>
              <w:t xml:space="preserve">MP5: Katalog med definisjon av standardiserte API-er/meldinger/hendelser for realisering av informasjonsflyt</w:t>
            </w:r>
          </w:p>
          <w:p>
            <w:pPr>
              <w:numPr>
                <w:ilvl w:val="0"/>
                <w:numId w:val="1021"/>
              </w:numPr>
            </w:pPr>
            <w:r>
              <w:t xml:space="preserve">MP6: Katalog over autoritative datasett og datamodeller i en kjernemodell som dekker behovet for datasett i «alle» aktuelle API-er/meldinger.</w:t>
            </w:r>
          </w:p>
          <w:p>
            <w:pPr>
              <w:numPr>
                <w:ilvl w:val="0"/>
                <w:numId w:val="1021"/>
              </w:numPr>
            </w:pPr>
            <w:r>
              <w:t xml:space="preserve">MP7: Pilotert løsninger for utvalgte brukstilfeller med gjenbruk på tvers av flere kommuner.</w:t>
            </w:r>
          </w:p>
          <w:p>
            <w:pPr>
              <w:numPr>
                <w:ilvl w:val="0"/>
                <w:numId w:val="1021"/>
              </w:numPr>
            </w:pPr>
            <w:r>
              <w:t xml:space="preserve">MP8: Aktuelle forbedringer i fellesløsningene kravstilt og så langt som mulig realisert.</w:t>
            </w:r>
          </w:p>
        </w:tc>
        <w:tc>
          <w:tcPr/>
          <w:p>
            <w:pPr>
              <w:pStyle w:val="Compact"/>
              <w:jc w:val="right"/>
            </w:pPr>
            <w:r>
              <w:t xml:space="preserve">mars/26</w:t>
            </w:r>
          </w:p>
        </w:tc>
      </w:tr>
      <w:tr>
        <w:tc>
          <w:tcPr/>
          <w:p>
            <w:pPr>
              <w:pStyle w:val="Compact"/>
            </w:pPr>
            <w:r>
              <w:t xml:space="preserve">BP4 / start avslutningsfase</w:t>
            </w:r>
          </w:p>
        </w:tc>
        <w:tc>
          <w:tcPr/>
          <w:p>
            <w:pPr>
              <w:pStyle w:val="BodyText"/>
            </w:pPr>
            <w:r>
              <w:t xml:space="preserve">Formell avslutning av prosjektet, inkl. forberedelse til videreføring/skalering/realisering.</w:t>
            </w:r>
          </w:p>
          <w:p>
            <w:pPr>
              <w:numPr>
                <w:ilvl w:val="0"/>
                <w:numId w:val="1022"/>
              </w:numPr>
            </w:pPr>
            <w:r>
              <w:t xml:space="preserve">MP9: Erfaringsrapport med anbefalinger for videre arbeid.</w:t>
            </w:r>
          </w:p>
        </w:tc>
        <w:tc>
          <w:tcPr/>
          <w:p>
            <w:pPr>
              <w:pStyle w:val="Compact"/>
              <w:jc w:val="right"/>
            </w:pPr>
            <w:r>
              <w:t xml:space="preserve">sep/27</w:t>
            </w:r>
          </w:p>
        </w:tc>
      </w:tr>
      <w:tr>
        <w:tc>
          <w:tcPr/>
          <w:p>
            <w:pPr>
              <w:pStyle w:val="Compact"/>
            </w:pPr>
            <w:r>
              <w:t xml:space="preserve">BP5 / videreføring til realisering</w:t>
            </w:r>
          </w:p>
        </w:tc>
        <w:tc>
          <w:tcPr/>
          <w:p>
            <w:pPr>
              <w:pStyle w:val="Compact"/>
            </w:pPr>
            <w:r>
              <w:t xml:space="preserve">Alle avtalte produkter levert, inkl. sluttrapport til Digdir.</w:t>
            </w:r>
          </w:p>
        </w:tc>
        <w:tc>
          <w:tcPr/>
          <w:p>
            <w:pPr>
              <w:pStyle w:val="Compact"/>
              <w:jc w:val="right"/>
            </w:pPr>
            <w:r>
              <w:t xml:space="preserve">des/27</w:t>
            </w:r>
          </w:p>
        </w:tc>
      </w:tr>
    </w:tbl>
    <w:bookmarkEnd w:id="70"/>
    <w:bookmarkStart w:id="74" w:name="X087818ce72d858aa6029bd5601a723b37d76907"/>
    <w:p>
      <w:pPr>
        <w:pStyle w:val="Heading1"/>
      </w:pPr>
      <w:r>
        <w:br/>
      </w:r>
      <w:r>
        <w:t xml:space="preserve">Oppsummer den samfunnsøkonomiske lønnsomheten av prosjektet</w:t>
      </w:r>
    </w:p>
    <w:p>
      <w:pPr>
        <w:pStyle w:val="FirstParagraph"/>
      </w:pPr>
      <w:r>
        <w:rPr>
          <w:i/>
          <w:iCs/>
        </w:rPr>
        <w:t xml:space="preserve">Her skal den samfunnsøkonomiske analysen oppsummeres. Se kapittel 6 i veilederen. For utfylling av konsekvenser av ikke-prissatte virkninger, bruk følgende skala: Laveste verdi – – – – = 1, 0 = 5, Høyeste verdi + + + + = 9. Det er bare tallet som skal fylles inn her.</w:t>
      </w:r>
    </w:p>
    <w:p>
      <w:pPr>
        <w:pStyle w:val="BodyText"/>
      </w:pPr>
      <w:r>
        <w:t xml:space="preserve">Screenshot fra søkandsskjemat (Excel):</w:t>
      </w:r>
    </w:p>
    <w:p>
      <w:pPr>
        <w:pStyle w:val="BodyText"/>
      </w:pPr>
      <w:r>
        <w:drawing>
          <wp:inline>
            <wp:extent cx="5334000" cy="3200636"/>
            <wp:effectExtent b="0" l="0" r="0" t="0"/>
            <wp:docPr descr="Et bilde som inneholder tekst, skjermbilde, display, nummer KI-generert innhold kan være feil." title="" id="72" name="Picture"/>
            <a:graphic>
              <a:graphicData uri="http://schemas.openxmlformats.org/drawingml/2006/picture">
                <pic:pic>
                  <pic:nvPicPr>
                    <pic:cNvPr descr="media/image17.png" id="73" name="Picture"/>
                    <pic:cNvPicPr>
                      <a:picLocks noChangeArrowheads="1" noChangeAspect="1"/>
                    </pic:cNvPicPr>
                  </pic:nvPicPr>
                  <pic:blipFill>
                    <a:blip r:embed="rId71"/>
                    <a:stretch>
                      <a:fillRect/>
                    </a:stretch>
                  </pic:blipFill>
                  <pic:spPr bwMode="auto">
                    <a:xfrm>
                      <a:off x="0" y="0"/>
                      <a:ext cx="5334000" cy="3200636"/>
                    </a:xfrm>
                    <a:prstGeom prst="rect">
                      <a:avLst/>
                    </a:prstGeom>
                    <a:noFill/>
                    <a:ln w="9525">
                      <a:noFill/>
                      <a:headEnd/>
                      <a:tailEnd/>
                    </a:ln>
                  </pic:spPr>
                </pic:pic>
              </a:graphicData>
            </a:graphic>
          </wp:inline>
        </w:drawing>
      </w:r>
    </w:p>
    <w:bookmarkEnd w:id="74"/>
    <w:bookmarkStart w:id="179" w:name="X2fe28cdb77767694573a3f6ae3b791ee09483af"/>
    <w:p>
      <w:pPr>
        <w:pStyle w:val="Heading1"/>
      </w:pPr>
      <w:r>
        <w:t xml:space="preserve">Vedlegg A: Kvalitative virkninger som beskrevet i søknaden</w:t>
      </w:r>
      <w:r>
        <w:t xml:space="preserve"> </w:t>
      </w:r>
    </w:p>
    <w:bookmarkStart w:id="82" w:name="Xbef21969c2c4c307acff044092a75942ea6fca7"/>
    <w:p>
      <w:pPr>
        <w:pStyle w:val="Heading2"/>
      </w:pPr>
      <w:r>
        <w:t xml:space="preserve">K1: Videre utbredelse av prosjektets produkter</w:t>
      </w:r>
    </w:p>
    <w:bookmarkStart w:id="75" w:name="samfunnsøkonomisk-verdi"/>
    <w:p>
      <w:pPr>
        <w:pStyle w:val="Heading3"/>
      </w:pPr>
      <w:r>
        <w:rPr>
          <w:i/>
          <w:iCs/>
        </w:rPr>
        <w:t xml:space="preserve">Samfunnsøkonomisk verdi</w:t>
      </w:r>
    </w:p>
    <w:p>
      <w:pPr>
        <w:pStyle w:val="FirstParagraph"/>
      </w:pPr>
      <w:r>
        <w:t xml:space="preserve">Stor.</w:t>
      </w:r>
    </w:p>
    <w:bookmarkEnd w:id="75"/>
    <w:bookmarkStart w:id="76" w:name="hva-er-nyttevirkningen"/>
    <w:p>
      <w:pPr>
        <w:pStyle w:val="Heading3"/>
      </w:pPr>
      <w:r>
        <w:rPr>
          <w:i/>
          <w:iCs/>
        </w:rPr>
        <w:t xml:space="preserve">Hva er nyttevirkningen</w:t>
      </w:r>
    </w:p>
    <w:p>
      <w:pPr>
        <w:pStyle w:val="FirstParagraph"/>
      </w:pPr>
      <w:r>
        <w:t xml:space="preserve">Tilsvarende virkninger som beskrevet for valgt område (Oppvekst og utdanning) også for andre områder/sektorer.</w:t>
      </w:r>
    </w:p>
    <w:bookmarkEnd w:id="76"/>
    <w:bookmarkStart w:id="77" w:name="hvem-oppstår-nytten-for"/>
    <w:p>
      <w:pPr>
        <w:pStyle w:val="Heading3"/>
      </w:pPr>
      <w:r>
        <w:rPr>
          <w:i/>
          <w:iCs/>
        </w:rPr>
        <w:t xml:space="preserve">Hvem oppstår nytten for</w:t>
      </w:r>
    </w:p>
    <w:p>
      <w:pPr>
        <w:pStyle w:val="FirstParagraph"/>
      </w:pPr>
      <w:r>
        <w:t xml:space="preserve">Alle interessenter i digitale tjenester som det offentlige er ansvarlig for.</w:t>
      </w:r>
    </w:p>
    <w:bookmarkEnd w:id="77"/>
    <w:bookmarkStart w:id="78" w:name="hvordan-oppstår-nyttevirkningen"/>
    <w:p>
      <w:pPr>
        <w:pStyle w:val="Heading3"/>
      </w:pPr>
      <w:r>
        <w:rPr>
          <w:i/>
          <w:iCs/>
        </w:rPr>
        <w:t xml:space="preserve">Hvordan oppstår nyttevirkningen</w:t>
      </w:r>
    </w:p>
    <w:p>
      <w:pPr>
        <w:pStyle w:val="FirstParagraph"/>
      </w:pPr>
      <w:r>
        <w:t xml:space="preserve">Dette prosjektets produkter skal være tilrettelagt for skalering både å kunne tas i bruk innen andre områder, med kunnskapsspredning som ett av produktene. Felles rammeverk og styringsmodell skal sikre at data og tjenester henger sammen på tvers av sektorene.</w:t>
      </w:r>
    </w:p>
    <w:bookmarkEnd w:id="78"/>
    <w:bookmarkStart w:id="79" w:name="usikkerhetsvurdering"/>
    <w:p>
      <w:pPr>
        <w:pStyle w:val="Heading3"/>
      </w:pPr>
      <w:r>
        <w:rPr>
          <w:i/>
          <w:iCs/>
        </w:rPr>
        <w:t xml:space="preserve">Usikkerhetsvurdering</w:t>
      </w:r>
    </w:p>
    <w:p>
      <w:pPr>
        <w:pStyle w:val="FirstParagraph"/>
      </w:pPr>
      <w:r>
        <w:t xml:space="preserve">Høy.</w:t>
      </w:r>
    </w:p>
    <w:bookmarkEnd w:id="79"/>
    <w:bookmarkStart w:id="80" w:name="begrunnelse-for-usikkerhetsvurdering"/>
    <w:p>
      <w:pPr>
        <w:pStyle w:val="Heading3"/>
      </w:pPr>
      <w:r>
        <w:rPr>
          <w:i/>
          <w:iCs/>
        </w:rPr>
        <w:t xml:space="preserve">Begrunnelse for usikkerhetsvurdering</w:t>
      </w:r>
    </w:p>
    <w:p>
      <w:pPr>
        <w:pStyle w:val="FirstParagraph"/>
      </w:pPr>
      <w:r>
        <w:t xml:space="preserve">Det er relativt lett å demonstrere virkningen av et konsept gjennom piloter i et avgrenset område, når det gjelder å lykkes med utbredelse av beste praksis og løsninger i den skalaen vi her har ambisjon om.</w:t>
      </w:r>
    </w:p>
    <w:bookmarkEnd w:id="80"/>
    <w:bookmarkStart w:id="81" w:name="forutsetninger"/>
    <w:p>
      <w:pPr>
        <w:pStyle w:val="Heading3"/>
      </w:pPr>
      <w:r>
        <w:rPr>
          <w:i/>
          <w:iCs/>
        </w:rPr>
        <w:t xml:space="preserve">Forutsetninger</w:t>
      </w:r>
    </w:p>
    <w:p>
      <w:pPr>
        <w:pStyle w:val="FirstParagraph"/>
      </w:pPr>
      <w:r>
        <w:t xml:space="preserve">Dette prosjektet må lykkes med leveranser i prosjektperioden; dessuten må en lykkes med oppfølging og videre utbredelse i bakkant av prosjektet.</w:t>
      </w:r>
    </w:p>
    <w:p>
      <w:pPr>
        <w:pStyle w:val="BodyText"/>
      </w:pPr>
      <w:r>
        <w:t xml:space="preserve">Kritiske suksessfaktorer:</w:t>
      </w:r>
    </w:p>
    <w:p>
      <w:pPr>
        <w:numPr>
          <w:ilvl w:val="0"/>
          <w:numId w:val="1023"/>
        </w:numPr>
      </w:pPr>
      <w:r>
        <w:t xml:space="preserve">At det bygges på eksisterende beste praksis og erfaringer.</w:t>
      </w:r>
    </w:p>
    <w:p>
      <w:pPr>
        <w:numPr>
          <w:ilvl w:val="0"/>
          <w:numId w:val="1023"/>
        </w:numPr>
      </w:pPr>
      <w:r>
        <w:t xml:space="preserve">Strategisk forankring og reell involvering - samordning og styring på tvers av forvaltningsnivåer gjennom aktuelle styringsorganer.</w:t>
      </w:r>
    </w:p>
    <w:p>
      <w:pPr>
        <w:numPr>
          <w:ilvl w:val="0"/>
          <w:numId w:val="1023"/>
        </w:numPr>
      </w:pPr>
      <w:r>
        <w:t xml:space="preserve">Kvalitet i prosjektets produkter – uten dette vil forsøk på involvering og skalering feile.</w:t>
      </w:r>
    </w:p>
    <w:p>
      <w:pPr>
        <w:numPr>
          <w:ilvl w:val="0"/>
          <w:numId w:val="1023"/>
        </w:numPr>
      </w:pPr>
      <w:r>
        <w:t xml:space="preserve">Prosjektets innspill til endring av lovverk for å fjerne juridiske hindre må følges opp.</w:t>
      </w:r>
    </w:p>
    <w:p>
      <w:pPr>
        <w:numPr>
          <w:ilvl w:val="0"/>
          <w:numId w:val="1023"/>
        </w:numPr>
      </w:pPr>
      <w:r>
        <w:t xml:space="preserve">Helhetlig tilnærming – ikke som en skrivebordsøvelse, men gjennom praktisk utprøving.</w:t>
      </w:r>
    </w:p>
    <w:p>
      <w:pPr>
        <w:numPr>
          <w:ilvl w:val="0"/>
          <w:numId w:val="1023"/>
        </w:numPr>
      </w:pPr>
      <w:r>
        <w:t xml:space="preserve">Praktisk samordning med relaterte initiativ – unngå unødig arbeid.</w:t>
      </w:r>
    </w:p>
    <w:p>
      <w:pPr>
        <w:numPr>
          <w:ilvl w:val="0"/>
          <w:numId w:val="1023"/>
        </w:numPr>
      </w:pPr>
      <w:r>
        <w:t xml:space="preserve">At vi engasjerer de beste ressursene – både fra partnere og andre.</w:t>
      </w:r>
    </w:p>
    <w:p>
      <w:pPr>
        <w:numPr>
          <w:ilvl w:val="0"/>
          <w:numId w:val="1023"/>
        </w:numPr>
      </w:pPr>
      <w:r>
        <w:t xml:space="preserve">Samarbeid – internt, nasjonalt og internasjonalt.</w:t>
      </w:r>
    </w:p>
    <w:p>
      <w:pPr>
        <w:numPr>
          <w:ilvl w:val="0"/>
          <w:numId w:val="1023"/>
        </w:numPr>
      </w:pPr>
      <w:r>
        <w:t xml:space="preserve">Løpende erfaringsdeling for kompetansebygging og utbredelse.</w:t>
      </w:r>
    </w:p>
    <w:bookmarkEnd w:id="81"/>
    <w:bookmarkEnd w:id="82"/>
    <w:bookmarkStart w:id="90" w:name="X573012af584980d54be57c86251280516673ec2"/>
    <w:p>
      <w:pPr>
        <w:pStyle w:val="Heading2"/>
      </w:pPr>
      <w:r>
        <w:t xml:space="preserve">K2: Reduserte kostnader til systemutvikling og forvaltning</w:t>
      </w:r>
    </w:p>
    <w:bookmarkStart w:id="83" w:name="samfunnsøkonomisk-verdi-1"/>
    <w:p>
      <w:pPr>
        <w:pStyle w:val="Heading3"/>
      </w:pPr>
      <w:r>
        <w:rPr>
          <w:i/>
          <w:iCs/>
        </w:rPr>
        <w:t xml:space="preserve">Samfunnsøkonomisk verdi</w:t>
      </w:r>
    </w:p>
    <w:p>
      <w:pPr>
        <w:pStyle w:val="FirstParagraph"/>
      </w:pPr>
      <w:r>
        <w:t xml:space="preserve">Stor.</w:t>
      </w:r>
    </w:p>
    <w:bookmarkEnd w:id="83"/>
    <w:bookmarkStart w:id="84" w:name="hva-er-nyttevirkningen-1"/>
    <w:p>
      <w:pPr>
        <w:pStyle w:val="Heading3"/>
      </w:pPr>
      <w:r>
        <w:rPr>
          <w:i/>
          <w:iCs/>
        </w:rPr>
        <w:t xml:space="preserve">Hva er nyttevirkningen</w:t>
      </w:r>
    </w:p>
    <w:p>
      <w:pPr>
        <w:pStyle w:val="FirstParagraph"/>
      </w:pPr>
      <w:r>
        <w:t xml:space="preserve">Meget stort gevinstpotensial gjennom betydelig mindre behov for systemutvikling og forvaltning av IT-løsninger.</w:t>
      </w:r>
    </w:p>
    <w:bookmarkEnd w:id="84"/>
    <w:bookmarkStart w:id="85" w:name="hvem-oppstår-nytten-for-1"/>
    <w:p>
      <w:pPr>
        <w:pStyle w:val="Heading3"/>
      </w:pPr>
      <w:r>
        <w:rPr>
          <w:i/>
          <w:iCs/>
        </w:rPr>
        <w:t xml:space="preserve">Hvem oppstår nytten for</w:t>
      </w:r>
    </w:p>
    <w:p>
      <w:pPr>
        <w:pStyle w:val="FirstParagraph"/>
      </w:pPr>
      <w:r>
        <w:t xml:space="preserve">Alle interessenter i digitale tjenester som det offentlige er ansvarlig for.</w:t>
      </w:r>
    </w:p>
    <w:bookmarkEnd w:id="85"/>
    <w:bookmarkStart w:id="86" w:name="hvordan-oppstår-nyttevirkningen-1"/>
    <w:p>
      <w:pPr>
        <w:pStyle w:val="Heading3"/>
      </w:pPr>
      <w:r>
        <w:rPr>
          <w:i/>
          <w:iCs/>
        </w:rPr>
        <w:t xml:space="preserve">Hvordan oppstår nyttevirkningen</w:t>
      </w:r>
    </w:p>
    <w:p>
      <w:pPr>
        <w:pStyle w:val="FirstParagraph"/>
      </w:pPr>
      <w:r>
        <w:t xml:space="preserve">Viktige elementer i dette bildet som gir effekter er:</w:t>
      </w:r>
    </w:p>
    <w:p>
      <w:pPr>
        <w:numPr>
          <w:ilvl w:val="0"/>
          <w:numId w:val="1024"/>
        </w:numPr>
      </w:pPr>
      <w:r>
        <w:t xml:space="preserve">Redusert antall integrasjoner: Integrasjoner gjøres mot standardiserte informasjonsmodeller og grensesnitt i et mellomlag, frikoplet fra detaljer i hvordan data er lagret eller strukturert internt hos samhandlingspartnere.</w:t>
      </w:r>
    </w:p>
    <w:p>
      <w:pPr>
        <w:numPr>
          <w:ilvl w:val="0"/>
          <w:numId w:val="1024"/>
        </w:numPr>
      </w:pPr>
      <w:r>
        <w:t xml:space="preserve">Redusert antall systemer/løsninger: Gjenbrukbare løsninger eller fellesløsninger i stedet for lokal skreddersøm av fagsystemer. Felles informasjonsmodeller og standardiserte grensesnitt gjør det mulig å utvikle felles fagsystemer eller komponenter og tjenester uten hensyn til hvordan data er lagret lokalt i hver kommune. Generiske løsninger kan tilpasses lokale forhold med langt lavere kostnad enn alternativet med at hver kommune (eller kommunesamarbeid) har egne løsninger.</w:t>
      </w:r>
    </w:p>
    <w:p>
      <w:pPr>
        <w:numPr>
          <w:ilvl w:val="0"/>
          <w:numId w:val="1024"/>
        </w:numPr>
      </w:pPr>
      <w:r>
        <w:t xml:space="preserve">Mindre behov for tilpasninger i sluttbrukersystemer: Sluttbrukersystemene når data gjennom «mellomlaget» uten at det nødvendigvis på gjøres tilpasninger når det skjer endringer i hvordan data er lagret eller representert hos andre.</w:t>
      </w:r>
    </w:p>
    <w:bookmarkEnd w:id="86"/>
    <w:bookmarkStart w:id="87" w:name="usikkerhetsvurdering-1"/>
    <w:p>
      <w:pPr>
        <w:pStyle w:val="Heading3"/>
      </w:pPr>
      <w:r>
        <w:rPr>
          <w:i/>
          <w:iCs/>
        </w:rPr>
        <w:t xml:space="preserve">Usikkerhetsvurdering</w:t>
      </w:r>
    </w:p>
    <w:p>
      <w:pPr>
        <w:pStyle w:val="FirstParagraph"/>
      </w:pPr>
      <w:r>
        <w:t xml:space="preserve">Medium.</w:t>
      </w:r>
    </w:p>
    <w:bookmarkEnd w:id="87"/>
    <w:bookmarkStart w:id="88" w:name="begrunnelse-for-usikkerhetsvurdering-1"/>
    <w:p>
      <w:pPr>
        <w:pStyle w:val="Heading3"/>
      </w:pPr>
      <w:r>
        <w:rPr>
          <w:i/>
          <w:iCs/>
        </w:rPr>
        <w:t xml:space="preserve">Begrunnelse for usikkerhetsvurdering</w:t>
      </w:r>
    </w:p>
    <w:p>
      <w:pPr>
        <w:pStyle w:val="FirstParagraph"/>
      </w:pPr>
      <w:r>
        <w:t xml:space="preserve">Betydelige effekter vil kunne oppnås, også dersom prosjektet bare lykkes innenfor avgrensede områder.</w:t>
      </w:r>
    </w:p>
    <w:bookmarkEnd w:id="88"/>
    <w:bookmarkStart w:id="89" w:name="forutsetninger-1"/>
    <w:p>
      <w:pPr>
        <w:pStyle w:val="Heading3"/>
      </w:pPr>
      <w:r>
        <w:rPr>
          <w:i/>
          <w:iCs/>
        </w:rPr>
        <w:t xml:space="preserve">Forutsetninger</w:t>
      </w:r>
    </w:p>
    <w:p>
      <w:pPr>
        <w:pStyle w:val="FirstParagraph"/>
      </w:pPr>
      <w:r>
        <w:t xml:space="preserve">Dette fungerer når data fra aktuelle samhandlingspartnere er tilgjengelig gjennom felles informasjonsmodeller og standardiserte API-er. Krav eller føringer om etterlevelse av standarder og beste praksis vil være viktig for at dette skal skje i praksis.</w:t>
      </w:r>
    </w:p>
    <w:p>
      <w:pPr>
        <w:pStyle w:val="BodyText"/>
      </w:pPr>
      <w:r>
        <w:rPr>
          <w:i/>
          <w:iCs/>
        </w:rPr>
        <w:t xml:space="preserve">Merk: Vi har prissatt virkningene for en del av dette bildet (konservative anslag).</w:t>
      </w:r>
    </w:p>
    <w:bookmarkEnd w:id="89"/>
    <w:bookmarkEnd w:id="90"/>
    <w:bookmarkStart w:id="98" w:name="k3-sømløse-brukerreiser"/>
    <w:p>
      <w:pPr>
        <w:pStyle w:val="Heading2"/>
      </w:pPr>
      <w:r>
        <w:t xml:space="preserve">K3: Sømløse brukerreiser</w:t>
      </w:r>
    </w:p>
    <w:bookmarkStart w:id="91" w:name="samfunnsøkonomisk-verdi-2"/>
    <w:p>
      <w:pPr>
        <w:pStyle w:val="Heading3"/>
      </w:pPr>
      <w:r>
        <w:rPr>
          <w:i/>
          <w:iCs/>
        </w:rPr>
        <w:t xml:space="preserve">Samfunnsøkonomisk verdi</w:t>
      </w:r>
    </w:p>
    <w:p>
      <w:pPr>
        <w:pStyle w:val="FirstParagraph"/>
      </w:pPr>
      <w:r>
        <w:t xml:space="preserve">Meget stor.</w:t>
      </w:r>
    </w:p>
    <w:bookmarkEnd w:id="91"/>
    <w:bookmarkStart w:id="92" w:name="hva-er-nyttevirkningen-2"/>
    <w:p>
      <w:pPr>
        <w:pStyle w:val="Heading3"/>
      </w:pPr>
      <w:r>
        <w:rPr>
          <w:i/>
          <w:iCs/>
        </w:rPr>
        <w:t xml:space="preserve">Hva er nyttevirkningen</w:t>
      </w:r>
    </w:p>
    <w:p>
      <w:pPr>
        <w:pStyle w:val="FirstParagraph"/>
      </w:pPr>
      <w:r>
        <w:t xml:space="preserve">Innbyggere og ansatte opplever mer sømløse og helhetlige tjenester på tvers av stat og kommune, med færre, enklere og mer relevante kontaktpunkter.</w:t>
      </w:r>
    </w:p>
    <w:bookmarkEnd w:id="92"/>
    <w:bookmarkStart w:id="93" w:name="hvem-oppstår-nytten-for-2"/>
    <w:p>
      <w:pPr>
        <w:pStyle w:val="Heading3"/>
      </w:pPr>
      <w:r>
        <w:rPr>
          <w:i/>
          <w:iCs/>
        </w:rPr>
        <w:t xml:space="preserve">Hvem oppstår nytten for</w:t>
      </w:r>
    </w:p>
    <w:p>
      <w:pPr>
        <w:pStyle w:val="FirstParagraph"/>
      </w:pPr>
      <w:r>
        <w:t xml:space="preserve">Innbyggere - her primært foresatte, barn, elever, studenter - får mer sømløse og enkle tjenester. Ansatte i forvaltningen får bedre informasjonsflyt og mindre manuell oppfølging. Virksomheter og leverandører får lavere integrasjonskostnader og større gjenbruk av data og tjenester.</w:t>
      </w:r>
    </w:p>
    <w:bookmarkEnd w:id="93"/>
    <w:bookmarkStart w:id="94" w:name="hvordan-oppstår-nyttevirkningen-2"/>
    <w:p>
      <w:pPr>
        <w:pStyle w:val="Heading3"/>
      </w:pPr>
      <w:r>
        <w:rPr>
          <w:i/>
          <w:iCs/>
        </w:rPr>
        <w:t xml:space="preserve">Hvordan oppstår nyttevirkningen</w:t>
      </w:r>
    </w:p>
    <w:p>
      <w:pPr>
        <w:pStyle w:val="FirstParagraph"/>
      </w:pPr>
      <w:r>
        <w:t xml:space="preserve">Et standardisert «mellomlag» skjermer brukerne fra kompleksiteten i system- og aktørlandskapet. Brukerreiser støttes gjennom deling og gjenbruk av data og tjenester, basert på felles begreper, hendelsesmodeller og kataloger.</w:t>
      </w:r>
    </w:p>
    <w:bookmarkEnd w:id="94"/>
    <w:bookmarkStart w:id="95" w:name="usikkerhetsvurdering-2"/>
    <w:p>
      <w:pPr>
        <w:pStyle w:val="Heading3"/>
      </w:pPr>
      <w:r>
        <w:rPr>
          <w:i/>
          <w:iCs/>
        </w:rPr>
        <w:t xml:space="preserve">Usikkerhetsvurdering</w:t>
      </w:r>
    </w:p>
    <w:p>
      <w:pPr>
        <w:pStyle w:val="FirstParagraph"/>
      </w:pPr>
      <w:r>
        <w:t xml:space="preserve">Medium.</w:t>
      </w:r>
    </w:p>
    <w:bookmarkEnd w:id="95"/>
    <w:bookmarkStart w:id="96" w:name="begrunnelse-for-usikkerhetsvurdering-2"/>
    <w:p>
      <w:pPr>
        <w:pStyle w:val="Heading3"/>
      </w:pPr>
      <w:r>
        <w:rPr>
          <w:i/>
          <w:iCs/>
        </w:rPr>
        <w:t xml:space="preserve">Begrunnelse for usikkerhetsvurdering</w:t>
      </w:r>
    </w:p>
    <w:p>
      <w:pPr>
        <w:pStyle w:val="FirstParagraph"/>
      </w:pPr>
      <w:r>
        <w:t xml:space="preserve">Det er noe usikkerhet knyttet til gevinstrealisering, siden sømløse brukerreiser forutsetter samordning mellom mange aktører og sektorer. Risikoen gjelder særlig praktisk koordinering og faktisk bruk av felles modeller, grensesnitt og kataloger på tvers av forvaltningsnivåer.</w:t>
      </w:r>
    </w:p>
    <w:bookmarkEnd w:id="96"/>
    <w:bookmarkStart w:id="97" w:name="forutsetninger-2"/>
    <w:p>
      <w:pPr>
        <w:pStyle w:val="Heading3"/>
      </w:pPr>
      <w:r>
        <w:rPr>
          <w:i/>
          <w:iCs/>
        </w:rPr>
        <w:t xml:space="preserve">Forutsetninger</w:t>
      </w:r>
    </w:p>
    <w:p>
      <w:pPr>
        <w:pStyle w:val="FirstParagraph"/>
      </w:pPr>
      <w:r>
        <w:t xml:space="preserve">Felles tjenestekatalog og informasjonsmodeller må tas i bruk. Aktørene må koordinere utvikling og forvaltning av grensesnitt og hendelser, og mellomlaget må etableres og forankres som nasjonal løsning.</w:t>
      </w:r>
    </w:p>
    <w:bookmarkEnd w:id="97"/>
    <w:bookmarkEnd w:id="98"/>
    <w:bookmarkStart w:id="106" w:name="k4-sømløse-overganger-mellom-kommuner"/>
    <w:p>
      <w:pPr>
        <w:pStyle w:val="Heading2"/>
      </w:pPr>
      <w:r>
        <w:t xml:space="preserve">K4: Sømløse overganger mellom kommuner</w:t>
      </w:r>
    </w:p>
    <w:bookmarkStart w:id="99" w:name="samfunnsøkonomisk-verdi-3"/>
    <w:p>
      <w:pPr>
        <w:pStyle w:val="Heading3"/>
      </w:pPr>
      <w:r>
        <w:rPr>
          <w:i/>
          <w:iCs/>
        </w:rPr>
        <w:t xml:space="preserve">Samfunnsøkonomisk verdi</w:t>
      </w:r>
    </w:p>
    <w:p>
      <w:pPr>
        <w:pStyle w:val="FirstParagraph"/>
      </w:pPr>
      <w:r>
        <w:t xml:space="preserve">Meget stor.</w:t>
      </w:r>
    </w:p>
    <w:bookmarkEnd w:id="99"/>
    <w:bookmarkStart w:id="100" w:name="hva-er-nyttevirkningen-3"/>
    <w:p>
      <w:pPr>
        <w:pStyle w:val="Heading3"/>
      </w:pPr>
      <w:r>
        <w:rPr>
          <w:i/>
          <w:iCs/>
        </w:rPr>
        <w:t xml:space="preserve">Hva er nyttevirkningen</w:t>
      </w:r>
    </w:p>
    <w:p>
      <w:pPr>
        <w:pStyle w:val="FirstParagraph"/>
      </w:pPr>
      <w:r>
        <w:t xml:space="preserve">Innbyggere og ansatte opplever mer sømløse overganger og mer like tjenester mellom kommuner. Brukerne får likeverdige tjenester uavhengig av bosted, og unngår å måtte starte prosesser på nytt ved flytting eller ved samhandling med flere kommuner.</w:t>
      </w:r>
    </w:p>
    <w:bookmarkEnd w:id="100"/>
    <w:bookmarkStart w:id="101" w:name="hvem-oppstår-nytten-for-3"/>
    <w:p>
      <w:pPr>
        <w:pStyle w:val="Heading3"/>
      </w:pPr>
      <w:r>
        <w:rPr>
          <w:i/>
          <w:iCs/>
        </w:rPr>
        <w:t xml:space="preserve">Hvem oppstår nytten for</w:t>
      </w:r>
    </w:p>
    <w:p>
      <w:pPr>
        <w:pStyle w:val="FirstParagraph"/>
      </w:pPr>
      <w:r>
        <w:t xml:space="preserve">Barn, elever, foresatte og lærere får mer likeverdige tjenester og sømløse overganger når de flytter mellom kommuner eller mottar støtte fra flere instanser. Saksbehandlere og fagpersoner i barnehage, skole, PPT og oppfølgingstjenester får bedre grunnlag for samarbeid og gjenbruk av informasjon. Kommunene får lavere utviklingskostnader, bedre etterlevelse og enklere samarbeid på tvers.</w:t>
      </w:r>
    </w:p>
    <w:bookmarkEnd w:id="101"/>
    <w:bookmarkStart w:id="102" w:name="hvordan-oppstår-nyttevirkningen-3"/>
    <w:p>
      <w:pPr>
        <w:pStyle w:val="Heading3"/>
      </w:pPr>
      <w:r>
        <w:rPr>
          <w:i/>
          <w:iCs/>
        </w:rPr>
        <w:t xml:space="preserve">Hvordan oppstår nyttevirkningen</w:t>
      </w:r>
    </w:p>
    <w:p>
      <w:pPr>
        <w:pStyle w:val="FirstParagraph"/>
      </w:pPr>
      <w:r>
        <w:t xml:space="preserve">Ved å ta i bruk en nasjonal tjenestekatalog med felles tjenestetyper og tilhørende datasett, kan kommuner tilby standardiserte tjenester med lokal tilpasning. Bruken av felles informasjonsmodeller og hendelsesbeskrivelser gjør det enklere å dele og forstå data og tjenester på tvers.</w:t>
      </w:r>
    </w:p>
    <w:bookmarkEnd w:id="102"/>
    <w:bookmarkStart w:id="103" w:name="usikkerhetsvurdering-3"/>
    <w:p>
      <w:pPr>
        <w:pStyle w:val="Heading3"/>
      </w:pPr>
      <w:r>
        <w:rPr>
          <w:i/>
          <w:iCs/>
        </w:rPr>
        <w:t xml:space="preserve">Usikkerhetsvurdering</w:t>
      </w:r>
    </w:p>
    <w:p>
      <w:pPr>
        <w:pStyle w:val="FirstParagraph"/>
      </w:pPr>
      <w:r>
        <w:t xml:space="preserve">Medium.</w:t>
      </w:r>
    </w:p>
    <w:bookmarkEnd w:id="103"/>
    <w:bookmarkStart w:id="104" w:name="begrunnelse-for-usikkerhetsvurdering-3"/>
    <w:p>
      <w:pPr>
        <w:pStyle w:val="Heading3"/>
      </w:pPr>
      <w:r>
        <w:rPr>
          <w:i/>
          <w:iCs/>
        </w:rPr>
        <w:t xml:space="preserve">Begrunnelse for usikkerhetsvurdering</w:t>
      </w:r>
    </w:p>
    <w:p>
      <w:pPr>
        <w:pStyle w:val="FirstParagraph"/>
      </w:pPr>
      <w:r>
        <w:t xml:space="preserve">Det er middels usikkerhet. Gevinsten forutsetter at mange kommuner faktisk tar i bruk felles tjenestemodeller og databeskrivelser i sine løsninger og praksiser. Ulik digital modenhet og lokale prioriteringer kan føre til variasjon i implementering, og dermed redusert effekt.</w:t>
      </w:r>
    </w:p>
    <w:bookmarkEnd w:id="104"/>
    <w:bookmarkStart w:id="105" w:name="forutsetninger-3"/>
    <w:p>
      <w:pPr>
        <w:pStyle w:val="Heading3"/>
      </w:pPr>
      <w:r>
        <w:rPr>
          <w:i/>
          <w:iCs/>
        </w:rPr>
        <w:t xml:space="preserve">Forutsetninger</w:t>
      </w:r>
    </w:p>
    <w:p>
      <w:pPr>
        <w:pStyle w:val="FirstParagraph"/>
      </w:pPr>
      <w:r>
        <w:t xml:space="preserve">Kommunene må ta i bruk felles modeller, metadata og katalogtjenester, og bidra til koordinert utvikling og vedlikehold. Rammeverket må støtte variasjon i løsningene, men sikre semantisk og funksjonell likhet i tjenestene.</w:t>
      </w:r>
    </w:p>
    <w:bookmarkEnd w:id="105"/>
    <w:bookmarkEnd w:id="106"/>
    <w:bookmarkStart w:id="114" w:name="k5-effektiv-saksbehandling"/>
    <w:p>
      <w:pPr>
        <w:pStyle w:val="Heading2"/>
      </w:pPr>
      <w:r>
        <w:t xml:space="preserve">K5: Effektiv saksbehandling</w:t>
      </w:r>
    </w:p>
    <w:bookmarkStart w:id="107" w:name="samfunnsøkonomisk-verdi-4"/>
    <w:p>
      <w:pPr>
        <w:pStyle w:val="Heading3"/>
      </w:pPr>
      <w:r>
        <w:rPr>
          <w:i/>
          <w:iCs/>
        </w:rPr>
        <w:t xml:space="preserve">Samfunnsøkonomisk verdi</w:t>
      </w:r>
    </w:p>
    <w:p>
      <w:pPr>
        <w:pStyle w:val="FirstParagraph"/>
      </w:pPr>
      <w:r>
        <w:t xml:space="preserve">Stor.</w:t>
      </w:r>
    </w:p>
    <w:bookmarkEnd w:id="107"/>
    <w:bookmarkStart w:id="108" w:name="hva-er-nyttevirkningen-4"/>
    <w:p>
      <w:pPr>
        <w:pStyle w:val="Heading3"/>
      </w:pPr>
      <w:r>
        <w:rPr>
          <w:i/>
          <w:iCs/>
        </w:rPr>
        <w:t xml:space="preserve">Hva er nyttevirkningen</w:t>
      </w:r>
    </w:p>
    <w:p>
      <w:pPr>
        <w:pStyle w:val="FirstParagraph"/>
      </w:pPr>
      <w:r>
        <w:t xml:space="preserve">Saksbehandlingstiden reduseres, særlig i klagesaker og komplekse saker med mange aktører.</w:t>
      </w:r>
    </w:p>
    <w:bookmarkEnd w:id="108"/>
    <w:bookmarkStart w:id="109" w:name="hvem-oppstår-nytten-for-4"/>
    <w:p>
      <w:pPr>
        <w:pStyle w:val="Heading3"/>
      </w:pPr>
      <w:r>
        <w:rPr>
          <w:i/>
          <w:iCs/>
        </w:rPr>
        <w:t xml:space="preserve">Hvem oppstår nytten for</w:t>
      </w:r>
    </w:p>
    <w:p>
      <w:pPr>
        <w:pStyle w:val="FirstParagraph"/>
      </w:pPr>
      <w:r>
        <w:t xml:space="preserve">Foresatte og elever som berøres av saksbehandling, samt ansatte og ledelse i kommuner, fylkeskommuner og statsforvaltning med ansvar for klage- og vedtaksprosesser innen oppvekst og utdanning.</w:t>
      </w:r>
    </w:p>
    <w:bookmarkEnd w:id="109"/>
    <w:bookmarkStart w:id="110" w:name="hvordan-oppstår-nyttevirkningen-4"/>
    <w:p>
      <w:pPr>
        <w:pStyle w:val="Heading3"/>
      </w:pPr>
      <w:r>
        <w:rPr>
          <w:i/>
          <w:iCs/>
        </w:rPr>
        <w:t xml:space="preserve">Hvordan oppstår nyttevirkningen</w:t>
      </w:r>
    </w:p>
    <w:p>
      <w:pPr>
        <w:pStyle w:val="FirstParagraph"/>
      </w:pPr>
      <w:r>
        <w:t xml:space="preserve">Bedre datakvalitet og strukturert deling reduserer behovet for manuell innhenting, vurdering og avklaring av opplysninger.</w:t>
      </w:r>
    </w:p>
    <w:bookmarkEnd w:id="110"/>
    <w:bookmarkStart w:id="111" w:name="usikkerhetsvurdering-4"/>
    <w:p>
      <w:pPr>
        <w:pStyle w:val="Heading3"/>
      </w:pPr>
      <w:r>
        <w:rPr>
          <w:i/>
          <w:iCs/>
        </w:rPr>
        <w:t xml:space="preserve">Usikkerhetsvurdering</w:t>
      </w:r>
    </w:p>
    <w:p>
      <w:pPr>
        <w:pStyle w:val="FirstParagraph"/>
      </w:pPr>
      <w:r>
        <w:t xml:space="preserve">Medium.</w:t>
      </w:r>
    </w:p>
    <w:bookmarkEnd w:id="111"/>
    <w:bookmarkStart w:id="112" w:name="begrunnelse-for-usikkerhetsvurdering-4"/>
    <w:p>
      <w:pPr>
        <w:pStyle w:val="Heading3"/>
      </w:pPr>
      <w:r>
        <w:rPr>
          <w:i/>
          <w:iCs/>
        </w:rPr>
        <w:t xml:space="preserve">Begrunnelse for usikkerhetsvurdering</w:t>
      </w:r>
    </w:p>
    <w:p>
      <w:pPr>
        <w:pStyle w:val="FirstParagraph"/>
      </w:pPr>
      <w:r>
        <w:t xml:space="preserve">Gevinsten forutsetter at relevante aktører faktisk tar i bruk felles informasjonsmodeller og løsninger for datadeling i saksbehandlingsprosesser. Det er noe usikkerhet knyttet til endringsvilje, modenhet og kapasitet i kommunal sektor.</w:t>
      </w:r>
    </w:p>
    <w:bookmarkEnd w:id="112"/>
    <w:bookmarkStart w:id="113" w:name="forutsetninger-4"/>
    <w:p>
      <w:pPr>
        <w:pStyle w:val="Heading3"/>
      </w:pPr>
      <w:r>
        <w:rPr>
          <w:i/>
          <w:iCs/>
        </w:rPr>
        <w:t xml:space="preserve">Forutsetninger</w:t>
      </w:r>
    </w:p>
    <w:p>
      <w:pPr>
        <w:pStyle w:val="FirstParagraph"/>
      </w:pPr>
      <w:r>
        <w:t xml:space="preserve">Tverrgående datatilgang, felles informasjonsmodeller og autoritative datakilder må være tilgjengelige og tatt i bruk.</w:t>
      </w:r>
    </w:p>
    <w:bookmarkEnd w:id="113"/>
    <w:bookmarkEnd w:id="114"/>
    <w:bookmarkStart w:id="122" w:name="k6-bedre-informasjonssikkerhet"/>
    <w:p>
      <w:pPr>
        <w:pStyle w:val="Heading2"/>
      </w:pPr>
      <w:r>
        <w:t xml:space="preserve">K6: Bedre informasjonssikkerhet</w:t>
      </w:r>
    </w:p>
    <w:bookmarkStart w:id="115" w:name="samfunnsøkonomisk-verdi-5"/>
    <w:p>
      <w:pPr>
        <w:pStyle w:val="Heading3"/>
      </w:pPr>
      <w:r>
        <w:rPr>
          <w:i/>
          <w:iCs/>
        </w:rPr>
        <w:t xml:space="preserve">Samfunnsøkonomisk verdi</w:t>
      </w:r>
    </w:p>
    <w:p>
      <w:pPr>
        <w:pStyle w:val="FirstParagraph"/>
      </w:pPr>
      <w:r>
        <w:t xml:space="preserve">Meget stor.</w:t>
      </w:r>
    </w:p>
    <w:bookmarkEnd w:id="115"/>
    <w:bookmarkStart w:id="116" w:name="hva-er-nyttevirkningen-5"/>
    <w:p>
      <w:pPr>
        <w:pStyle w:val="Heading3"/>
      </w:pPr>
      <w:r>
        <w:rPr>
          <w:i/>
          <w:iCs/>
        </w:rPr>
        <w:t xml:space="preserve">Hva er nyttevirkningen</w:t>
      </w:r>
    </w:p>
    <w:p>
      <w:pPr>
        <w:pStyle w:val="FirstParagraph"/>
      </w:pPr>
      <w:r>
        <w:t xml:space="preserve">Informasjonssikkerhet og personvern styrkes ved at færre kopier av data må lagres og sikres lokalt. Risiko for feil bruk eller uautorisert tilgang reduseres.</w:t>
      </w:r>
    </w:p>
    <w:bookmarkEnd w:id="116"/>
    <w:bookmarkStart w:id="117" w:name="hvem-oppstår-nytten-for-5"/>
    <w:p>
      <w:pPr>
        <w:pStyle w:val="Heading3"/>
      </w:pPr>
      <w:r>
        <w:rPr>
          <w:i/>
          <w:iCs/>
        </w:rPr>
        <w:t xml:space="preserve">Hvem oppstår nytten for</w:t>
      </w:r>
    </w:p>
    <w:p>
      <w:pPr>
        <w:pStyle w:val="FirstParagraph"/>
      </w:pPr>
      <w:r>
        <w:t xml:space="preserve">Innbyggere får bedre personvern. Virksomheter og leverandører får enklere og tryggere databehandling, med færre kopier og bedre tilgangsstyring. Sikkerhets- og etterlevelsesarbeid forenkles for forvaltningen.</w:t>
      </w:r>
    </w:p>
    <w:bookmarkEnd w:id="117"/>
    <w:bookmarkStart w:id="118" w:name="hvordan-oppstår-nyttevirkningen-5"/>
    <w:p>
      <w:pPr>
        <w:pStyle w:val="Heading3"/>
      </w:pPr>
      <w:r>
        <w:rPr>
          <w:i/>
          <w:iCs/>
        </w:rPr>
        <w:t xml:space="preserve">Hvordan oppstår nyttevirkningen</w:t>
      </w:r>
    </w:p>
    <w:p>
      <w:pPr>
        <w:pStyle w:val="FirstParagraph"/>
      </w:pPr>
      <w:r>
        <w:t xml:space="preserve">Ved at data nås der de eies gjennom standardiserte tjenester og mellomlaget, kan tilgangsstyring og logging håndteres mer konsistent. Tilgang kan styres én gang for typer av data eller tjenester, i stedet for å settes opp mange ganger lokalt.</w:t>
      </w:r>
    </w:p>
    <w:bookmarkEnd w:id="118"/>
    <w:bookmarkStart w:id="119" w:name="usikkerhetsvurdering-5"/>
    <w:p>
      <w:pPr>
        <w:pStyle w:val="Heading3"/>
      </w:pPr>
      <w:r>
        <w:rPr>
          <w:i/>
          <w:iCs/>
        </w:rPr>
        <w:t xml:space="preserve">Usikkerhetsvurdering</w:t>
      </w:r>
    </w:p>
    <w:p>
      <w:pPr>
        <w:pStyle w:val="FirstParagraph"/>
      </w:pPr>
      <w:r>
        <w:t xml:space="preserve">Lav.</w:t>
      </w:r>
    </w:p>
    <w:bookmarkEnd w:id="119"/>
    <w:bookmarkStart w:id="120" w:name="begrunnelse-for-usikkerhetsvurdering-5"/>
    <w:p>
      <w:pPr>
        <w:pStyle w:val="Heading3"/>
      </w:pPr>
      <w:r>
        <w:rPr>
          <w:i/>
          <w:iCs/>
        </w:rPr>
        <w:t xml:space="preserve">Begrunnelse for usikkerhetsvurdering</w:t>
      </w:r>
    </w:p>
    <w:p>
      <w:pPr>
        <w:pStyle w:val="FirstParagraph"/>
      </w:pPr>
      <w:r>
        <w:t xml:space="preserve">Det er lav til middels usikkerhet. Gevinsten forutsetter at virksomhetene faktisk tar i bruk standardiserte datatjenester og mellomlagets mekanismer for tilgangsstyring og logging. Usikkerheten ligger primært i organisatorisk forankring og teknisk implementering hos partnere.</w:t>
      </w:r>
    </w:p>
    <w:bookmarkEnd w:id="120"/>
    <w:bookmarkStart w:id="121" w:name="forutsetninger-5"/>
    <w:p>
      <w:pPr>
        <w:pStyle w:val="Heading3"/>
      </w:pPr>
      <w:r>
        <w:rPr>
          <w:i/>
          <w:iCs/>
        </w:rPr>
        <w:t xml:space="preserve">Forutsetninger</w:t>
      </w:r>
    </w:p>
    <w:p>
      <w:pPr>
        <w:pStyle w:val="FirstParagraph"/>
      </w:pPr>
      <w:r>
        <w:t xml:space="preserve">«Mellomlaget» må etableres med støtte for sentral tilgangsstyring, og virksomhetene må ta i bruk standardiserte datatjenester og beskrivelser i tjeneste- og datakataloger.</w:t>
      </w:r>
    </w:p>
    <w:bookmarkEnd w:id="121"/>
    <w:bookmarkEnd w:id="122"/>
    <w:bookmarkStart w:id="130" w:name="k7-miljøgevinster"/>
    <w:p>
      <w:pPr>
        <w:pStyle w:val="Heading2"/>
      </w:pPr>
      <w:r>
        <w:t xml:space="preserve">K7: Miljøgevinster</w:t>
      </w:r>
    </w:p>
    <w:bookmarkStart w:id="123" w:name="samfunnsøkonomisk-verdi-6"/>
    <w:p>
      <w:pPr>
        <w:pStyle w:val="Heading3"/>
      </w:pPr>
      <w:r>
        <w:rPr>
          <w:i/>
          <w:iCs/>
        </w:rPr>
        <w:t xml:space="preserve">Samfunnsøkonomisk verdi</w:t>
      </w:r>
    </w:p>
    <w:p>
      <w:pPr>
        <w:pStyle w:val="FirstParagraph"/>
      </w:pPr>
      <w:r>
        <w:t xml:space="preserve">Middels.</w:t>
      </w:r>
    </w:p>
    <w:bookmarkEnd w:id="123"/>
    <w:bookmarkStart w:id="124" w:name="hva-er-nyttevirkningen-6"/>
    <w:p>
      <w:pPr>
        <w:pStyle w:val="Heading3"/>
      </w:pPr>
      <w:r>
        <w:rPr>
          <w:i/>
          <w:iCs/>
        </w:rPr>
        <w:t xml:space="preserve">Hva er nyttevirkningen</w:t>
      </w:r>
    </w:p>
    <w:p>
      <w:pPr>
        <w:pStyle w:val="FirstParagraph"/>
      </w:pPr>
      <w:r>
        <w:t xml:space="preserve">Miljøavtrykket fra offentlig databehandling reduseres gjennom mindre behov for å kopiere, flytte og lagre store mengder data lokalt i ulike virksomheter.</w:t>
      </w:r>
    </w:p>
    <w:bookmarkEnd w:id="124"/>
    <w:bookmarkStart w:id="125" w:name="hvem-oppstår-nytten-for-6"/>
    <w:p>
      <w:pPr>
        <w:pStyle w:val="Heading3"/>
      </w:pPr>
      <w:r>
        <w:rPr>
          <w:i/>
          <w:iCs/>
        </w:rPr>
        <w:t xml:space="preserve">Hvem oppstår nytten for</w:t>
      </w:r>
    </w:p>
    <w:p>
      <w:pPr>
        <w:pStyle w:val="FirstParagraph"/>
      </w:pPr>
      <w:r>
        <w:t xml:space="preserve">Samfunnet og miljøet får nytte i form av redusert ressursbruk knyttet til energiforbruk, kjøling og fysisk infrastruktur for datalagring. Gevinsten oppstår indirekte for innbyggere og virksomheter gjennom lavere miljøbelastning fra digital forvaltning.</w:t>
      </w:r>
    </w:p>
    <w:bookmarkEnd w:id="125"/>
    <w:bookmarkStart w:id="126" w:name="hvordan-oppstår-nyttevirkningen-6"/>
    <w:p>
      <w:pPr>
        <w:pStyle w:val="Heading3"/>
      </w:pPr>
      <w:r>
        <w:rPr>
          <w:i/>
          <w:iCs/>
        </w:rPr>
        <w:t xml:space="preserve">Hvordan oppstår nyttevirkningen</w:t>
      </w:r>
    </w:p>
    <w:p>
      <w:pPr>
        <w:pStyle w:val="FirstParagraph"/>
      </w:pPr>
      <w:r>
        <w:t xml:space="preserve">Ved å ta i bruk datavirtualisering og et felles mellomlag kan data nås der de eies, i stedet for å kopieres og lagres i flere siloer. Dette reduserer behov for lagringsplass, overføring og drift av dupliserte datakilder – noe som gir lavere energibruk og IT-fotavtrykk.</w:t>
      </w:r>
    </w:p>
    <w:bookmarkEnd w:id="126"/>
    <w:bookmarkStart w:id="127" w:name="usikkerhetsvurdering-6"/>
    <w:p>
      <w:pPr>
        <w:pStyle w:val="Heading3"/>
      </w:pPr>
      <w:r>
        <w:rPr>
          <w:i/>
          <w:iCs/>
        </w:rPr>
        <w:t xml:space="preserve">Usikkerhetsvurdering</w:t>
      </w:r>
    </w:p>
    <w:p>
      <w:pPr>
        <w:pStyle w:val="FirstParagraph"/>
      </w:pPr>
      <w:r>
        <w:t xml:space="preserve">Medium.</w:t>
      </w:r>
    </w:p>
    <w:bookmarkEnd w:id="127"/>
    <w:bookmarkStart w:id="128" w:name="begrunnelse-for-usikkerhetsvurdering-6"/>
    <w:p>
      <w:pPr>
        <w:pStyle w:val="Heading3"/>
      </w:pPr>
      <w:r>
        <w:rPr>
          <w:i/>
          <w:iCs/>
        </w:rPr>
        <w:t xml:space="preserve">Begrunnelse for usikkerhetsvurdering</w:t>
      </w:r>
    </w:p>
    <w:p>
      <w:pPr>
        <w:pStyle w:val="FirstParagraph"/>
      </w:pPr>
      <w:r>
        <w:t xml:space="preserve">Det er middels usikkerhet. Miljøgevinsten forutsetter faktisk reduksjon i antall kopierte og lagrede datasett i offentlig sektor. Selv om arkitekturen legger til rette for datavirtualisering, vil gevinsten ikke realiseres dersom virksomhetene fortsetter å etablere lokale kopier av data av hensyn til drift, kontroll eller historikk.</w:t>
      </w:r>
    </w:p>
    <w:bookmarkEnd w:id="128"/>
    <w:bookmarkStart w:id="129" w:name="forutsetninger-6"/>
    <w:p>
      <w:pPr>
        <w:pStyle w:val="Heading3"/>
      </w:pPr>
      <w:r>
        <w:rPr>
          <w:i/>
          <w:iCs/>
        </w:rPr>
        <w:t xml:space="preserve">Forutsetninger</w:t>
      </w:r>
    </w:p>
    <w:p>
      <w:pPr>
        <w:pStyle w:val="FirstParagraph"/>
      </w:pPr>
      <w:r>
        <w:t xml:space="preserve">Virksomhetene må benytte datavirtualisering og «mellomlaget» som primær tilgang til data, og avstå fra unødvendig kopiering. Det forutsetter tillit til tilgjengeligheten, ytelsen og sikkerheten i infrastrukturen, samt klare føringer for bruk av felles datatjenester.</w:t>
      </w:r>
    </w:p>
    <w:bookmarkEnd w:id="129"/>
    <w:bookmarkEnd w:id="130"/>
    <w:bookmarkStart w:id="138" w:name="k8-bedre-samarbeid-på-tvers"/>
    <w:p>
      <w:pPr>
        <w:pStyle w:val="Heading2"/>
      </w:pPr>
      <w:r>
        <w:t xml:space="preserve">K8: Bedre samarbeid på tvers</w:t>
      </w:r>
    </w:p>
    <w:bookmarkStart w:id="131" w:name="samfunnsøkonomisk-verdi-7"/>
    <w:p>
      <w:pPr>
        <w:pStyle w:val="Heading3"/>
      </w:pPr>
      <w:r>
        <w:rPr>
          <w:i/>
          <w:iCs/>
        </w:rPr>
        <w:t xml:space="preserve">Samfunnsøkonomisk verdi</w:t>
      </w:r>
    </w:p>
    <w:p>
      <w:pPr>
        <w:pStyle w:val="FirstParagraph"/>
      </w:pPr>
      <w:r>
        <w:t xml:space="preserve">Middels.</w:t>
      </w:r>
    </w:p>
    <w:bookmarkEnd w:id="131"/>
    <w:bookmarkStart w:id="132" w:name="hva-er-nyttevirkningen-7"/>
    <w:p>
      <w:pPr>
        <w:pStyle w:val="Heading3"/>
      </w:pPr>
      <w:r>
        <w:rPr>
          <w:i/>
          <w:iCs/>
        </w:rPr>
        <w:t xml:space="preserve">Hva er nyttevirkningen</w:t>
      </w:r>
    </w:p>
    <w:p>
      <w:pPr>
        <w:pStyle w:val="FirstParagraph"/>
      </w:pPr>
      <w:r>
        <w:t xml:space="preserve">Samarbeidet mellom statlige, kommunale og private aktører styrkes gjennom tydelige roller og ansvar, felles begrepsapparat og samordnet utvikling av tjenester og datadeling.</w:t>
      </w:r>
    </w:p>
    <w:bookmarkEnd w:id="132"/>
    <w:bookmarkStart w:id="133" w:name="hvem-oppstår-nytten-for-7"/>
    <w:p>
      <w:pPr>
        <w:pStyle w:val="Heading3"/>
      </w:pPr>
      <w:r>
        <w:rPr>
          <w:i/>
          <w:iCs/>
        </w:rPr>
        <w:t xml:space="preserve">Hvem oppstår nytten for</w:t>
      </w:r>
    </w:p>
    <w:p>
      <w:pPr>
        <w:pStyle w:val="FirstParagraph"/>
      </w:pPr>
      <w:r>
        <w:t xml:space="preserve">Statlige og kommunale virksomheter får bedre koordinering, mindre dobbeltarbeid og tydeligere roller. Ansatte får bedre grunnlag for samhandling, og brukere opplever mer helhetlige og effektive tjenester.</w:t>
      </w:r>
    </w:p>
    <w:bookmarkEnd w:id="133"/>
    <w:bookmarkStart w:id="134" w:name="hvordan-oppstår-nyttevirkningen-7"/>
    <w:p>
      <w:pPr>
        <w:pStyle w:val="Heading3"/>
      </w:pPr>
      <w:r>
        <w:rPr>
          <w:i/>
          <w:iCs/>
        </w:rPr>
        <w:t xml:space="preserve">Hvordan oppstår nyttevirkningen</w:t>
      </w:r>
    </w:p>
    <w:p>
      <w:pPr>
        <w:pStyle w:val="FirstParagraph"/>
      </w:pPr>
      <w:r>
        <w:t xml:space="preserve">En felles styringsmodell og forvaltningsstruktur etableres for å støtte koordinert utvikling og forvaltning på tvers av sektorer og nivåer. Felles informasjonsmodeller, hendelsesbeskrivelser og tjenestekataloger legger grunnlag for effektiv samhandling – også i økosystemer som inkluderer offentlige og private aktører.</w:t>
      </w:r>
    </w:p>
    <w:bookmarkEnd w:id="134"/>
    <w:bookmarkStart w:id="135" w:name="usikkerhetsvurdering-7"/>
    <w:p>
      <w:pPr>
        <w:pStyle w:val="Heading3"/>
      </w:pPr>
      <w:r>
        <w:rPr>
          <w:i/>
          <w:iCs/>
        </w:rPr>
        <w:t xml:space="preserve">Usikkerhetsvurdering</w:t>
      </w:r>
    </w:p>
    <w:p>
      <w:pPr>
        <w:pStyle w:val="FirstParagraph"/>
      </w:pPr>
      <w:r>
        <w:t xml:space="preserve">Medium.</w:t>
      </w:r>
    </w:p>
    <w:bookmarkEnd w:id="135"/>
    <w:bookmarkStart w:id="136" w:name="begrunnelse-for-usikkerhetsvurdering-7"/>
    <w:p>
      <w:pPr>
        <w:pStyle w:val="Heading3"/>
      </w:pPr>
      <w:r>
        <w:rPr>
          <w:i/>
          <w:iCs/>
        </w:rPr>
        <w:t xml:space="preserve">Begrunnelse for usikkerhetsvurdering</w:t>
      </w:r>
    </w:p>
    <w:p>
      <w:pPr>
        <w:pStyle w:val="FirstParagraph"/>
      </w:pPr>
      <w:r>
        <w:t xml:space="preserve">Det er middels usikkerhet, siden gevinsten avhenger av faktisk etterlevelse av felles styringsmodeller og forvaltningsprinsipper. Ulik organisatorisk modenhet, ulike prioriteringer og ressursmangel kan utfordre gjennomføringsevnen hos partene.</w:t>
      </w:r>
    </w:p>
    <w:bookmarkEnd w:id="136"/>
    <w:bookmarkStart w:id="137" w:name="forutsetninger-7"/>
    <w:p>
      <w:pPr>
        <w:pStyle w:val="Heading3"/>
      </w:pPr>
      <w:r>
        <w:rPr>
          <w:i/>
          <w:iCs/>
        </w:rPr>
        <w:t xml:space="preserve">Forutsetninger</w:t>
      </w:r>
    </w:p>
    <w:p>
      <w:pPr>
        <w:pStyle w:val="FirstParagraph"/>
      </w:pPr>
      <w:r>
        <w:t xml:space="preserve">Partene må forplikte seg til felles prinsipper for samstyring og forvaltning. Leverandører og andre aktører må kunne koble seg på felles modeller og grensesnitt, og bidra til etterlevelse og videreutvikling.</w:t>
      </w:r>
    </w:p>
    <w:bookmarkEnd w:id="137"/>
    <w:bookmarkEnd w:id="138"/>
    <w:bookmarkStart w:id="146" w:name="k9-bedre-datakvalitet"/>
    <w:p>
      <w:pPr>
        <w:pStyle w:val="Heading2"/>
      </w:pPr>
      <w:r>
        <w:t xml:space="preserve">K9: Bedre datakvalitet</w:t>
      </w:r>
    </w:p>
    <w:bookmarkStart w:id="139" w:name="samfunnsøkonomisk-verdi-8"/>
    <w:p>
      <w:pPr>
        <w:pStyle w:val="Heading3"/>
      </w:pPr>
      <w:r>
        <w:rPr>
          <w:i/>
          <w:iCs/>
        </w:rPr>
        <w:t xml:space="preserve">Samfunnsøkonomisk verdi</w:t>
      </w:r>
    </w:p>
    <w:p>
      <w:pPr>
        <w:pStyle w:val="FirstParagraph"/>
      </w:pPr>
      <w:r>
        <w:t xml:space="preserve">Meget stor.</w:t>
      </w:r>
    </w:p>
    <w:bookmarkEnd w:id="139"/>
    <w:bookmarkStart w:id="140" w:name="hva-er-nyttevirkningen-8"/>
    <w:p>
      <w:pPr>
        <w:pStyle w:val="Heading3"/>
      </w:pPr>
      <w:r>
        <w:rPr>
          <w:i/>
          <w:iCs/>
        </w:rPr>
        <w:t xml:space="preserve">Hva er nyttevirkningen</w:t>
      </w:r>
    </w:p>
    <w:p>
      <w:pPr>
        <w:pStyle w:val="FirstParagraph"/>
      </w:pPr>
      <w:r>
        <w:t xml:space="preserve">Forbedret datakvalitet og strukturerte data gir færre feil i saksbehandling, bedre datagrunnlag for KI og beslutninger, økt rettssikkerhet, samt tillit til offentlige tjenester.</w:t>
      </w:r>
    </w:p>
    <w:bookmarkEnd w:id="140"/>
    <w:bookmarkStart w:id="141" w:name="hvem-oppstår-nytten-for-8"/>
    <w:p>
      <w:pPr>
        <w:pStyle w:val="Heading3"/>
      </w:pPr>
      <w:r>
        <w:rPr>
          <w:i/>
          <w:iCs/>
        </w:rPr>
        <w:t xml:space="preserve">Hvem oppstår nytten for</w:t>
      </w:r>
    </w:p>
    <w:p>
      <w:pPr>
        <w:pStyle w:val="FirstParagraph"/>
      </w:pPr>
      <w:r>
        <w:t xml:space="preserve">Innbyggere og virksomheter i offentlig og privat sektor.</w:t>
      </w:r>
    </w:p>
    <w:bookmarkEnd w:id="141"/>
    <w:bookmarkStart w:id="142" w:name="hvordan-oppstår-nyttevirkningen-8"/>
    <w:p>
      <w:pPr>
        <w:pStyle w:val="Heading3"/>
      </w:pPr>
      <w:r>
        <w:rPr>
          <w:i/>
          <w:iCs/>
        </w:rPr>
        <w:t xml:space="preserve">Hvordan oppstår nyttevirkningen</w:t>
      </w:r>
    </w:p>
    <w:p>
      <w:pPr>
        <w:pStyle w:val="FirstParagraph"/>
      </w:pPr>
      <w:r>
        <w:t xml:space="preserve">Når data gjenbrukes av flere tjenester, vil kravene til kvalitet bli høyere. Det er lettere å sikre kvalitet når data samles inn én gang og foredles i systemene, i stedet for at de skal registreres i hvert enkelt system. Felles informasjonsmodeller vil gi økt bevissthet rundt hva dataene representerer, og dermed synliggjøre behovet for kvalitetsøkning.</w:t>
      </w:r>
    </w:p>
    <w:bookmarkEnd w:id="142"/>
    <w:bookmarkStart w:id="143" w:name="usikkerhetsvurdering-8"/>
    <w:p>
      <w:pPr>
        <w:pStyle w:val="Heading3"/>
      </w:pPr>
      <w:r>
        <w:rPr>
          <w:i/>
          <w:iCs/>
        </w:rPr>
        <w:t xml:space="preserve">Usikkerhetsvurdering</w:t>
      </w:r>
    </w:p>
    <w:p>
      <w:pPr>
        <w:pStyle w:val="FirstParagraph"/>
      </w:pPr>
      <w:r>
        <w:t xml:space="preserve">Medium.</w:t>
      </w:r>
    </w:p>
    <w:bookmarkEnd w:id="143"/>
    <w:bookmarkStart w:id="144" w:name="begrunnelse-for-usikkerhetsvurdering-8"/>
    <w:p>
      <w:pPr>
        <w:pStyle w:val="Heading3"/>
      </w:pPr>
      <w:r>
        <w:rPr>
          <w:i/>
          <w:iCs/>
        </w:rPr>
        <w:t xml:space="preserve">Begrunnelse for usikkerhetsvurdering</w:t>
      </w:r>
    </w:p>
    <w:p>
      <w:pPr>
        <w:pStyle w:val="FirstParagraph"/>
      </w:pPr>
      <w:r>
        <w:t xml:space="preserve">Gevinsten er avhengig av faktisk innføring og bruk av felles informasjonsmodeller og god datastyring i flere involverte virksomheter. Tidligere prosjekter har vist at gevinster er realiserbare, men at organisatorisk forankring og lokal prioritering kan variere.</w:t>
      </w:r>
    </w:p>
    <w:bookmarkEnd w:id="144"/>
    <w:bookmarkStart w:id="145" w:name="forutsetninger-8"/>
    <w:p>
      <w:pPr>
        <w:pStyle w:val="Heading3"/>
      </w:pPr>
      <w:r>
        <w:rPr>
          <w:i/>
          <w:iCs/>
        </w:rPr>
        <w:t xml:space="preserve">Forutsetninger</w:t>
      </w:r>
    </w:p>
    <w:p>
      <w:pPr>
        <w:pStyle w:val="FirstParagraph"/>
      </w:pPr>
      <w:r>
        <w:t xml:space="preserve">Felles begreper og informasjonsmodeller må etableres og tas i bruk. Metadata må forvaltes og gjøres tilgjengelig. Det kreves at virksomhetene har rutiner og kompetanse for kvalitetssikring og vedlikehold av data.</w:t>
      </w:r>
    </w:p>
    <w:bookmarkEnd w:id="145"/>
    <w:bookmarkEnd w:id="146"/>
    <w:bookmarkStart w:id="154" w:name="k10-unngå-innelåste-data"/>
    <w:p>
      <w:pPr>
        <w:pStyle w:val="Heading2"/>
      </w:pPr>
      <w:r>
        <w:t xml:space="preserve">K10: Unngå innelåste data</w:t>
      </w:r>
    </w:p>
    <w:bookmarkStart w:id="147" w:name="samfunnsøkonomisk-verdi-9"/>
    <w:p>
      <w:pPr>
        <w:pStyle w:val="Heading3"/>
      </w:pPr>
      <w:r>
        <w:rPr>
          <w:i/>
          <w:iCs/>
        </w:rPr>
        <w:t xml:space="preserve">Samfunnsøkonomisk verdi</w:t>
      </w:r>
    </w:p>
    <w:p>
      <w:pPr>
        <w:pStyle w:val="FirstParagraph"/>
      </w:pPr>
      <w:r>
        <w:t xml:space="preserve">Stor.</w:t>
      </w:r>
    </w:p>
    <w:bookmarkEnd w:id="147"/>
    <w:bookmarkStart w:id="148" w:name="hva-er-nyttevirkningen-9"/>
    <w:p>
      <w:pPr>
        <w:pStyle w:val="Heading3"/>
      </w:pPr>
      <w:r>
        <w:rPr>
          <w:i/>
          <w:iCs/>
        </w:rPr>
        <w:t xml:space="preserve">Hva er nyttevirkningen</w:t>
      </w:r>
    </w:p>
    <w:p>
      <w:pPr>
        <w:pStyle w:val="FirstParagraph"/>
      </w:pPr>
      <w:r>
        <w:t xml:space="preserve">Unngå at data er "innelåst" i proprietære løsninger/fagsystemer, for å muliggjøre tilgang til oppdaterte og forståelige data uavhengig av hvor eller hvordan data er lagret. Gjennom dette unngås også behov for lokale kopier, som igjen har en rekke fordeler (informasjonssikkerhet, datakvalitet mv.).</w:t>
      </w:r>
    </w:p>
    <w:bookmarkEnd w:id="148"/>
    <w:bookmarkStart w:id="149" w:name="hvem-oppstår-nytten-for-9"/>
    <w:p>
      <w:pPr>
        <w:pStyle w:val="Heading3"/>
      </w:pPr>
      <w:r>
        <w:rPr>
          <w:i/>
          <w:iCs/>
        </w:rPr>
        <w:t xml:space="preserve">Hvem oppstår nytten for</w:t>
      </w:r>
    </w:p>
    <w:p>
      <w:pPr>
        <w:pStyle w:val="FirstParagraph"/>
      </w:pPr>
      <w:r>
        <w:t xml:space="preserve">I første omgang alle løsningsleverandører på tvers av offentlig og privat sektor; i neste omgang "alle".</w:t>
      </w:r>
    </w:p>
    <w:bookmarkEnd w:id="149"/>
    <w:bookmarkStart w:id="150" w:name="hvordan-oppstår-nyttevirkningen-9"/>
    <w:p>
      <w:pPr>
        <w:pStyle w:val="Heading3"/>
      </w:pPr>
      <w:r>
        <w:rPr>
          <w:i/>
          <w:iCs/>
        </w:rPr>
        <w:t xml:space="preserve">Hvordan oppstår nyttevirkningen</w:t>
      </w:r>
    </w:p>
    <w:p>
      <w:pPr>
        <w:pStyle w:val="FirstParagraph"/>
      </w:pPr>
      <w:r>
        <w:t xml:space="preserve">Standardisering av datamodeller og grensesnitt for aksess av data der de eies eller forvaltes, med klare krav til tilgjengeliggjøring, versjonshåndtering, sikring, mv.</w:t>
      </w:r>
    </w:p>
    <w:bookmarkEnd w:id="150"/>
    <w:bookmarkStart w:id="151" w:name="usikkerhetsvurdering-9"/>
    <w:p>
      <w:pPr>
        <w:pStyle w:val="Heading3"/>
      </w:pPr>
      <w:r>
        <w:rPr>
          <w:i/>
          <w:iCs/>
        </w:rPr>
        <w:t xml:space="preserve">Usikkerhetsvurdering</w:t>
      </w:r>
    </w:p>
    <w:p>
      <w:pPr>
        <w:pStyle w:val="FirstParagraph"/>
      </w:pPr>
      <w:r>
        <w:t xml:space="preserve">Medium.</w:t>
      </w:r>
    </w:p>
    <w:bookmarkEnd w:id="151"/>
    <w:bookmarkStart w:id="152" w:name="begrunnelse-for-usikkerhetsvurdering-9"/>
    <w:p>
      <w:pPr>
        <w:pStyle w:val="Heading3"/>
      </w:pPr>
      <w:r>
        <w:rPr>
          <w:i/>
          <w:iCs/>
        </w:rPr>
        <w:t xml:space="preserve">Begrunnelse for usikkerhetsvurdering</w:t>
      </w:r>
    </w:p>
    <w:p>
      <w:pPr>
        <w:pStyle w:val="FirstParagraph"/>
      </w:pPr>
      <w:r>
        <w:t xml:space="preserve">Mange systemleverandører ønsker å skape avhengighet til sine løsninger og motarbeider bevisst forsøk på standardisering og viderebruk av data.</w:t>
      </w:r>
    </w:p>
    <w:bookmarkEnd w:id="152"/>
    <w:bookmarkStart w:id="153" w:name="forutsetninger-9"/>
    <w:p>
      <w:pPr>
        <w:pStyle w:val="Heading3"/>
      </w:pPr>
      <w:r>
        <w:rPr>
          <w:i/>
          <w:iCs/>
        </w:rPr>
        <w:t xml:space="preserve">Forutsetninger</w:t>
      </w:r>
    </w:p>
    <w:p>
      <w:pPr>
        <w:pStyle w:val="FirstParagraph"/>
      </w:pPr>
      <w:r>
        <w:t xml:space="preserve">Krav om å følge gitte standarder, slik som Digitaliseringsrundskrivet, Referansekatalogen for IT-standarder i offentlig sektor mv.</w:t>
      </w:r>
    </w:p>
    <w:bookmarkEnd w:id="153"/>
    <w:bookmarkEnd w:id="154"/>
    <w:bookmarkStart w:id="162" w:name="k11-sunnere-konkurranseforhold"/>
    <w:p>
      <w:pPr>
        <w:pStyle w:val="Heading2"/>
      </w:pPr>
      <w:r>
        <w:t xml:space="preserve">K11: Sunnere konkurranseforhold</w:t>
      </w:r>
    </w:p>
    <w:bookmarkStart w:id="155" w:name="samfunnsøkonomisk-verdi-10"/>
    <w:p>
      <w:pPr>
        <w:pStyle w:val="Heading3"/>
      </w:pPr>
      <w:r>
        <w:rPr>
          <w:i/>
          <w:iCs/>
        </w:rPr>
        <w:t xml:space="preserve">Samfunnsøkonomisk verdi</w:t>
      </w:r>
    </w:p>
    <w:p>
      <w:pPr>
        <w:pStyle w:val="FirstParagraph"/>
      </w:pPr>
      <w:r>
        <w:t xml:space="preserve">Middels.</w:t>
      </w:r>
    </w:p>
    <w:bookmarkEnd w:id="155"/>
    <w:bookmarkStart w:id="156" w:name="hva-er-nyttevirkningen-10"/>
    <w:p>
      <w:pPr>
        <w:pStyle w:val="Heading3"/>
      </w:pPr>
      <w:r>
        <w:rPr>
          <w:i/>
          <w:iCs/>
        </w:rPr>
        <w:t xml:space="preserve">Hva er nyttevirkningen</w:t>
      </w:r>
    </w:p>
    <w:p>
      <w:pPr>
        <w:pStyle w:val="FirstParagraph"/>
      </w:pPr>
      <w:r>
        <w:t xml:space="preserve">Det blir lettere for systemleverandører å utvikle gode tjenester som bruker data fra andre systemer når det finnes felles krav til hvordan data skal utveksles. Utgangspunktet for konkurranse blir likere, og det blir lettere for utfordrere å få fotfeste i markedet. Leverandørene kan bruke mindre tid og innsats på vasking og overføring av data, og mer tid på å bruke dataene til å lage gode tjenester.</w:t>
      </w:r>
    </w:p>
    <w:bookmarkEnd w:id="156"/>
    <w:bookmarkStart w:id="157" w:name="hvem-oppstår-nytten-for-10"/>
    <w:p>
      <w:pPr>
        <w:pStyle w:val="Heading3"/>
      </w:pPr>
      <w:r>
        <w:rPr>
          <w:i/>
          <w:iCs/>
        </w:rPr>
        <w:t xml:space="preserve">Hvem oppstår nytten for</w:t>
      </w:r>
    </w:p>
    <w:p>
      <w:pPr>
        <w:pStyle w:val="FirstParagraph"/>
      </w:pPr>
      <w:r>
        <w:t xml:space="preserve">Systemleverandører: Markedsadgang, like vilkår, forutsigbarhet.</w:t>
      </w:r>
    </w:p>
    <w:p>
      <w:pPr>
        <w:pStyle w:val="BodyText"/>
      </w:pPr>
      <w:r>
        <w:t xml:space="preserve">Offentlig sektor: Gode løsninger til rett pris.</w:t>
      </w:r>
    </w:p>
    <w:bookmarkEnd w:id="157"/>
    <w:bookmarkStart w:id="158" w:name="hvordan-oppstår-nyttevirkningen-10"/>
    <w:p>
      <w:pPr>
        <w:pStyle w:val="Heading3"/>
      </w:pPr>
      <w:r>
        <w:rPr>
          <w:i/>
          <w:iCs/>
        </w:rPr>
        <w:t xml:space="preserve">Hvordan oppstår nyttevirkningen</w:t>
      </w:r>
    </w:p>
    <w:p>
      <w:pPr>
        <w:pStyle w:val="FirstParagraph"/>
      </w:pPr>
      <w:r>
        <w:t xml:space="preserve">Standardisering av informasjonsmodeller og integrasjonsgrensesnitt danner utgangspunkt for krav som offentlige sektor kan stille til leverandørmarkedet. Når flere virksomheter har samme krav, blir det lettere og mer forutsigbart for leverandører å levere gode tjenester som flere kan ta i bruk. Publisering av informasjonsmodeller vil gjøre det lettere å koble nye systemer på eksisterende systemer og er mulig å finne for alle som ønsker å utvikle tjenester for offentlig sektor.</w:t>
      </w:r>
    </w:p>
    <w:bookmarkEnd w:id="158"/>
    <w:bookmarkStart w:id="159" w:name="usikkerhetsvurdering-10"/>
    <w:p>
      <w:pPr>
        <w:pStyle w:val="Heading3"/>
      </w:pPr>
      <w:r>
        <w:rPr>
          <w:i/>
          <w:iCs/>
        </w:rPr>
        <w:t xml:space="preserve">Usikkerhetsvurdering</w:t>
      </w:r>
    </w:p>
    <w:p>
      <w:pPr>
        <w:pStyle w:val="FirstParagraph"/>
      </w:pPr>
      <w:r>
        <w:t xml:space="preserve">Medium.</w:t>
      </w:r>
    </w:p>
    <w:bookmarkEnd w:id="159"/>
    <w:bookmarkStart w:id="160" w:name="begrunnelse-for-usikkerhetsvurdering-10"/>
    <w:p>
      <w:pPr>
        <w:pStyle w:val="Heading3"/>
      </w:pPr>
      <w:r>
        <w:rPr>
          <w:i/>
          <w:iCs/>
        </w:rPr>
        <w:t xml:space="preserve">Begrunnelse for usikkerhetsvurdering</w:t>
      </w:r>
    </w:p>
    <w:p>
      <w:pPr>
        <w:pStyle w:val="FirstParagraph"/>
      </w:pPr>
      <w:r>
        <w:t xml:space="preserve">Gevinsten forutsetter at statlige og kommunale virksomheter etterlever nasjonale krav til datakvalitet og informasjonsforvaltning. Det er noe usikkerhet knyttet til faktisk etterlevelse i praksis, særlig i anskaffelser og forvaltning.</w:t>
      </w:r>
    </w:p>
    <w:bookmarkEnd w:id="160"/>
    <w:bookmarkStart w:id="161" w:name="forutsetninger-10"/>
    <w:p>
      <w:pPr>
        <w:pStyle w:val="Heading3"/>
      </w:pPr>
      <w:r>
        <w:rPr>
          <w:i/>
          <w:iCs/>
        </w:rPr>
        <w:t xml:space="preserve">Forutsetninger</w:t>
      </w:r>
    </w:p>
    <w:p>
      <w:pPr>
        <w:pStyle w:val="FirstParagraph"/>
      </w:pPr>
      <w:r>
        <w:t xml:space="preserve">Tydelige, samordnede krav må være etablert nasjonalt (f.eks. gjennom Digitaliseringsrundskrivet og Referansekatalogen), og omsettes til konkrete krav og rutiner i virksomhetenes systemforvaltning og anskaffelser.</w:t>
      </w:r>
    </w:p>
    <w:bookmarkEnd w:id="161"/>
    <w:bookmarkEnd w:id="162"/>
    <w:bookmarkStart w:id="170" w:name="k12-mer-effektive-anskaffelsesprosesser"/>
    <w:p>
      <w:pPr>
        <w:pStyle w:val="Heading2"/>
      </w:pPr>
      <w:r>
        <w:t xml:space="preserve">K12: Mer effektive anskaffelsesprosesser</w:t>
      </w:r>
    </w:p>
    <w:bookmarkStart w:id="163" w:name="samfunnsøkonomisk-verdi-11"/>
    <w:p>
      <w:pPr>
        <w:pStyle w:val="Heading3"/>
      </w:pPr>
      <w:r>
        <w:rPr>
          <w:i/>
          <w:iCs/>
        </w:rPr>
        <w:t xml:space="preserve">Samfunnsøkonomisk verdi</w:t>
      </w:r>
    </w:p>
    <w:p>
      <w:pPr>
        <w:pStyle w:val="FirstParagraph"/>
      </w:pPr>
      <w:r>
        <w:t xml:space="preserve">Middels.</w:t>
      </w:r>
    </w:p>
    <w:bookmarkEnd w:id="163"/>
    <w:bookmarkStart w:id="164" w:name="hva-er-nyttevirkningen-11"/>
    <w:p>
      <w:pPr>
        <w:pStyle w:val="Heading3"/>
      </w:pPr>
      <w:r>
        <w:rPr>
          <w:i/>
          <w:iCs/>
        </w:rPr>
        <w:t xml:space="preserve">Hva er nyttevirkningen</w:t>
      </w:r>
    </w:p>
    <w:p>
      <w:pPr>
        <w:pStyle w:val="FirstParagraph"/>
      </w:pPr>
      <w:r>
        <w:t xml:space="preserve">Gjennomføring av anskaffelser blir enklere for kommunal og offentlig sektor og prosessen blir mer forutsigbarhet for leverandørmarkedet som møter standardiserte krav. Redusert tidsbruk for virksomhetene som skal anskaffe, og hos leverandørmarkedet som i stedet for å måtte svare hver enkelt virksomhet på ulike krav, vil møte samme behov hos flere virksomheter.</w:t>
      </w:r>
    </w:p>
    <w:bookmarkEnd w:id="164"/>
    <w:bookmarkStart w:id="165" w:name="hvem-oppstår-nytten-for-11"/>
    <w:p>
      <w:pPr>
        <w:pStyle w:val="Heading3"/>
      </w:pPr>
      <w:r>
        <w:rPr>
          <w:i/>
          <w:iCs/>
        </w:rPr>
        <w:t xml:space="preserve">Hvem oppstår nytten for</w:t>
      </w:r>
    </w:p>
    <w:p>
      <w:pPr>
        <w:pStyle w:val="FirstParagraph"/>
      </w:pPr>
      <w:r>
        <w:t xml:space="preserve">Systemleverandører, kommunal og offentlig sektor.</w:t>
      </w:r>
    </w:p>
    <w:bookmarkEnd w:id="165"/>
    <w:bookmarkStart w:id="166" w:name="hvordan-oppstår-nyttevirkningen-11"/>
    <w:p>
      <w:pPr>
        <w:pStyle w:val="Heading3"/>
      </w:pPr>
      <w:r>
        <w:rPr>
          <w:i/>
          <w:iCs/>
        </w:rPr>
        <w:t xml:space="preserve">Hvordan oppstår nyttevirkningen</w:t>
      </w:r>
    </w:p>
    <w:p>
      <w:pPr>
        <w:pStyle w:val="FirstParagraph"/>
      </w:pPr>
      <w:r>
        <w:t xml:space="preserve">Felles, forutsigbare krav og modeller for alle som må gjennomføre anskaffelser og leverandørene som svarer på forespørslene.</w:t>
      </w:r>
    </w:p>
    <w:bookmarkEnd w:id="166"/>
    <w:bookmarkStart w:id="167" w:name="usikkerhetsvurdering-11"/>
    <w:p>
      <w:pPr>
        <w:pStyle w:val="Heading3"/>
      </w:pPr>
      <w:r>
        <w:rPr>
          <w:i/>
          <w:iCs/>
        </w:rPr>
        <w:t xml:space="preserve">Usikkerhetsvurdering</w:t>
      </w:r>
    </w:p>
    <w:p>
      <w:pPr>
        <w:pStyle w:val="FirstParagraph"/>
      </w:pPr>
      <w:r>
        <w:t xml:space="preserve">Medium.</w:t>
      </w:r>
    </w:p>
    <w:bookmarkEnd w:id="167"/>
    <w:bookmarkStart w:id="168" w:name="begrunnelse-for-usikkerhetsvurdering-11"/>
    <w:p>
      <w:pPr>
        <w:pStyle w:val="Heading3"/>
      </w:pPr>
      <w:r>
        <w:rPr>
          <w:i/>
          <w:iCs/>
        </w:rPr>
        <w:t xml:space="preserve">Begrunnelse for usikkerhetsvurdering</w:t>
      </w:r>
    </w:p>
    <w:p>
      <w:pPr>
        <w:pStyle w:val="FirstParagraph"/>
      </w:pPr>
      <w:r>
        <w:t xml:space="preserve">Krever at virksomheter i kommunal og offentlig sektor blir enige om felles krav til modeller og integrasjonsgrensesnitt og bruker dem i anskaffelsesprosesser.</w:t>
      </w:r>
    </w:p>
    <w:bookmarkEnd w:id="168"/>
    <w:bookmarkStart w:id="169" w:name="forutsetninger-11"/>
    <w:p>
      <w:pPr>
        <w:pStyle w:val="Heading3"/>
      </w:pPr>
      <w:r>
        <w:rPr>
          <w:i/>
          <w:iCs/>
        </w:rPr>
        <w:t xml:space="preserve">Forutsetninger</w:t>
      </w:r>
    </w:p>
    <w:p>
      <w:pPr>
        <w:pStyle w:val="FirstParagraph"/>
      </w:pPr>
      <w:r>
        <w:t xml:space="preserve">Kommunal og offentlig sektor stiller like krav til modeller og integrasjonsgrensesnitt.</w:t>
      </w:r>
    </w:p>
    <w:bookmarkEnd w:id="169"/>
    <w:bookmarkEnd w:id="170"/>
    <w:bookmarkStart w:id="178" w:name="k13-muliggjør-kun-én-gang-prinsippet"/>
    <w:p>
      <w:pPr>
        <w:pStyle w:val="Heading2"/>
      </w:pPr>
      <w:r>
        <w:t xml:space="preserve">K13: Muliggjør kun-én-gang-prinsippet</w:t>
      </w:r>
    </w:p>
    <w:bookmarkStart w:id="171" w:name="samfunnsøkonomisk-verdi-12"/>
    <w:p>
      <w:pPr>
        <w:pStyle w:val="Heading3"/>
      </w:pPr>
      <w:r>
        <w:rPr>
          <w:i/>
          <w:iCs/>
        </w:rPr>
        <w:t xml:space="preserve">Samfunnsøkonomisk verdi</w:t>
      </w:r>
    </w:p>
    <w:p>
      <w:pPr>
        <w:pStyle w:val="FirstParagraph"/>
      </w:pPr>
      <w:r>
        <w:t xml:space="preserve">Middels.</w:t>
      </w:r>
    </w:p>
    <w:bookmarkEnd w:id="171"/>
    <w:bookmarkStart w:id="172" w:name="hva-er-nyttevirkningen-12"/>
    <w:p>
      <w:pPr>
        <w:pStyle w:val="Heading3"/>
      </w:pPr>
      <w:r>
        <w:rPr>
          <w:i/>
          <w:iCs/>
        </w:rPr>
        <w:t xml:space="preserve">Hva er nyttevirkningen</w:t>
      </w:r>
    </w:p>
    <w:p>
      <w:pPr>
        <w:pStyle w:val="FirstParagraph"/>
      </w:pPr>
      <w:r>
        <w:t xml:space="preserve">Kommunal og offentlig sektor gjenbruker informasjon i større grad, og det blir mindre behov for å registrere samme informasjon flere ganger.</w:t>
      </w:r>
    </w:p>
    <w:bookmarkEnd w:id="172"/>
    <w:bookmarkStart w:id="173" w:name="hvem-oppstår-nytten-for-12"/>
    <w:p>
      <w:pPr>
        <w:pStyle w:val="Heading3"/>
      </w:pPr>
      <w:r>
        <w:rPr>
          <w:i/>
          <w:iCs/>
        </w:rPr>
        <w:t xml:space="preserve">Hvem oppstår nytten for</w:t>
      </w:r>
    </w:p>
    <w:p>
      <w:pPr>
        <w:pStyle w:val="FirstParagraph"/>
      </w:pPr>
      <w:r>
        <w:t xml:space="preserve">Innbyggere, privat næringsliv, kommunal og offentlig sektor.</w:t>
      </w:r>
    </w:p>
    <w:bookmarkEnd w:id="173"/>
    <w:bookmarkStart w:id="174" w:name="hvordan-oppstår-nyttevirkningen-12"/>
    <w:p>
      <w:pPr>
        <w:pStyle w:val="Heading3"/>
      </w:pPr>
      <w:r>
        <w:rPr>
          <w:i/>
          <w:iCs/>
        </w:rPr>
        <w:t xml:space="preserve">Hvordan oppstår nyttevirkningen</w:t>
      </w:r>
    </w:p>
    <w:p>
      <w:pPr>
        <w:pStyle w:val="FirstParagraph"/>
      </w:pPr>
      <w:r>
        <w:t xml:space="preserve">Oversikt over data, standardisering av informasjonsmodeller og integrasjonspunkter.</w:t>
      </w:r>
    </w:p>
    <w:bookmarkEnd w:id="174"/>
    <w:bookmarkStart w:id="175" w:name="usikkerhetsvurdering-12"/>
    <w:p>
      <w:pPr>
        <w:pStyle w:val="Heading3"/>
      </w:pPr>
      <w:r>
        <w:rPr>
          <w:i/>
          <w:iCs/>
        </w:rPr>
        <w:t xml:space="preserve">Usikkerhetsvurdering</w:t>
      </w:r>
    </w:p>
    <w:p>
      <w:pPr>
        <w:pStyle w:val="FirstParagraph"/>
      </w:pPr>
      <w:r>
        <w:t xml:space="preserve">Høy.</w:t>
      </w:r>
    </w:p>
    <w:bookmarkEnd w:id="175"/>
    <w:bookmarkStart w:id="176" w:name="begrunnelse-for-usikkerhetsvurdering-12"/>
    <w:p>
      <w:pPr>
        <w:pStyle w:val="Heading3"/>
      </w:pPr>
      <w:r>
        <w:rPr>
          <w:i/>
          <w:iCs/>
        </w:rPr>
        <w:t xml:space="preserve">Begrunnelse for usikkerhetsvurdering</w:t>
      </w:r>
    </w:p>
    <w:p>
      <w:pPr>
        <w:pStyle w:val="FirstParagraph"/>
      </w:pPr>
      <w:r>
        <w:t xml:space="preserve">Denne nyttevirkningen avhenger av at en stor andel systemleverandører, kommunal og offentlig sektor prioriterer arbeidet med å få orden i eget hus, tilgjengeliggjør oversikt over egne data og tilpasser systemer for gjenbruk av data. For å nå ambisjonen om kun-én-gang holder det ikke at noen få aktører tar dette i bruk, men at flertallet gjør jobben som skal til..</w:t>
      </w:r>
    </w:p>
    <w:bookmarkEnd w:id="176"/>
    <w:bookmarkStart w:id="177" w:name="forutsetninger-12"/>
    <w:p>
      <w:pPr>
        <w:pStyle w:val="Heading3"/>
      </w:pPr>
      <w:r>
        <w:rPr>
          <w:i/>
          <w:iCs/>
        </w:rPr>
        <w:t xml:space="preserve">Forutsetninger</w:t>
      </w:r>
    </w:p>
    <w:p>
      <w:pPr>
        <w:pStyle w:val="FirstParagraph"/>
      </w:pPr>
      <w:r>
        <w:t xml:space="preserve">Kommunal og offentlig sektor gjør et strukturert arbeid for å få oversikt over egne data og publiserer oversikten i kataloger, så vi får en helhetlig oversikt over data i offentlig sektor. Virksomheter og systemleverandører følger standardiserte informasjonsmodeller og integrasjonspunkter og legger til rette for gjenbruk av data.</w:t>
      </w:r>
    </w:p>
    <w:bookmarkEnd w:id="177"/>
    <w:bookmarkEnd w:id="178"/>
    <w:bookmarkEnd w:id="179"/>
    <w:bookmarkStart w:id="180" w:name="vedlegg-b-prissatte-virkninger"/>
    <w:p>
      <w:pPr>
        <w:pStyle w:val="Heading1"/>
      </w:pPr>
      <w:r>
        <w:t xml:space="preserve">Vedlegg B: Prissatte virkninger</w:t>
      </w:r>
    </w:p>
    <w:p>
      <w:pPr>
        <w:pStyle w:val="FirstParagraph"/>
      </w:pPr>
      <w:r>
        <w:t xml:space="preserve">TBD: Overføring av beregninger fra søknaden.</w:t>
      </w:r>
    </w:p>
    <w:bookmarkEnd w:id="180"/>
    <w:bookmarkStart w:id="193" w:name="X3a951abb90f8fe93597a0457562a98bf52050db"/>
    <w:p>
      <w:pPr>
        <w:pStyle w:val="Heading1"/>
      </w:pPr>
      <w:r>
        <w:t xml:space="preserve">Vedlegg C: Aktuelle piloter – foreløpige eksempler</w:t>
      </w:r>
    </w:p>
    <w:bookmarkStart w:id="181" w:name="X61f0121abd2b1bc39bd97491b28d529888a7dc6"/>
    <w:p>
      <w:pPr>
        <w:pStyle w:val="Heading2"/>
      </w:pPr>
      <w:r>
        <w:t xml:space="preserve">Overganger mellom utdanningsnivåer (fra barnehage til grunnskole, videre til videregående og høyere utdanning) – f.eks. utveksling av elevinformasjon ved skolebytte.</w:t>
      </w:r>
    </w:p>
    <w:bookmarkEnd w:id="181"/>
    <w:bookmarkStart w:id="182" w:name="Xe3c84111ada8f4a4c0247a42a90fd1f2e225d04"/>
    <w:p>
      <w:pPr>
        <w:pStyle w:val="Heading2"/>
      </w:pPr>
      <w:r>
        <w:t xml:space="preserve">Fordeling av elever i overgang fra grunnskole til videregående av kriminalitetsforebyggende hensyn</w:t>
      </w:r>
    </w:p>
    <w:bookmarkEnd w:id="182"/>
    <w:bookmarkStart w:id="183" w:name="bytte-av-skole-eller-studiested."/>
    <w:p>
      <w:pPr>
        <w:pStyle w:val="Heading2"/>
      </w:pPr>
      <w:r>
        <w:t xml:space="preserve">Bytte av skole eller studiested.</w:t>
      </w:r>
    </w:p>
    <w:bookmarkEnd w:id="183"/>
    <w:bookmarkStart w:id="184" w:name="X8492a6b3253aad5c1bd56f74c2dac0df0c95edc"/>
    <w:p>
      <w:pPr>
        <w:pStyle w:val="Heading2"/>
      </w:pPr>
      <w:r>
        <w:t xml:space="preserve">Samspill med andre kommunale tjenester som barnevern eller PPT.</w:t>
      </w:r>
    </w:p>
    <w:bookmarkEnd w:id="184"/>
    <w:bookmarkStart w:id="185" w:name="samspill-med-arbeidslivet"/>
    <w:p>
      <w:pPr>
        <w:pStyle w:val="Heading2"/>
      </w:pPr>
      <w:r>
        <w:t xml:space="preserve">Samspill med arbeidslivet</w:t>
      </w:r>
    </w:p>
    <w:bookmarkEnd w:id="185"/>
    <w:bookmarkStart w:id="186" w:name="Xde95f9f818e775882a4c8ba305aa43218580503"/>
    <w:p>
      <w:pPr>
        <w:pStyle w:val="Heading2"/>
      </w:pPr>
      <w:r>
        <w:t xml:space="preserve">Digital dialog og økt involvering mellom barnehage/skole og hjemmet (foresatte og elever).</w:t>
      </w:r>
    </w:p>
    <w:bookmarkEnd w:id="186"/>
    <w:bookmarkStart w:id="187" w:name="X6ce095009451d83ad343883027e1fdfed6e9445"/>
    <w:p>
      <w:pPr>
        <w:pStyle w:val="Heading2"/>
      </w:pPr>
      <w:r>
        <w:t xml:space="preserve">Endring av utdanningsløp eller studieretning.</w:t>
      </w:r>
    </w:p>
    <w:bookmarkEnd w:id="187"/>
    <w:bookmarkStart w:id="188" w:name="avbrutt-utdanning-frafall."/>
    <w:p>
      <w:pPr>
        <w:pStyle w:val="Heading2"/>
      </w:pPr>
      <w:r>
        <w:t xml:space="preserve">Avbrutt utdanning (frafall).</w:t>
      </w:r>
    </w:p>
    <w:bookmarkEnd w:id="188"/>
    <w:bookmarkStart w:id="189" w:name="X8f3523cd138ba9a1d2445e856c3fe8f2516fca4"/>
    <w:p>
      <w:pPr>
        <w:pStyle w:val="Heading2"/>
      </w:pPr>
      <w:r>
        <w:t xml:space="preserve">Deling av digitale vitnemål og kompetansebevis med arbeidslivet</w:t>
      </w:r>
    </w:p>
    <w:bookmarkEnd w:id="189"/>
    <w:bookmarkStart w:id="190" w:name="X1aea14c1b2a2772d03ea2355158577d13d2e1e5"/>
    <w:p>
      <w:pPr>
        <w:pStyle w:val="Heading2"/>
      </w:pPr>
      <w:r>
        <w:t xml:space="preserve">Effektive IT-anskaffelser med felles standarder</w:t>
      </w:r>
      <w:r>
        <w:t xml:space="preserve"> </w:t>
      </w:r>
    </w:p>
    <w:bookmarkEnd w:id="190"/>
    <w:bookmarkStart w:id="191" w:name="X6fb961ee26e93395b717c56e572cbcabfded688"/>
    <w:p>
      <w:pPr>
        <w:pStyle w:val="Heading2"/>
      </w:pPr>
      <w:r>
        <w:t xml:space="preserve">KI-løsninger basert på strukturerte, felles informasjonsmodeller innen oppvekst og utdanning, i samarbeid med andre KI-initiativ.</w:t>
      </w:r>
    </w:p>
    <w:bookmarkEnd w:id="191"/>
    <w:bookmarkStart w:id="192" w:name="X3839497e262370dedbb2bcfd63196e5bee31b99"/>
    <w:p>
      <w:pPr>
        <w:pStyle w:val="Heading2"/>
      </w:pPr>
      <w:r>
        <w:t xml:space="preserve">Hendelsesdrevet og automatisert rapportering med MVP på ny løsning for dette (f.eks. rapportering til SSB/KOSTRA).</w:t>
      </w:r>
    </w:p>
    <w:bookmarkEnd w:id="192"/>
    <w:bookmarkEnd w:id="1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44" Target="media/rId44.png" /><Relationship Type="http://schemas.openxmlformats.org/officeDocument/2006/relationships/image" Id="rId71" Target="media/rId71.png" /><Relationship Type="http://schemas.openxmlformats.org/officeDocument/2006/relationships/hyperlink" Id="rId55" Target="https://www.brreg.no/wp-content/uploads/2015/12/Rapport_informasjonsforvaltning_v1.1_sent-_a.pdf" TargetMode="External" /><Relationship Type="http://schemas.openxmlformats.org/officeDocument/2006/relationships/hyperlink" Id="rId58" Target="https://www.digdir.no/datadeling/deling-av-data-konseptvalgutredning/1412" TargetMode="External" /><Relationship Type="http://schemas.openxmlformats.org/officeDocument/2006/relationships/hyperlink" Id="rId43" Target="https://www.digdir.no/digital-samhandling/rammeverk-digital-samhandling/2148" TargetMode="External" /><Relationship Type="http://schemas.openxmlformats.org/officeDocument/2006/relationships/hyperlink" Id="rId56" Target="https://www.ks.no/fou-sok/2024/236007/" TargetMode="External" /><Relationship Type="http://schemas.openxmlformats.org/officeDocument/2006/relationships/hyperlink" Id="rId59" Target="https://www.regjeringen.no/no/dokumenter/meld.-st.-22-20202021/id2841118/?ch=1" TargetMode="External" /><Relationship Type="http://schemas.openxmlformats.org/officeDocument/2006/relationships/hyperlink" Id="rId60" Target="https://www.regjeringen.no/no/dokumenter/nou-2024-14/id3046520/" TargetMode="External" /><Relationship Type="http://schemas.openxmlformats.org/officeDocument/2006/relationships/hyperlink" Id="rId57" Target="https://www.regjeringen.no/no/dokumenter/strategi-for-digital-kompetanse-og-infrastruktur-i-barnehage-og-skole/id2972254/?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55" Target="https://www.brreg.no/wp-content/uploads/2015/12/Rapport_informasjonsforvaltning_v1.1_sent-_a.pdf" TargetMode="External" /><Relationship Type="http://schemas.openxmlformats.org/officeDocument/2006/relationships/hyperlink" Id="rId58" Target="https://www.digdir.no/datadeling/deling-av-data-konseptvalgutredning/1412" TargetMode="External" /><Relationship Type="http://schemas.openxmlformats.org/officeDocument/2006/relationships/hyperlink" Id="rId43" Target="https://www.digdir.no/digital-samhandling/rammeverk-digital-samhandling/2148" TargetMode="External" /><Relationship Type="http://schemas.openxmlformats.org/officeDocument/2006/relationships/hyperlink" Id="rId56" Target="https://www.ks.no/fou-sok/2024/236007/" TargetMode="External" /><Relationship Type="http://schemas.openxmlformats.org/officeDocument/2006/relationships/hyperlink" Id="rId59" Target="https://www.regjeringen.no/no/dokumenter/meld.-st.-22-20202021/id2841118/?ch=1" TargetMode="External" /><Relationship Type="http://schemas.openxmlformats.org/officeDocument/2006/relationships/hyperlink" Id="rId60" Target="https://www.regjeringen.no/no/dokumenter/nou-2024-14/id3046520/" TargetMode="External" /><Relationship Type="http://schemas.openxmlformats.org/officeDocument/2006/relationships/hyperlink" Id="rId57" Target="https://www.regjeringen.no/no/dokumenter/strategi-for-digital-kompetanse-og-infrastruktur-i-barnehage-og-skole/id2972254/?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2026-02-24T17:37:43Z</dcterms:created>
  <dcterms:modified xsi:type="dcterms:W3CDTF">2026-02-24T17:37:43Z</dcterms:modified>
</cp:coreProperties>
</file>

<file path=docProps/custom.xml><?xml version="1.0" encoding="utf-8"?>
<Properties xmlns="http://schemas.openxmlformats.org/officeDocument/2006/custom-properties" xmlns:vt="http://schemas.openxmlformats.org/officeDocument/2006/docPropsVTypes"/>
</file>