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Resumen Analítico de Investigación (RAI)</w:t>
      </w:r>
    </w:p>
    <w:p>
      <w:pPr>
        <w:spacing w:after="300"/>
      </w:pPr>
      <w:r>
        <w:rPr>
          <w:i/>
          <w:iCs/>
        </w:rPr>
        <w:t xml:space="preserve">Programa de Formación: Gestión de Redes de Datos y Telecomunicaciones — SENA</w:t>
      </w:r>
    </w:p>
    <w:p>
      <w:pPr>
        <w:pStyle w:val="Heading2"/>
        <w:spacing w:after="120" w:before="300"/>
      </w:pPr>
      <w:r>
        <w:t xml:space="preserve">1. Datos de identificación</w:t>
      </w:r>
    </w:p>
    <w:p>
      <w:pPr>
        <w:spacing w:after="120"/>
      </w:pPr>
      <w:r>
        <w:rPr>
          <w:b/>
          <w:bCs/>
        </w:rPr>
        <w:t xml:space="preserve">Título del artículo o informe: </w:t>
      </w:r>
      <w:r>
        <w:t xml:space="preserve">Lessons Learned from Using Cyber Range to Teach Cybersecurity at Different Levels of Education</w:t>
      </w:r>
    </w:p>
    <w:p>
      <w:pPr>
        <w:spacing w:after="120"/>
      </w:pPr>
      <w:r>
        <w:rPr>
          <w:b/>
          <w:bCs/>
        </w:rPr>
        <w:t xml:space="preserve">Autores: </w:t>
      </w:r>
      <w:r>
        <w:t xml:space="preserve">Willi Lazarov, Tiina Schafeitel-Tähtinen, Joseph Squillace, Zdenek Martinasek, Aneta Coufalikova, Marko Helenius, Petr Gallus y Radek Fujdiak</w:t>
      </w:r>
    </w:p>
    <w:p>
      <w:pPr>
        <w:spacing w:after="120"/>
      </w:pPr>
      <w:r>
        <w:rPr>
          <w:b/>
          <w:bCs/>
        </w:rPr>
        <w:t xml:space="preserve">Año de publicación: </w:t>
      </w:r>
      <w:r>
        <w:t xml:space="preserve">2025 (publicado en línea el 7 de abril de 2025 / Vol. 31, 2026)</w:t>
      </w:r>
    </w:p>
    <w:p>
      <w:pPr>
        <w:spacing w:after="120"/>
      </w:pPr>
      <w:r>
        <w:rPr>
          <w:b/>
          <w:bCs/>
        </w:rPr>
        <w:t xml:space="preserve">Fuente: </w:t>
      </w:r>
      <w:r>
        <w:t xml:space="preserve">Technology, Knowledge and Learning (Springer Nature, ISSN: 1229-3806)</w:t>
      </w:r>
    </w:p>
    <w:p>
      <w:pPr>
        <w:spacing w:after="120"/>
      </w:pPr>
      <w:r>
        <w:rPr>
          <w:b/>
          <w:bCs/>
        </w:rPr>
        <w:t xml:space="preserve">Enlace o DOI: </w:t>
      </w:r>
      <w:r>
        <w:t xml:space="preserve">https://doi.org/10.1007/s10758-025-09840-y</w:t>
      </w:r>
    </w:p>
    <w:p>
      <w:pPr>
        <w:pStyle w:val="Heading2"/>
        <w:spacing w:after="120" w:before="300"/>
      </w:pPr>
      <w:r>
        <w:t xml:space="preserve">2. Descripción general del documento</w:t>
      </w:r>
    </w:p>
    <w:p>
      <w:pPr>
        <w:spacing w:after="120"/>
      </w:pPr>
      <w:r>
        <w:rPr>
          <w:b/>
          <w:bCs/>
        </w:rPr>
        <w:t xml:space="preserve">Tema principal: </w:t>
      </w:r>
      <w:r>
        <w:t xml:space="preserve">Evaluación y análisis de lecciones aprendidas sobre el uso de plataformas interactivas y gamificadas de Cyber Range (CR) para la enseñanza, capacitación y concienciación en ciberseguridad a lo largo de diferentes niveles educativos (primaria, secundaria y superior).</w:t>
      </w:r>
    </w:p>
    <w:p>
      <w:pPr>
        <w:spacing w:after="120"/>
      </w:pPr>
      <w:r>
        <w:rPr>
          <w:b/>
          <w:bCs/>
        </w:rPr>
        <w:t xml:space="preserve">Área de aplicación: </w:t>
      </w:r>
      <w:r>
        <w:t xml:space="preserve">Ciberseguridad, gestión de redes de datos y telecomunicaciones, entornos virtuales de aprendizaje, simulación de infraestructuras ciberfísicas, educación técnica/tecnológica y capacitación laboral.</w:t>
      </w:r>
    </w:p>
    <w:p>
      <w:pPr>
        <w:spacing w:after="120"/>
      </w:pPr>
      <w:r>
        <w:rPr>
          <w:b/>
          <w:bCs/>
        </w:rPr>
        <w:t xml:space="preserve">Palabras clave: </w:t>
      </w:r>
      <w:r>
        <w:t xml:space="preserve">Cybersecurity education (educación en ciberseguridad), Learning environment (entornos de aprendizaje), Cyber range (plataformas de simulación de ciberseguridad), Hands-on training (capacitación práctica), Awareness (concienciación), Gamification (gamificación), Capture the Flag (CTF).</w:t>
      </w:r>
    </w:p>
    <w:p>
      <w:pPr>
        <w:pStyle w:val="Heading2"/>
        <w:spacing w:after="120" w:before="300"/>
      </w:pPr>
      <w:r>
        <w:t xml:space="preserve">3. Objetivos del estudio</w:t>
      </w:r>
    </w:p>
    <w:p>
      <w:pPr>
        <w:spacing w:after="120"/>
      </w:pPr>
      <w:r>
        <w:rPr>
          <w:b/>
          <w:bCs/>
        </w:rPr>
        <w:t xml:space="preserve">Objetivo general: </w:t>
      </w:r>
      <w:r>
        <w:t xml:space="preserve">Analizar las lecciones aprendidas y evaluar las percepciones de estudiantes y docentes sobre la aplicación de enfoques interactivos y gamificados mediante una plataforma Cyber Range (BUTCA) para optimizar la enseñanza, capacitación y concienciación en ciberseguridad en los niveles de educación primaria, secundaria y superior.</w:t>
      </w:r>
    </w:p>
    <w:p>
      <w:pPr>
        <w:spacing w:after="80"/>
      </w:pPr>
      <w:r>
        <w:rPr>
          <w:b/>
          <w:bCs/>
        </w:rPr>
        <w:t xml:space="preserve">Objetivos específicos:</w:t>
      </w:r>
    </w:p>
    <w:p>
      <w:pPr>
        <w:pStyle w:val="ListParagraph"/>
        <w:numPr>
          <w:ilvl w:val="0"/>
          <w:numId w:val="1"/>
        </w:numPr>
        <w:spacing w:after="80"/>
      </w:pPr>
      <w:r>
        <w:t xml:space="preserve">Diseñar e implementar escenarios de aprendizaje prácticos e interactivos basados en el concepto Capture the Flag (CTF) ajustados a los conocimientos previos y necesidades de cada nivel educativo.</w:t>
      </w:r>
    </w:p>
    <w:p>
      <w:pPr>
        <w:pStyle w:val="ListParagraph"/>
        <w:numPr>
          <w:ilvl w:val="0"/>
          <w:numId w:val="1"/>
        </w:numPr>
        <w:spacing w:after="80"/>
      </w:pPr>
      <w:r>
        <w:t xml:space="preserve">Identificar las ventajas operativas y pedagógicas del despliegue automatizado de entornos sandbox frente a la enseñanza tradicional basada en instrucciones estáticas en PDF y máquinas virtuales locales.</w:t>
      </w:r>
    </w:p>
    <w:p>
      <w:pPr>
        <w:pStyle w:val="ListParagraph"/>
        <w:numPr>
          <w:ilvl w:val="0"/>
          <w:numId w:val="1"/>
        </w:numPr>
        <w:spacing w:after="80"/>
      </w:pPr>
      <w:r>
        <w:t xml:space="preserve">Evaluar el impacto de la gamificación, la interactividad, los sistemas de puntuación competitiva y las penalizaciones por uso de pistas en la motivación, compromiso y desempeño de los estudiantes.</w:t>
      </w:r>
    </w:p>
    <w:p>
      <w:pPr>
        <w:pStyle w:val="ListParagraph"/>
        <w:numPr>
          <w:ilvl w:val="0"/>
          <w:numId w:val="1"/>
        </w:numPr>
        <w:spacing w:after="80"/>
      </w:pPr>
      <w:r>
        <w:t xml:space="preserve">Analizar la efectividad de los escenarios de Cyber Range en la concienciación sobre ciberseguridad y riesgos digitales en niños de educación primaria.</w:t>
      </w:r>
    </w:p>
    <w:p>
      <w:pPr>
        <w:pStyle w:val="ListParagraph"/>
        <w:numPr>
          <w:ilvl w:val="0"/>
          <w:numId w:val="1"/>
        </w:numPr>
        <w:spacing w:after="80"/>
      </w:pPr>
      <w:r>
        <w:t xml:space="preserve">Formular recomendaciones metodológicas y técnicas para la adopción sostenible e institucional de plataformas Cyber Range en entornos educativos y de entrenamiento profesional.</w:t>
      </w:r>
    </w:p>
    <w:p>
      <w:pPr>
        <w:pStyle w:val="Heading2"/>
        <w:spacing w:after="120" w:before="300"/>
      </w:pPr>
      <w:r>
        <w:t xml:space="preserve">4. Metodología</w:t>
      </w:r>
    </w:p>
    <w:p>
      <w:pPr>
        <w:spacing w:after="120"/>
      </w:pPr>
      <w:r>
        <w:rPr>
          <w:b/>
          <w:bCs/>
        </w:rPr>
        <w:t xml:space="preserve">Tipo de investigación: </w:t>
      </w:r>
      <w:r>
        <w:t xml:space="preserve">Enfoque mixto (cuantitativo y cualitativo), que combina la implementación experimental de laboratorios y escenarios gamificados en una plataforma Cyber Range con la aplicación de cuestionarios estructurados (escalas Likert de 5 puntos) y análisis cualitativo de preguntas abiertas de retroalimentación.</w:t>
      </w:r>
    </w:p>
    <w:p>
      <w:pPr>
        <w:spacing w:after="80"/>
      </w:pPr>
      <w:r>
        <w:rPr>
          <w:b/>
          <w:bCs/>
        </w:rPr>
        <w:t xml:space="preserve">Métodos e instrumentos:</w:t>
      </w:r>
    </w:p>
    <w:p>
      <w:pPr>
        <w:pStyle w:val="ListParagraph"/>
        <w:numPr>
          <w:ilvl w:val="0"/>
          <w:numId w:val="1"/>
        </w:numPr>
        <w:spacing w:after="80"/>
      </w:pPr>
      <w:r>
        <w:t xml:space="preserve">Plataforma Cyber Range (BUTCA - Brno University of Technology Cyber Arena): plataforma ciberfísica híbrida que permite el despliegue automático, restauración y destrucción de entornos sandbox aislados (servidores, clientes Linux/Windows y dispositivos de red).</w:t>
      </w:r>
    </w:p>
    <w:p>
      <w:pPr>
        <w:pStyle w:val="ListParagraph"/>
        <w:numPr>
          <w:ilvl w:val="0"/>
          <w:numId w:val="1"/>
        </w:numPr>
        <w:spacing w:after="80"/>
      </w:pPr>
      <w:r>
        <w:t xml:space="preserve">Escenarios Capture the Flag (CTF): retos basados en tareas prácticas donde los estudiantes deben resolver problemas de seguridad para obtener 'banderas' (cadenas de texto, claves, direcciones IP), con sistema de pistas penalizadas y temporizadores.</w:t>
      </w:r>
    </w:p>
    <w:p>
      <w:pPr>
        <w:pStyle w:val="ListParagraph"/>
        <w:numPr>
          <w:ilvl w:val="0"/>
          <w:numId w:val="1"/>
        </w:numPr>
        <w:spacing w:after="80"/>
      </w:pPr>
      <w:r>
        <w:t xml:space="preserve">Instrumentos de recolección de datos: encuestas pre y post-escenario orientadas a estudiantes y docentes, organizadas en cuatro ejes (utilidad del entorno, impacto de gamificación e interactividad, importancia de características analíticas y de interfaz, y temas de ciberseguridad más requeridos).</w:t>
      </w:r>
    </w:p>
    <w:p>
      <w:pPr>
        <w:pStyle w:val="ListParagraph"/>
        <w:numPr>
          <w:ilvl w:val="0"/>
          <w:numId w:val="1"/>
        </w:numPr>
        <w:spacing w:after="80"/>
      </w:pPr>
      <w:r>
        <w:t xml:space="preserve">Análisis estadístico: cálculo de medias (M) y desviaciones estándar (SD) para preguntas Likert, distribuciones porcentuales y codificación temática de respuestas cualitativas abiertas.</w:t>
      </w:r>
    </w:p>
    <w:p>
      <w:pPr>
        <w:spacing w:after="120"/>
      </w:pPr>
      <w:r>
        <w:rPr>
          <w:b/>
          <w:bCs/>
        </w:rPr>
        <w:t xml:space="preserve">Población y muestra: </w:t>
      </w:r>
      <w:r>
        <w:t xml:space="preserve">129 participantes de instituciones académicas de tres países (República Checa, Finlandia y Estados Unidos): 19 docentes e instructores, 70 estudiantes universitarios y 80 estudiantes de secundaria y primaria (40 secundaria + 40 piloto primaria).</w:t>
      </w:r>
    </w:p>
    <w:p>
      <w:pPr>
        <w:pStyle w:val="Heading2"/>
        <w:spacing w:after="120" w:before="300"/>
      </w:pPr>
      <w:r>
        <w:t xml:space="preserve">5. Resultados y hallazgos relevantes</w:t>
      </w:r>
    </w:p>
    <w:p>
      <w:pPr>
        <w:spacing w:after="80"/>
      </w:pPr>
      <w:r>
        <w:rPr>
          <w:b/>
          <w:bCs/>
        </w:rPr>
        <w:t xml:space="preserve">Principales resultados:</w:t>
      </w:r>
    </w:p>
    <w:p>
      <w:pPr>
        <w:pStyle w:val="ListParagraph"/>
        <w:numPr>
          <w:ilvl w:val="0"/>
          <w:numId w:val="1"/>
        </w:numPr>
        <w:spacing w:after="80"/>
      </w:pPr>
      <w:r>
        <w:t xml:space="preserve">Valoración de utilidad del Cyber Range: docentes M=4.89 (SD=0.315), estudiantes universitarios M=4.39 (SD=0.778) y secundarios M=4.25 (SD=0.742); todos coinciden en que supera los métodos tradicionales en guías PDF y VMs locales.</w:t>
      </w:r>
    </w:p>
    <w:p>
      <w:pPr>
        <w:pStyle w:val="ListParagraph"/>
        <w:numPr>
          <w:ilvl w:val="0"/>
          <w:numId w:val="1"/>
        </w:numPr>
        <w:spacing w:after="80"/>
      </w:pPr>
      <w:r>
        <w:t xml:space="preserve">Impacto de la gamificación: efecto positivo muy alto en docentes (M=4.79) y alto en universitarios (M=4.34) y secundarios (M=4.08). Los alumnos lo atribuyen a la diversión, los docentes a la motivación y el compromiso.</w:t>
      </w:r>
    </w:p>
    <w:p>
      <w:pPr>
        <w:pStyle w:val="ListParagraph"/>
        <w:numPr>
          <w:ilvl w:val="0"/>
          <w:numId w:val="1"/>
        </w:numPr>
        <w:spacing w:after="80"/>
      </w:pPr>
      <w:r>
        <w:t xml:space="preserve">Interactividad y aprendizaje práctico: M=4.43 (universitarios) y M=4.68 (docentes); el 'aprender haciendo' refuerza los conceptos teóricos y facilita la retención.</w:t>
      </w:r>
    </w:p>
    <w:p>
      <w:pPr>
        <w:pStyle w:val="ListParagraph"/>
        <w:numPr>
          <w:ilvl w:val="0"/>
          <w:numId w:val="1"/>
        </w:numPr>
        <w:spacing w:after="80"/>
      </w:pPr>
      <w:r>
        <w:t xml:space="preserve">Optimización de la carga docente: la automatización de la sandbox permite mayor atención personalizada (M=4.53) y resuelve problemas técnicos de preparación de laboratorios (M=4.39).</w:t>
      </w:r>
    </w:p>
    <w:p>
      <w:pPr>
        <w:pStyle w:val="ListParagraph"/>
        <w:numPr>
          <w:ilvl w:val="0"/>
          <w:numId w:val="1"/>
        </w:numPr>
        <w:spacing w:after="80"/>
      </w:pPr>
      <w:r>
        <w:t xml:space="preserve">Percepción de pistas y penalizaciones: las pistas se consideran útiles (M=4.03 universitarios), pero la penalización de puntos divide opiniones (M=3.74 universitarios, M=3.80 secundarios).</w:t>
      </w:r>
    </w:p>
    <w:p>
      <w:pPr>
        <w:pStyle w:val="ListParagraph"/>
        <w:numPr>
          <w:ilvl w:val="0"/>
          <w:numId w:val="1"/>
        </w:numPr>
        <w:spacing w:after="80"/>
      </w:pPr>
      <w:r>
        <w:t xml:space="preserve">Concienciación en primaria: el 70% de los niños reportó mayor percepción del riesgo cibernético y el 80% afirmó que adoptará conductas más precavidas en internet.</w:t>
      </w:r>
    </w:p>
    <w:p>
      <w:pPr>
        <w:pStyle w:val="ListParagraph"/>
        <w:numPr>
          <w:ilvl w:val="0"/>
          <w:numId w:val="1"/>
        </w:numPr>
        <w:spacing w:after="80"/>
      </w:pPr>
      <w:r>
        <w:t xml:space="preserve">Temas prioritarios: seguridad en redes y pruebas de penetración fueron los temas más valorados por todos los grupos.</w:t>
      </w:r>
    </w:p>
    <w:p>
      <w:pPr>
        <w:spacing w:after="80" w:before="100"/>
      </w:pPr>
      <w:r>
        <w:rPr>
          <w:b/>
          <w:bCs/>
        </w:rPr>
        <w:t xml:space="preserve">Conclusiones destacadas:</w:t>
      </w:r>
    </w:p>
    <w:p>
      <w:pPr>
        <w:pStyle w:val="ListParagraph"/>
        <w:numPr>
          <w:ilvl w:val="0"/>
          <w:numId w:val="1"/>
        </w:numPr>
        <w:spacing w:after="80"/>
      </w:pPr>
      <w:r>
        <w:t xml:space="preserve">Las plataformas Cyber Range transforman cualitativamente la enseñanza en ciberseguridad y redes al sustituir laboratorios locales rígidos por entornos ciberfísicos centralizados, elásticos y automatizados.</w:t>
      </w:r>
    </w:p>
    <w:p>
      <w:pPr>
        <w:pStyle w:val="ListParagraph"/>
        <w:numPr>
          <w:ilvl w:val="0"/>
          <w:numId w:val="1"/>
        </w:numPr>
        <w:spacing w:after="80"/>
      </w:pPr>
      <w:r>
        <w:t xml:space="preserve">La formación debe adaptarse a cada nivel educativo: en primaria el foco debe ser la concienciación y en secundaria/universidad las habilidades técnicas prácticas.</w:t>
      </w:r>
    </w:p>
    <w:p>
      <w:pPr>
        <w:pStyle w:val="ListParagraph"/>
        <w:numPr>
          <w:ilvl w:val="0"/>
          <w:numId w:val="1"/>
        </w:numPr>
        <w:spacing w:after="80"/>
      </w:pPr>
      <w:r>
        <w:t xml:space="preserve">La combinación de gamificación y competencias tipo CTF incrementa la autoeficacia de los alumnos, aunque es indispensable ofrecer modalidades no competitivas con guía docente para principiantes.</w:t>
      </w:r>
    </w:p>
    <w:p>
      <w:pPr>
        <w:pStyle w:val="Heading2"/>
        <w:spacing w:after="120" w:before="300"/>
      </w:pPr>
      <w:r>
        <w:t xml:space="preserve">6. Aportes al conocimiento y aplicabilidad</w:t>
      </w:r>
    </w:p>
    <w:p>
      <w:pPr>
        <w:spacing w:after="80"/>
      </w:pPr>
      <w:r>
        <w:rPr>
          <w:b/>
          <w:bCs/>
        </w:rPr>
        <w:t xml:space="preserve">¿Qué aporta este estudio a la comprensión o mejora de las redes y telecomunicaciones?</w:t>
      </w:r>
    </w:p>
    <w:p>
      <w:pPr>
        <w:spacing w:after="150"/>
      </w:pPr>
      <w:r>
        <w:t xml:space="preserve">El estudio aporta un marco metodológico y taxonómico claro sobre cómo estructurar plataformas Cyber Range (clasificadas según sectores, tipos de sandbox, escenarios, usuarios y propósitos). Demuestra que la simulación de redes complejas e infraestructuras ciberfísicas mediante automatización en la nube (ej. OpenStack, contenedores) resuelve las barreras técnicas de la enseñanza de redes, y aporta evidencia empírica de que el aprendizaje basado en retos CTF mejora la adquisición de competencias en seguridad de redes, configuración de cortafuegos y análisis de tráfico frente a clases teóricas pasivas.</w:t>
      </w:r>
    </w:p>
    <w:p>
      <w:pPr>
        <w:spacing w:after="80"/>
      </w:pPr>
      <w:r>
        <w:rPr>
          <w:b/>
          <w:bCs/>
        </w:rPr>
        <w:t xml:space="preserve">¿Cómo podría aplicarse en contextos formativos o laborales del SENA?</w:t>
      </w:r>
    </w:p>
    <w:p>
      <w:pPr>
        <w:pStyle w:val="ListParagraph"/>
        <w:numPr>
          <w:ilvl w:val="0"/>
          <w:numId w:val="1"/>
        </w:numPr>
        <w:spacing w:after="80"/>
      </w:pPr>
      <w:r>
        <w:t xml:space="preserve">Modernización de laboratorios prácticos: transicionar de guías estáticas e instalaciones manuales de VMs hacia plataformas de simulación centralizadas u open-source (CTFd, TryHackMe), reduciendo tiempo de preparación y fallas técnicas.</w:t>
      </w:r>
    </w:p>
    <w:p>
      <w:pPr>
        <w:pStyle w:val="ListParagraph"/>
        <w:numPr>
          <w:ilvl w:val="0"/>
          <w:numId w:val="1"/>
        </w:numPr>
        <w:spacing w:after="80"/>
      </w:pPr>
      <w:r>
        <w:t xml:space="preserve">Diseño de guías por desafíos (CTF): reestructurar los resultados de aprendizaje bajo una dinámica de retos progresivos donde el aprendiz obtenga 'banderas' tras configurar rutas, asegurar servicios o mitigar ataques DoS.</w:t>
      </w:r>
    </w:p>
    <w:p>
      <w:pPr>
        <w:pStyle w:val="ListParagraph"/>
        <w:numPr>
          <w:ilvl w:val="0"/>
          <w:numId w:val="1"/>
        </w:numPr>
        <w:spacing w:after="80"/>
      </w:pPr>
      <w:r>
        <w:t xml:space="preserve">Evaluación basada en desempeño real: usar funciones analíticas del Cyber Range para monitorear comandos, uso de ayudas y tiempo de respuesta, facilitando retroalimentación individualizada.</w:t>
      </w:r>
    </w:p>
    <w:p>
      <w:pPr>
        <w:pStyle w:val="ListParagraph"/>
        <w:numPr>
          <w:ilvl w:val="0"/>
          <w:numId w:val="1"/>
        </w:numPr>
        <w:spacing w:after="80"/>
      </w:pPr>
      <w:r>
        <w:t xml:space="preserve">Formación modular por niveles: talleres de concienciación básica para programas técnicos generales y laboratorios avanzados de penetración para especializaciones tecnológicas.</w:t>
      </w:r>
    </w:p>
    <w:p>
      <w:pPr>
        <w:pStyle w:val="Heading2"/>
        <w:spacing w:after="120" w:before="300"/>
      </w:pPr>
      <w:r>
        <w:t xml:space="preserve">7. Análisis crítico del aprendiz</w:t>
      </w:r>
    </w:p>
    <w:p>
      <w:pPr>
        <w:spacing w:after="80" w:before="100"/>
      </w:pPr>
      <w:r>
        <w:rPr>
          <w:b/>
          <w:bCs/>
        </w:rPr>
        <w:t xml:space="preserve">Fortalezas del artículo:</w:t>
      </w:r>
    </w:p>
    <w:p>
      <w:pPr>
        <w:spacing w:after="150"/>
      </w:pPr>
      <w:r>
        <w:t xml:space="preserve">Lo que más me gustó de este artículo es que no se queda en la teoría, sino que muestra datos reales de 129 personas —docentes, universitarios y estudiantes de colegio— que probaron la plataforma BUTCA en la vida real. Eso le da mucho más peso que un estudio que solo habla "en general". Me parece muy valioso que hayan comparado nada menos que cinco universidades en tres países y que además hayan metido en la balanza otras herramientas como Practice Labs, InfoSec Institute y CYRIN; uno como lector termina entendiendo no solo que el Cyber Range funciona, sino por qué le ganó a las demás opciones (facilidad de uso, lo divertido de las tareas y que realmente se aprende haciendo). También rescato que se hayan atrevido a probar la herramienta hasta con niños de primaria con un escenario de navegación segura, y que el 80% de esos niños haya dicho que va a ser más cuidadoso en internet; eso ya es un resultado que se siente aplicable y no solo un número bonito en una tabla.</w:t>
      </w:r>
    </w:p>
    <w:p>
      <w:pPr>
        <w:spacing w:after="80" w:before="100"/>
      </w:pPr>
      <w:r>
        <w:rPr>
          <w:b/>
          <w:bCs/>
        </w:rPr>
        <w:t xml:space="preserve">Limitaciones:</w:t>
      </w:r>
    </w:p>
    <w:p>
      <w:pPr>
        <w:spacing w:after="150"/>
      </w:pPr>
      <w:r>
        <w:t xml:space="preserve">Ahora, revisando el artículo completo, sí encuentro varios peros que los mismos autores reconocen honestamente al final. La muestra universitaria está muy inclinada hacia Chequia (66% de los estudiantes y 82% de los docentes son de universidades checas), así que cuando dicen que "funciona en tres países" en realidad es un estudio mayormente checo con un poco de Finlandia y Estados Unidos de complemento. Además, en la parte de docentes de secundaria y primaria casi no hubo participantes, entonces todas esas conclusiones tan bonitas sobre primaria y secundaria en realidad se sostienen sobre la opinión de un solo profesor de colegio y uno de bachillerato, lo cual es bastante poco para generalizar. Otra cosa que me hizo ruido es que ellos mismos son los que construyeron la plataforma BUTCA, entonces hay un conflicto de interés obvio ahí: es normal que el estudio termine diciendo que su propia herramienta es la mejor comparada con las demás. Y, como ya lo mencioné antes, montar algo como BUTCA requiere servidores, nube y personal técnico que en un ambiente de formación del SENA con recursos limitados no siempre están disponibles.</w:t>
      </w:r>
    </w:p>
    <w:p>
      <w:pPr>
        <w:spacing w:after="80" w:before="100"/>
      </w:pPr>
      <w:r>
        <w:rPr>
          <w:b/>
          <w:bCs/>
        </w:rPr>
        <w:t xml:space="preserve">Opinión personal sobre la calidad y relevancia del estudio:</w:t>
      </w:r>
    </w:p>
    <w:p>
      <w:pPr>
        <w:spacing w:after="150"/>
      </w:pPr>
      <w:r>
        <w:t xml:space="preserve">En mi opinión, sí es un artículo de buena calidad para lo que buscamos en el programa de Gestión de Redes de Datos y Telecomunicaciones, y se nota que detrás hay años de prueba y error real en las aulas (cuentan hasta los problemas técnicos que tuvieron con VMware Workstation Player, lo cual se siente muy cercano a lo que uno vive en los laboratorios del SENA). No lo calificaría como un estudio perfecto ni neutral al cien por ciento por lo del conflicto de interés que mencioné, pero sí es honesto en admitir sus límites, cosa que valoro. Me deja pensando en que las clases de redes y ciberseguridad en el SENA se podrían volver mucho más entretenidas con retos tipo CTF en vez de guías estáticas en PDF, y que probablemente uno aprendería más rápido así. Le doy una nota alta en relevancia práctica para nuestro contexto, aunque con la salvedad de que replicar exactamente su modelo tecnológico sería costoso para un centro de formación con recursos limitados.</w:t>
      </w:r>
    </w:p>
    <w:p>
      <w:pPr>
        <w:pStyle w:val="Heading2"/>
        <w:spacing w:after="120" w:before="300"/>
      </w:pPr>
      <w:r>
        <w:t xml:space="preserve">8. Referencia bibliográfica (formato IEEE)</w:t>
      </w:r>
    </w:p>
    <w:p>
      <w:pPr>
        <w:spacing w:after="150"/>
      </w:pPr>
      <w:r>
        <w:t xml:space="preserve">W. Lazarov, T. Schafeitel-Tähtinen, J. Squillace, Z. Martinasek, A. Coufalikova, M. Helenius, P. Gallus, and R. Fujdiak, "Lessons learned from using cyber range to teach cybersecurity at different levels of education," Technology, Knowledge and Learning, vol. 31, pp. 1683–1718, 2026. DOI: 10.1007/s10758-025-09840-y.</w:t>
      </w:r>
    </w:p>
    <w:p>
      <w:pPr>
        <w:pStyle w:val="Heading2"/>
        <w:spacing w:after="120" w:before="300"/>
      </w:pPr>
      <w:r>
        <w:t xml:space="preserve">9. IA como herramienta de apoyo (opcional)</w:t>
      </w:r>
    </w:p>
    <w:p>
      <w:pPr>
        <w:spacing w:after="150"/>
      </w:pPr>
      <w:r>
        <w:t xml:space="preserve">Para este RAI utilicé inteligencia artificial (Claude) como apoyo para organizar, traducir y sintetizar la información del artículo original en inglés, que tiene bastante contenido técnico y estadístico (tablas de medias, desviaciones estándar, resultados de encuestas Likert, etc.). La IA me ayudó a extraer y resumir esas cifras para que fueran más fáciles de entender, pero la parte de análisis crítico y las opiniones del punto 7 son mías, basadas en lo que pienso después de leer el estudio completo y de relacionarlo con la realidad de los ambientes de formación del SENA. No dejé que la IA me diera una opinión ya armada sobre el artículo; la usé más como una herramienta para no tener que traducir y procesar todo el documento en inglés palabra por palabra, ahorrando tiempo en la parte mecánica del trabajo.</w:t>
      </w:r>
    </w:p>
    <w:p>
      <w:pPr>
        <w:spacing w:before="400"/>
      </w:pPr>
      <w:r>
        <w:rPr>
          <w:i/>
          <w:iCs/>
          <w:sz w:val="18"/>
          <w:szCs w:val="18"/>
        </w:rPr>
        <w:t xml:space="preserve">— Plantilla elaborada para actividades de investigación formativa en el programa de Gestión de Redes de Datos y Telecomunicaciones - SENA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2026-09-16T20:54:02.314Z</dcterms:created>
  <dcterms:modified xsi:type="dcterms:W3CDTF">2026-09-16T20:54:02.317Z</dcterms:modified>
</cp:coreProperties>
</file>

<file path=docProps/custom.xml><?xml version="1.0" encoding="utf-8"?>
<Properties xmlns="http://schemas.openxmlformats.org/officeDocument/2006/custom-properties" xmlns:vt="http://schemas.openxmlformats.org/officeDocument/2006/docPropsVTypes"/>
</file>