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0000"/>
          <w:sz w:val="32"/>
        </w:rPr>
        <w:t>RESUMEN ANALÍTICO DE INVESTIGACIÓN (RAI)</w:t>
      </w:r>
    </w:p>
    <w:p>
      <w:pPr>
        <w:spacing w:after="360"/>
        <w:jc w:val="center"/>
      </w:pPr>
      <w:r>
        <w:rPr>
          <w:rFonts w:ascii="Arial" w:hAnsi="Arial"/>
          <w:i/>
          <w:color w:val="000000"/>
          <w:sz w:val="22"/>
        </w:rPr>
        <w:t>Servicio Nacional de Aprendizaje (SENA)</w:t>
        <w:br/>
        <w:t>Programa: Gestión de Redes de Datos y Telecomunicaciones</w:t>
      </w:r>
    </w:p>
    <w:p>
      <w:pPr>
        <w:pStyle w:val="Heading1"/>
      </w:pPr>
      <w:r>
        <w:t>1. Datos de identificación</w:t>
      </w:r>
    </w:p>
    <w:p>
      <w:pPr>
        <w:spacing w:after="80" w:line="276" w:lineRule="auto"/>
      </w:pPr>
      <w:r>
        <w:rPr>
          <w:b/>
          <w:color w:val="000000"/>
        </w:rPr>
        <w:t xml:space="preserve">Título del artículo o informe: </w:t>
      </w:r>
      <w:r>
        <w:rPr>
          <w:color w:val="000000"/>
        </w:rPr>
        <w:t>A Comprehensive Survey of Artificial Intelligence Applications in Cyber Security: Taxonomy, Challenges, and Future Directions.</w:t>
      </w:r>
    </w:p>
    <w:p>
      <w:pPr>
        <w:spacing w:after="80" w:line="276" w:lineRule="auto"/>
      </w:pPr>
      <w:r>
        <w:rPr>
          <w:b/>
          <w:color w:val="000000"/>
        </w:rPr>
        <w:t xml:space="preserve">Autores: </w:t>
      </w:r>
      <w:r>
        <w:rPr>
          <w:color w:val="000000"/>
        </w:rPr>
        <w:t>Shahid Alam, Ehab Alnfrawy, Amina Jameel, Sana Qadir, Zahida Parveen, Basirah Noor, Anushya Arol e Imran Chaudhry.</w:t>
      </w:r>
    </w:p>
    <w:p>
      <w:pPr>
        <w:spacing w:after="80" w:line="276" w:lineRule="auto"/>
      </w:pPr>
      <w:r>
        <w:rPr>
          <w:b/>
          <w:color w:val="000000"/>
        </w:rPr>
        <w:t xml:space="preserve">Año de publicación: </w:t>
      </w:r>
      <w:r>
        <w:rPr>
          <w:color w:val="000000"/>
        </w:rPr>
        <w:t>2026.</w:t>
      </w:r>
    </w:p>
    <w:p>
      <w:pPr>
        <w:spacing w:after="80" w:line="276" w:lineRule="auto"/>
      </w:pPr>
      <w:r>
        <w:rPr>
          <w:b/>
          <w:color w:val="000000"/>
        </w:rPr>
        <w:t xml:space="preserve">Fuente (revista, congreso, repositorio): </w:t>
      </w:r>
      <w:r>
        <w:rPr>
          <w:color w:val="000000"/>
        </w:rPr>
        <w:t>Revista Algorithms (MDPI), Volumen 19, Artículo 527.</w:t>
      </w:r>
    </w:p>
    <w:p>
      <w:pPr>
        <w:spacing w:after="80" w:line="276" w:lineRule="auto"/>
      </w:pPr>
      <w:r>
        <w:rPr>
          <w:b/>
          <w:color w:val="000000"/>
        </w:rPr>
        <w:t xml:space="preserve">Enlace o DOI: </w:t>
      </w:r>
      <w:r>
        <w:rPr>
          <w:color w:val="000000"/>
        </w:rPr>
        <w:t>https://doi.org/10.3390/algorithms19050527</w:t>
      </w:r>
    </w:p>
    <w:p>
      <w:pPr>
        <w:pStyle w:val="Heading1"/>
      </w:pPr>
      <w:r>
        <w:t>2. Descripción general del documento</w:t>
      </w:r>
    </w:p>
    <w:p>
      <w:pPr>
        <w:spacing w:after="80" w:line="276" w:lineRule="auto"/>
      </w:pPr>
      <w:r>
        <w:rPr>
          <w:b/>
          <w:color w:val="000000"/>
        </w:rPr>
        <w:t xml:space="preserve">Tema principal: </w:t>
      </w:r>
      <w:r>
        <w:rPr>
          <w:color w:val="000000"/>
        </w:rPr>
        <w:t>El documento realiza una revisión sistemática e integral de la literatura científica sobre las aplicaciones de la Inteligencia Artificial (IA) en ciberseguridad (periodo 2021–2025). Desarrolla una taxonomía multicapa basada en una función formal de mapeo de amenazas y ejecuta un meta-análisis transversal para evaluar modelos de Machine Learning, Deep Learning, Transformers, IA Explicable (XAI) e IA Generativa (GAI).</w:t>
      </w:r>
    </w:p>
    <w:p>
      <w:pPr>
        <w:spacing w:after="80" w:line="276" w:lineRule="auto"/>
      </w:pPr>
      <w:r>
        <w:rPr>
          <w:b/>
          <w:color w:val="000000"/>
        </w:rPr>
        <w:t xml:space="preserve">Área de aplicación: </w:t>
      </w:r>
      <w:r>
        <w:rPr>
          <w:color w:val="000000"/>
        </w:rPr>
        <w:t>Ciberseguridad, Seguridad en Redes de Datos, Detección de Amenazas Cibernéticas, Protección de Infraestructuras Digitales e Internet de las Cosas (IoT).</w:t>
      </w:r>
    </w:p>
    <w:p>
      <w:pPr>
        <w:spacing w:after="80" w:line="276" w:lineRule="auto"/>
      </w:pPr>
      <w:r>
        <w:rPr>
          <w:b/>
          <w:color w:val="000000"/>
        </w:rPr>
        <w:t xml:space="preserve">Palabras clave: </w:t>
      </w:r>
      <w:r>
        <w:rPr>
          <w:color w:val="000000"/>
        </w:rPr>
        <w:t>Artificial Intelligence (AI); cyber security; malware detection; intrusion detection systems; phishing detection; spam detection; botnet detection; cyber forensics; machine learning; deep learning; explainable AI.</w:t>
      </w:r>
    </w:p>
    <w:p>
      <w:pPr>
        <w:pStyle w:val="Heading1"/>
      </w:pPr>
      <w:r>
        <w:t>3. Objetivos del estudio</w:t>
      </w:r>
    </w:p>
    <w:p>
      <w:pPr>
        <w:spacing w:after="80" w:line="276" w:lineRule="auto"/>
      </w:pPr>
      <w:r>
        <w:rPr>
          <w:b/>
          <w:color w:val="000000"/>
        </w:rPr>
        <w:t xml:space="preserve">Objetivo general: </w:t>
      </w:r>
      <w:r>
        <w:rPr>
          <w:color w:val="000000"/>
        </w:rPr>
        <w:t>Proporcionar una perspectiva unificada y orientada a aplicaciones sobre la integración de la IA en la ciberseguridad mediante la formulación de una taxonomía multicapa y la ejecución de un meta-análisis transversal entre dominios.</w:t>
      </w:r>
    </w:p>
    <w:p>
      <w:pPr>
        <w:spacing w:after="60"/>
      </w:pPr>
      <w:r>
        <w:rPr>
          <w:b/>
          <w:color w:val="000000"/>
        </w:rPr>
        <w:t>Objetivos específicos:</w:t>
      </w:r>
    </w:p>
    <w:p>
      <w:pPr>
        <w:pStyle w:val="ListBullet"/>
        <w:spacing w:after="60" w:line="276" w:lineRule="auto"/>
      </w:pPr>
      <w:r>
        <w:rPr>
          <w:b/>
          <w:color w:val="000000"/>
        </w:rPr>
        <w:t xml:space="preserve">1. </w:t>
      </w:r>
      <w:r>
        <w:rPr>
          <w:color w:val="000000"/>
        </w:rPr>
        <w:t>Diseñar una taxonomía multicapa basada en la función de mapeo f : T → D → M → C, la cual relaciona sistemáticamente amenazas cibernéticas (T), dominios de aplicación (D), métodos analíticos y modelos de IA (M), con sus respectivas capacidades y limitaciones (C).</w:t>
      </w:r>
    </w:p>
    <w:p>
      <w:pPr>
        <w:pStyle w:val="ListBullet"/>
        <w:spacing w:after="60" w:line="276" w:lineRule="auto"/>
      </w:pPr>
      <w:r>
        <w:rPr>
          <w:b/>
          <w:color w:val="000000"/>
        </w:rPr>
        <w:t xml:space="preserve">2. </w:t>
      </w:r>
      <w:r>
        <w:rPr>
          <w:color w:val="000000"/>
        </w:rPr>
        <w:t>Sintetizar y clasificar la literatura reciente en cinco dominios funcionales clave: detección de malware, sistemas de detección de intrusiones (IDS), detección de phishing y spam, detección de botnets y ciberforense.</w:t>
      </w:r>
    </w:p>
    <w:p>
      <w:pPr>
        <w:pStyle w:val="ListBullet"/>
        <w:spacing w:after="60" w:line="276" w:lineRule="auto"/>
      </w:pPr>
      <w:r>
        <w:rPr>
          <w:b/>
          <w:color w:val="000000"/>
        </w:rPr>
        <w:t xml:space="preserve">3. </w:t>
      </w:r>
      <w:r>
        <w:rPr>
          <w:color w:val="000000"/>
        </w:rPr>
        <w:t>Identificar las principales limitaciones prácticas, brechas de investigación, sesgos en datasets, vulnerabilidades ante ataques adversarios (AML) y oportunidades de innovación con IA Explicable (XAI) e IA Generativa (GAI).</w:t>
      </w:r>
    </w:p>
    <w:p>
      <w:pPr>
        <w:pStyle w:val="Heading1"/>
      </w:pPr>
      <w:r>
        <w:t>4. Metodología</w:t>
      </w:r>
    </w:p>
    <w:p>
      <w:pPr>
        <w:spacing w:after="80" w:line="276" w:lineRule="auto"/>
      </w:pPr>
      <w:r>
        <w:rPr>
          <w:b/>
          <w:color w:val="000000"/>
        </w:rPr>
        <w:t xml:space="preserve">Tipo de investigación: </w:t>
      </w:r>
      <w:r>
        <w:rPr>
          <w:color w:val="000000"/>
        </w:rPr>
        <w:t>Cualitativa y analítica, estructurada como una Revisión Sistemática de Literatura (RSL) respaldada por meta-análisis cualitativo y cuantitativo.</w:t>
      </w:r>
    </w:p>
    <w:p>
      <w:pPr>
        <w:spacing w:after="80" w:line="276" w:lineRule="auto"/>
      </w:pPr>
      <w:r>
        <w:rPr>
          <w:b/>
          <w:color w:val="000000"/>
        </w:rPr>
        <w:t xml:space="preserve">Métodos e instrumentos: </w:t>
      </w:r>
      <w:r>
        <w:rPr>
          <w:color w:val="000000"/>
        </w:rPr>
        <w:t>Implementación de un protocolo riguroso de selección en cinco fases: (1) Búsqueda por ecuaciones de palabras clave en bases científicas; (2) Filtrado temático por coincidencia de términos; (3) Filtro temporal restringido a publicaciones entre 2021 y 2025; (4) Filtro por idioma inglés; y (5) Depuración de registros duplicados. Para garantizar la validez, se aplicó el principio de triangulación metodológica con 3 revisores independientes para la clasificación de artículos, respaldados por herramientas como Google Scholar, scite.ai e inspección manual.</w:t>
      </w:r>
    </w:p>
    <w:p>
      <w:pPr>
        <w:spacing w:after="80" w:line="276" w:lineRule="auto"/>
      </w:pPr>
      <w:r>
        <w:rPr>
          <w:b/>
          <w:color w:val="000000"/>
        </w:rPr>
        <w:t xml:space="preserve">Población o muestra: </w:t>
      </w:r>
      <w:r>
        <w:rPr>
          <w:color w:val="000000"/>
        </w:rPr>
        <w:t>Muestra final seleccionada de 75 artículos analizados en profundidad tras aplicar los criterios de inclusión y exclusión sobre un total inicial de 524 estudios recopilados en IEEE Xplore, ACM Digital Library, ScienceDirect, SpringerLink, Scopus y Web of Science.</w:t>
      </w:r>
    </w:p>
    <w:p>
      <w:pPr>
        <w:pStyle w:val="Heading1"/>
      </w:pPr>
      <w:r>
        <w:t>5. Resultados y hallazgos relevantes</w:t>
      </w:r>
    </w:p>
    <w:p>
      <w:pPr>
        <w:spacing w:after="120"/>
      </w:pPr>
      <w:r>
        <w:rPr>
          <w:b/>
          <w:color w:val="000000"/>
        </w:rPr>
        <w:t>Principales resultados:</w:t>
      </w:r>
    </w:p>
    <w:p>
      <w:pPr>
        <w:spacing w:after="160"/>
      </w:pPr>
      <w:r>
        <w:t>El estudio demuestra que no existe una única arquitectura de IA superior para todos los casos de uso. La efectividad depende de la correcta alineación entre la estructura de los datos, el comportamiento de la amenaza y la metodología analítica seleccionada. A continuación se resumen los hallazgos por dominio: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2F2" w:val="clear"/>
          </w:tcPr>
          <w:p>
            <w:pPr>
              <w:jc w:val="left"/>
            </w:pPr>
            <w:r>
              <w:rPr>
                <w:b/>
                <w:color w:val="000000"/>
              </w:rPr>
              <w:t>Dominio de Ciberseguridad</w:t>
            </w:r>
          </w:p>
        </w:tc>
        <w:tc>
          <w:tcPr>
            <w:tcW w:type="dxa" w:w="3312"/>
            <w:shd w:fill="F2F2F2" w:val="clear"/>
          </w:tcPr>
          <w:p>
            <w:pPr>
              <w:jc w:val="left"/>
            </w:pPr>
            <w:r>
              <w:rPr>
                <w:b/>
                <w:color w:val="000000"/>
              </w:rPr>
              <w:t>Técnicas de IA Predominantes</w:t>
            </w:r>
          </w:p>
        </w:tc>
        <w:tc>
          <w:tcPr>
            <w:tcW w:type="dxa" w:w="3888"/>
            <w:shd w:fill="F2F2F2" w:val="clear"/>
          </w:tcPr>
          <w:p>
            <w:pPr>
              <w:jc w:val="left"/>
            </w:pPr>
            <w:r>
              <w:rPr>
                <w:b/>
                <w:color w:val="000000"/>
              </w:rPr>
              <w:t>Hallazgos y Ventajas Clave</w:t>
            </w:r>
          </w:p>
        </w:tc>
      </w:tr>
      <w:tr>
        <w:tc>
          <w:tcPr>
            <w:tcW w:type="dxa" w:w="2160"/>
          </w:tcPr>
          <w:p>
            <w:pPr>
              <w:spacing w:after="40" w:before="40"/>
            </w:pPr>
            <w:r>
              <w:rPr>
                <w:color w:val="000000"/>
              </w:rPr>
              <w:t>Detección de Malware</w:t>
            </w:r>
          </w:p>
        </w:tc>
        <w:tc>
          <w:tcPr>
            <w:tcW w:type="dxa" w:w="3312"/>
          </w:tcPr>
          <w:p>
            <w:pPr>
              <w:spacing w:after="40" w:before="40"/>
            </w:pPr>
            <w:r>
              <w:rPr>
                <w:color w:val="000000"/>
              </w:rPr>
              <w:t>Deep Learning (CNN, LSTM), Transformers (BERT, Llama), XAI, AML</w:t>
            </w:r>
          </w:p>
        </w:tc>
        <w:tc>
          <w:tcPr>
            <w:tcW w:type="dxa" w:w="3888"/>
          </w:tcPr>
          <w:p>
            <w:pPr>
              <w:spacing w:after="40" w:before="40"/>
            </w:pPr>
            <w:r>
              <w:rPr>
                <w:color w:val="000000"/>
              </w:rPr>
              <w:t>Procesamiento de análisis estático y dinámico. Enfoque prioritario en mitigación de ataques adversarios y explicabilidad de comportamiento de binaries.</w:t>
            </w:r>
          </w:p>
        </w:tc>
      </w:tr>
      <w:tr>
        <w:tc>
          <w:tcPr>
            <w:tcW w:type="dxa" w:w="2160"/>
          </w:tcPr>
          <w:p>
            <w:pPr>
              <w:spacing w:after="40" w:before="40"/>
            </w:pPr>
            <w:r>
              <w:rPr>
                <w:color w:val="000000"/>
              </w:rPr>
              <w:t>Sistemas de Detección de Intrusiones (IDS)</w:t>
            </w:r>
          </w:p>
        </w:tc>
        <w:tc>
          <w:tcPr>
            <w:tcW w:type="dxa" w:w="3312"/>
          </w:tcPr>
          <w:p>
            <w:pPr>
              <w:spacing w:after="40" w:before="40"/>
            </w:pPr>
            <w:r>
              <w:rPr>
                <w:color w:val="000000"/>
              </w:rPr>
              <w:t>Deep Learning (CNN, LSTM), Transformers, Redes Neuronales Profundas (DNN)</w:t>
            </w:r>
          </w:p>
        </w:tc>
        <w:tc>
          <w:tcPr>
            <w:tcW w:type="dxa" w:w="3888"/>
          </w:tcPr>
          <w:p>
            <w:pPr>
              <w:spacing w:after="40" w:before="40"/>
            </w:pPr>
            <w:r>
              <w:rPr>
                <w:color w:val="000000"/>
              </w:rPr>
              <w:t>Efectivas para capturar patrones temporales y secuenciales en tráfico continuo de red. Escasez de evaluaciones en entornos de transmisión en tiempo real.</w:t>
            </w:r>
          </w:p>
        </w:tc>
      </w:tr>
      <w:tr>
        <w:tc>
          <w:tcPr>
            <w:tcW w:type="dxa" w:w="2160"/>
          </w:tcPr>
          <w:p>
            <w:pPr>
              <w:spacing w:after="40" w:before="40"/>
            </w:pPr>
            <w:r>
              <w:rPr>
                <w:color w:val="000000"/>
              </w:rPr>
              <w:t>Detección de Phishing y Spam</w:t>
            </w:r>
          </w:p>
        </w:tc>
        <w:tc>
          <w:tcPr>
            <w:tcW w:type="dxa" w:w="3312"/>
          </w:tcPr>
          <w:p>
            <w:pPr>
              <w:spacing w:after="40" w:before="40"/>
            </w:pPr>
            <w:r>
              <w:rPr>
                <w:color w:val="000000"/>
              </w:rPr>
              <w:t>Machine Learning Tradicional (SVM, Random Forest), Tiny-BERT, Ensemble</w:t>
            </w:r>
          </w:p>
        </w:tc>
        <w:tc>
          <w:tcPr>
            <w:tcW w:type="dxa" w:w="3888"/>
          </w:tcPr>
          <w:p>
            <w:pPr>
              <w:spacing w:after="40" w:before="40"/>
            </w:pPr>
            <w:r>
              <w:rPr>
                <w:color w:val="000000"/>
              </w:rPr>
              <w:t>Modelos tradicionales muy competitivos y eficientes en datos estructurados/URLs. Tiny-BERT aporta semántica liviana con baja latencia.</w:t>
            </w:r>
          </w:p>
        </w:tc>
      </w:tr>
      <w:tr>
        <w:tc>
          <w:tcPr>
            <w:tcW w:type="dxa" w:w="2160"/>
          </w:tcPr>
          <w:p>
            <w:pPr>
              <w:spacing w:after="40" w:before="40"/>
            </w:pPr>
            <w:r>
              <w:rPr>
                <w:color w:val="000000"/>
              </w:rPr>
              <w:t>Detección de Botnets</w:t>
            </w:r>
          </w:p>
        </w:tc>
        <w:tc>
          <w:tcPr>
            <w:tcW w:type="dxa" w:w="3312"/>
          </w:tcPr>
          <w:p>
            <w:pPr>
              <w:spacing w:after="40" w:before="40"/>
            </w:pPr>
            <w:r>
              <w:rPr>
                <w:color w:val="000000"/>
              </w:rPr>
              <w:t>Redes Neuronales de Grafos (GNN), Aprendizaje por Refuerzo, Aprendizaje Federado</w:t>
            </w:r>
          </w:p>
        </w:tc>
        <w:tc>
          <w:tcPr>
            <w:tcW w:type="dxa" w:w="3888"/>
          </w:tcPr>
          <w:p>
            <w:pPr>
              <w:spacing w:after="40" w:before="40"/>
            </w:pPr>
            <w:r>
              <w:rPr>
                <w:color w:val="000000"/>
              </w:rPr>
              <w:t>GNNs destacan para modelar la topología de red y las relaciones de comunicación entre bots y servidores C&amp;C. Alta relevancia en entornos IoT.</w:t>
            </w:r>
          </w:p>
        </w:tc>
      </w:tr>
      <w:tr>
        <w:tc>
          <w:tcPr>
            <w:tcW w:type="dxa" w:w="2160"/>
          </w:tcPr>
          <w:p>
            <w:pPr>
              <w:spacing w:after="40" w:before="40"/>
            </w:pPr>
            <w:r>
              <w:rPr>
                <w:color w:val="000000"/>
              </w:rPr>
              <w:t>Ciberforense</w:t>
            </w:r>
          </w:p>
        </w:tc>
        <w:tc>
          <w:tcPr>
            <w:tcW w:type="dxa" w:w="3312"/>
          </w:tcPr>
          <w:p>
            <w:pPr>
              <w:spacing w:after="40" w:before="40"/>
            </w:pPr>
            <w:r>
              <w:rPr>
                <w:color w:val="000000"/>
              </w:rPr>
              <w:t>LLMs (GPT-4, LLaMA), XAI (SHAP, LIME), Algoritmos Genéticos</w:t>
            </w:r>
          </w:p>
        </w:tc>
        <w:tc>
          <w:tcPr>
            <w:tcW w:type="dxa" w:w="3888"/>
          </w:tcPr>
          <w:p>
            <w:pPr>
              <w:spacing w:after="40" w:before="40"/>
            </w:pPr>
            <w:r>
              <w:rPr>
                <w:color w:val="000000"/>
              </w:rPr>
              <w:t>Automatización del análisis de evidencias digitales, perfilado de autores y recuperación de archivos. Exige estricta explicabilidad para validez legal.</w:t>
            </w:r>
          </w:p>
        </w:tc>
      </w:tr>
    </w:tbl>
    <w:p>
      <w:pPr>
        <w:spacing w:after="120"/>
      </w:pPr>
    </w:p>
    <w:p>
      <w:pPr>
        <w:spacing w:after="80"/>
      </w:pPr>
      <w:r>
        <w:rPr>
          <w:b/>
          <w:color w:val="000000"/>
        </w:rPr>
        <w:t>Conclusiones destacadas:</w:t>
      </w:r>
    </w:p>
    <w:p>
      <w:pPr>
        <w:pStyle w:val="ListBullet"/>
        <w:spacing w:after="60" w:line="276" w:lineRule="auto"/>
      </w:pPr>
      <w:r>
        <w:rPr>
          <w:b/>
          <w:color w:val="000000"/>
        </w:rPr>
        <w:t xml:space="preserve">• </w:t>
      </w:r>
      <w:r>
        <w:rPr>
          <w:color w:val="000000"/>
        </w:rPr>
        <w:t>Ausencia de solución universal: Cada modelo responde a una estructura de datos específica. Intentar aplicar un único tipo de IA para toda la infraestructura de red genera ineficiencia y brechas de seguridad.</w:t>
      </w:r>
    </w:p>
    <w:p>
      <w:pPr>
        <w:pStyle w:val="ListBullet"/>
        <w:spacing w:after="60" w:line="276" w:lineRule="auto"/>
      </w:pPr>
      <w:r>
        <w:rPr>
          <w:b/>
          <w:color w:val="000000"/>
        </w:rPr>
        <w:t xml:space="preserve">• </w:t>
      </w:r>
      <w:r>
        <w:rPr>
          <w:color w:val="000000"/>
        </w:rPr>
        <w:t>Vulnerabilidad adversaria (AML): Los modelos de IA pueden ser engañados mediante modificaciones sutiles en los datos de entrada (ataques de evasión y envenenamiento de datos), requiriendo entrenamiento defensivo continuo.</w:t>
      </w:r>
    </w:p>
    <w:p>
      <w:pPr>
        <w:pStyle w:val="ListBullet"/>
        <w:spacing w:after="60" w:line="276" w:lineRule="auto"/>
      </w:pPr>
      <w:r>
        <w:rPr>
          <w:b/>
          <w:color w:val="000000"/>
        </w:rPr>
        <w:t xml:space="preserve">• </w:t>
      </w:r>
      <w:r>
        <w:rPr>
          <w:color w:val="000000"/>
        </w:rPr>
        <w:t>Opacidad y caja negra: En entornos críticos como la ciberforense, los modelos profundos carecen de explicabilidad nativa, dificultando el cumplimiento de la cadena de custodia y la admisibilidad de pruebas en procesos judiciales.</w:t>
      </w:r>
    </w:p>
    <w:p>
      <w:pPr>
        <w:pStyle w:val="ListBullet"/>
        <w:spacing w:after="60" w:line="276" w:lineRule="auto"/>
      </w:pPr>
      <w:r>
        <w:rPr>
          <w:b/>
          <w:color w:val="000000"/>
        </w:rPr>
        <w:t xml:space="preserve">• </w:t>
      </w:r>
      <w:r>
        <w:rPr>
          <w:color w:val="000000"/>
        </w:rPr>
        <w:t>Brecha de despliegue operativo: La mayoría de los estudios priorizan la precisión teórica sobre métricas operativas reales como latencia de inferencia, consumo energético y capacidad de procesamiento en nodos de borde (Edge Computing).</w:t>
      </w:r>
    </w:p>
    <w:p>
      <w:pPr>
        <w:pStyle w:val="Heading1"/>
      </w:pPr>
      <w:r>
        <w:t>6. Aportes al conocimiento y aplicabilidad</w:t>
      </w:r>
    </w:p>
    <w:p>
      <w:pPr>
        <w:spacing w:after="80" w:line="276" w:lineRule="auto"/>
      </w:pPr>
      <w:r>
        <w:rPr>
          <w:b/>
          <w:color w:val="000000"/>
        </w:rPr>
        <w:t xml:space="preserve">¿Qué aporta este estudio a la comprensión o mejora de las redes y telecomunicaciones? </w:t>
      </w:r>
      <w:r>
        <w:rPr>
          <w:color w:val="000000"/>
        </w:rPr>
        <w:t>Aporta un marco de decisión sistemático para administradores e ingenieros de red. Permite seleccionar la arquitectura de IA más adecuada según el tipo de tráfico y amenaza: GNNs para monitorear topologías complejas de botnets, LSTMs y Transformers para inspección profunda de paquetes e IDS, y algoritmos livianos (SVM, Decision Trees) para nodos IoT o dispositivos de borde con recursos limitados.</w:t>
      </w:r>
    </w:p>
    <w:p>
      <w:pPr>
        <w:spacing w:after="80" w:line="276" w:lineRule="auto"/>
      </w:pPr>
      <w:r>
        <w:rPr>
          <w:b/>
          <w:color w:val="000000"/>
        </w:rPr>
        <w:t xml:space="preserve">¿Cómo podría aplicarse en contextos formativos o laborales del SENA? </w:t>
      </w:r>
      <w:r>
        <w:rPr>
          <w:color w:val="000000"/>
        </w:rPr>
        <w:t>En el ámbito formativo, sirve como referente actualizado para el programa de Gestión de Redes de Datos y Telecomunicaciones del SENA, permitiendo enriquecer guías de aprendizaje sobre detección inteligente de intrusos, laboratorios de análisis dinámico de malware y talleres de ciberforense asistido por IA. En el entorno laboral, capacita a aprendices e instructores en Centros de Operaciones de Seguridad (SOC) para evaluar críticamente herramientas de IA, considerando el balance entre precisión, latencia y consumo de recursos de red.</w:t>
      </w:r>
    </w:p>
    <w:p>
      <w:pPr>
        <w:pStyle w:val="Heading1"/>
      </w:pPr>
      <w:r>
        <w:t>7. Análisis crítico del aprendiz</w:t>
      </w:r>
    </w:p>
    <w:p>
      <w:pPr>
        <w:spacing w:after="80" w:line="276" w:lineRule="auto"/>
      </w:pPr>
      <w:r>
        <w:rPr>
          <w:b/>
          <w:color w:val="000000"/>
        </w:rPr>
        <w:t xml:space="preserve">Fortalezas del artículo: </w:t>
      </w:r>
      <w:r>
        <w:rPr>
          <w:color w:val="000000"/>
        </w:rPr>
        <w:t>Sobresale por su solidez metodológica al implementar la triangulación de datos y de revisores, la formalización matemática rigurosa de la taxonomía (f : T → D → M → C), la inclusión de paradigmas avanzados (XAI, LLMs, GAI) y una visión realista sobre los obstáculos para el despliegue operativo en tiempo real.</w:t>
      </w:r>
    </w:p>
    <w:p>
      <w:pPr>
        <w:spacing w:after="80" w:line="276" w:lineRule="auto"/>
      </w:pPr>
      <w:r>
        <w:rPr>
          <w:b/>
          <w:color w:val="000000"/>
        </w:rPr>
        <w:t xml:space="preserve">Limitaciones: </w:t>
      </w:r>
      <w:r>
        <w:rPr>
          <w:color w:val="000000"/>
        </w:rPr>
        <w:t>Presenta una marcada dependencia de datasets públicos que suelen estar desactualizados o ser sintéticos, lo que limita la validación contra ataques reales de día cero. Asimismo, carece de mediciones empíricas profundas sobre el consumo de energía e impacto computacional en entornos de redes distribuidas.</w:t>
      </w:r>
    </w:p>
    <w:p>
      <w:pPr>
        <w:spacing w:after="80" w:line="276" w:lineRule="auto"/>
      </w:pPr>
      <w:r>
        <w:rPr>
          <w:b/>
          <w:color w:val="000000"/>
        </w:rPr>
        <w:t xml:space="preserve">Opinión personal sobre la calidad y relevancia del estudio: </w:t>
      </w:r>
      <w:r>
        <w:rPr>
          <w:color w:val="000000"/>
        </w:rPr>
        <w:t>Es una investigación de altísimo nivel pedagógico y técnico. Su principal valor radica en que no promociona la IA como una solución perfecta, sino que evidencia sus vulnerabilidades y subraya que la ciberseguridad del futuro exige modelos explicables, éticos y resilientes frente a manipulaciones adversarias.</w:t>
      </w:r>
    </w:p>
    <w:p>
      <w:pPr>
        <w:pStyle w:val="Heading1"/>
      </w:pPr>
      <w:r>
        <w:t>8. Referencia bibliográfica (formato IEEE)</w:t>
      </w:r>
    </w:p>
    <w:p>
      <w:pPr>
        <w:spacing w:after="120"/>
        <w:ind w:left="432"/>
      </w:pPr>
      <w:r>
        <w:rPr>
          <w:color w:val="000000"/>
        </w:rPr>
        <w:t>S. Alam, E. Alnfrawy, A. Jameel, S. Qadir, Z. Parveen, B. Noor, A. Arol, and I. Chaudhry, "A Comprehensive Survey of Artificial Intelligence Applications in Cyber Security: Taxonomy, Challenges, and Future Directions," Algorithms, vol. 19, no. 527, pp. 1–34, Jun. 2026. doi: 10.3390/algorithms19050527.</w:t>
      </w:r>
    </w:p>
    <w:p>
      <w:pPr>
        <w:pStyle w:val="Heading1"/>
      </w:pPr>
      <w:r>
        <w:t>9. IA como herramienta de apoyo (opcional)</w:t>
      </w:r>
    </w:p>
    <w:p>
      <w:pPr>
        <w:spacing w:after="240"/>
      </w:pPr>
      <w:r>
        <w:t>Se utilizó la plataforma Gemini Notebook como asistente analítico de investigación para realizar la lectura sintética del documento técnico algorithms-19-00527-v2.pdf, facilitando la extracción estructurada de los datos cuantitativos y cualitativos, y su posterior organización dentro de los lineamientos definidos en la Plantilla_RAI_SENA.docx.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7"/>
      </w:rPr>
      <w:t>Resumen Analítico de Investigación (RAI)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7"/>
      </w:rPr>
      <w:t>SENA - Gestión de Redes de Datos y Telecomunicaciones | RAI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