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1F3864"/>
          <w:sz w:val="40"/>
          <w:szCs w:val="40"/>
        </w:rPr>
        <w:t xml:space="preserve">Generalizable Deep Learning for Knee Osteoarthritis Severity Grading</w:t>
      </w:r>
    </w:p>
    <w:p>
      <w:pPr>
        <w:spacing w:after="600"/>
        <w:jc w:val="center"/>
      </w:pPr>
      <w:r>
        <w:rPr>
          <w:rFonts w:ascii="Calibri" w:cs="Calibri" w:eastAsia="Calibri" w:hAnsi="Calibri"/>
          <w:i/>
          <w:iCs/>
          <w:color w:val="2E75B6"/>
          <w:sz w:val="28"/>
          <w:szCs w:val="28"/>
        </w:rPr>
        <w:t xml:space="preserve">A Multi-Dataset Approach — Results and Evaluation</w:t>
      </w:r>
    </w:p>
    <w:p>
      <w:pPr>
        <w:spacing w:after="80"/>
        <w:jc w:val="center"/>
      </w:pPr>
      <w:r>
        <w:rPr>
          <w:rFonts w:ascii="Calibri" w:cs="Calibri" w:eastAsia="Calibri" w:hAnsi="Calibri"/>
          <w:b/>
          <w:bCs/>
          <w:sz w:val="24"/>
          <w:szCs w:val="24"/>
        </w:rPr>
        <w:t xml:space="preserve">Sami Hamrouni</w:t>
      </w:r>
    </w:p>
    <w:p>
      <w:pPr>
        <w:spacing w:after="80"/>
        <w:jc w:val="center"/>
      </w:pPr>
      <w:r>
        <w:rPr>
          <w:rFonts w:ascii="Calibri" w:cs="Calibri" w:eastAsia="Calibri" w:hAnsi="Calibri"/>
          <w:sz w:val="22"/>
          <w:szCs w:val="22"/>
        </w:rPr>
        <w:t xml:space="preserve">M.Sc. Applied Data Science · SRH Hochschule Heidelberg</w:t>
      </w:r>
    </w:p>
    <w:p>
      <w:pPr>
        <w:spacing w:after="600"/>
        <w:jc w:val="center"/>
      </w:pPr>
      <w:r>
        <w:rPr>
          <w:rFonts w:ascii="Calibri" w:cs="Calibri" w:eastAsia="Calibri" w:hAnsi="Calibri"/>
          <w:color w:val="666666"/>
          <w:sz w:val="22"/>
          <w:szCs w:val="22"/>
        </w:rPr>
        <w:t xml:space="preserve">Supervisors: Prof. Binh Vu · Prof. Mehrdad Jalali</w:t>
      </w:r>
    </w:p>
    <w:p>
      <w:pPr>
        <w:jc w:val="center"/>
      </w:pPr>
      <w:r>
        <w:rPr>
          <w:rFonts w:ascii="Calibri" w:cs="Calibri" w:eastAsia="Calibri" w:hAnsi="Calibri"/>
          <w:i/>
          <w:iCs/>
          <w:color w:val="888888"/>
          <w:sz w:val="20"/>
          <w:szCs w:val="20"/>
        </w:rPr>
        <w:t xml:space="preserve">Results chapter — experimental findings from the complete leave-one-dataset-out pipeline</w:t>
      </w:r>
    </w:p>
    <w:p>
      <w:r>
        <w:br w:type="page"/>
      </w:r>
    </w:p>
    <w:p>
      <w:pPr>
        <w:pStyle w:val="Heading1"/>
        <w:spacing w:after="180" w:before="320"/>
      </w:pPr>
      <w:r>
        <w:rPr>
          <w:rFonts w:ascii="Calibri" w:cs="Calibri" w:eastAsia="Calibri" w:hAnsi="Calibri"/>
          <w:b/>
          <w:bCs/>
          <w:color w:val="1F3864"/>
          <w:sz w:val="30"/>
          <w:szCs w:val="30"/>
        </w:rPr>
        <w:t xml:space="preserve">1. Experimental Overview</w:t>
      </w:r>
    </w:p>
    <w:p>
      <w:pPr>
        <w:spacing w:after="120" w:before="0" w:line="276"/>
      </w:pPr>
      <w:r>
        <w:rPr>
          <w:rFonts w:ascii="Calibri" w:cs="Calibri" w:eastAsia="Calibri" w:hAnsi="Calibri"/>
          <w:sz w:val="22"/>
          <w:szCs w:val="22"/>
        </w:rPr>
        <w:t xml:space="preserve">This chapter reports the results of a unified, multi-dataset framework for Kellgren–Lawrence (KL) knee osteoarthritis grading evaluated under a strict leave-one-dataset-out (LODO) protocol. The central research objective is the reduction of the performance gap between internal (same-distribution) and external (cross-institution) evaluation, which the literature commonly reports at 30–40 percentage points. The framework combines four heterogeneous radiographic sources, a ConvNeXt-Large backbone with stage freezing and differential learning rates, source-balanced sampling, noise-aware and label-quality weighting, curriculum learning, an ordinal objective, and domain-adversarial training.</w:t>
      </w:r>
    </w:p>
    <w:p>
      <w:pPr>
        <w:spacing w:after="120" w:before="0" w:line="276"/>
      </w:pPr>
      <w:r>
        <w:rPr>
          <w:rFonts w:ascii="Calibri" w:cs="Calibri" w:eastAsia="Calibri" w:hAnsi="Calibri"/>
          <w:sz w:val="22"/>
          <w:szCs w:val="22"/>
        </w:rPr>
        <w:t xml:space="preserve">All reported external results are means over three random seeds with standard deviations; per-image bootstrap confidence intervals (n = 1000) are additionally provided. The complete configuration — denoted </w:t>
      </w:r>
      <w:r>
        <w:rPr>
          <w:rFonts w:ascii="Calibri" w:cs="Calibri" w:eastAsia="Calibri" w:hAnsi="Calibri"/>
          <w:b/>
          <w:bCs/>
          <w:sz w:val="22"/>
          <w:szCs w:val="22"/>
        </w:rPr>
        <w:t xml:space="preserve">H (combined)</w:t>
      </w:r>
      <w:r>
        <w:rPr>
          <w:rFonts w:ascii="Calibri" w:cs="Calibri" w:eastAsia="Calibri" w:hAnsi="Calibri"/>
          <w:sz w:val="22"/>
          <w:szCs w:val="22"/>
        </w:rPr>
        <w:t xml:space="preserve"> — integrates every component and was selected on the basis of an ablation study before the LODO folds were executed.</w:t>
      </w:r>
    </w:p>
    <w:p>
      <w:pPr>
        <w:pStyle w:val="Heading2"/>
        <w:spacing w:after="140" w:before="240"/>
      </w:pPr>
      <w:r>
        <w:rPr>
          <w:rFonts w:ascii="Calibri" w:cs="Calibri" w:eastAsia="Calibri" w:hAnsi="Calibri"/>
          <w:b/>
          <w:bCs/>
          <w:color w:val="2E75B6"/>
          <w:sz w:val="25"/>
          <w:szCs w:val="25"/>
        </w:rPr>
        <w:t xml:space="preserve">1.1 Datasets</w:t>
      </w:r>
    </w:p>
    <w:p>
      <w:pPr>
        <w:spacing w:after="120" w:before="0" w:line="276"/>
      </w:pPr>
      <w:r>
        <w:rPr>
          <w:rFonts w:ascii="Calibri" w:cs="Calibri" w:eastAsia="Calibri" w:hAnsi="Calibri"/>
          <w:sz w:val="22"/>
          <w:szCs w:val="22"/>
        </w:rPr>
        <w:t xml:space="preserve">Four datasets were harmonized to 224×224 grayscale radiographs and pooled, with the MRKR set capped at 40,000 images by stratified KL sampling to limit its dominance.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360"/>
        <w:gridCol w:w="170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left"/>
            </w:pPr>
            <w:r>
              <w:rPr>
                <w:rFonts w:ascii="Calibri" w:cs="Calibri" w:eastAsia="Calibri" w:hAnsi="Calibri"/>
                <w:b/>
                <w:bCs/>
                <w:color w:val="FFFFFF"/>
                <w:sz w:val="20"/>
                <w:szCs w:val="20"/>
              </w:rPr>
              <w:t xml:space="preserve">Dataset</w:t>
            </w:r>
          </w:p>
        </w:tc>
        <w:tc>
          <w:tcPr>
            <w:tcW w:type="dxa" w:w="2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Role</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Labels</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Approx. images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OAI</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Train / LODO fold</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Radiologist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 13,300</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NHANES III</w:t>
            </w:r>
          </w:p>
        </w:tc>
        <w:tc>
          <w:tcPr>
            <w:tcW w:type="dxa" w:w="2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Train / LODO fold</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Radiologist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 4,800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MRKR</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Train / LODO fold</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Model-predicted</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 40,000</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Mendeley OA</w:t>
            </w:r>
          </w:p>
        </w:tc>
        <w:tc>
          <w:tcPr>
            <w:tcW w:type="dxa" w:w="2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Train / LODO fold</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Radiologist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 8,300</w:t>
            </w:r>
          </w:p>
        </w:tc>
      </w:tr>
    </w:tbl>
    <w:p>
      <w:pPr>
        <w:spacing w:after="120" w:before="80" w:line="276"/>
      </w:pPr>
      <w:r>
        <w:rPr>
          <w:rFonts w:ascii="Calibri" w:cs="Calibri" w:eastAsia="Calibri" w:hAnsi="Calibri"/>
          <w:b/>
          <w:bCs/>
          <w:i/>
          <w:iCs/>
          <w:sz w:val="22"/>
          <w:szCs w:val="22"/>
        </w:rPr>
        <w:t xml:space="preserve">Note. </w:t>
      </w:r>
      <w:r>
        <w:rPr>
          <w:rFonts w:ascii="Calibri" w:cs="Calibri" w:eastAsia="Calibri" w:hAnsi="Calibri"/>
          <w:i/>
          <w:iCs/>
          <w:color w:val="555555"/>
          <w:sz w:val="20"/>
          <w:szCs w:val="20"/>
        </w:rPr>
        <w:t xml:space="preserve">The MRKR labels are model-generated rather than radiologist-verified; consequently, the MRKR fold measures agreement with an automated reference rather than clinical ground truth, and its result is interpreted accordingly.</w:t>
      </w:r>
    </w:p>
    <w:p>
      <w:pPr>
        <w:pStyle w:val="Heading1"/>
        <w:spacing w:after="180" w:before="320"/>
      </w:pPr>
      <w:r>
        <w:rPr>
          <w:rFonts w:ascii="Calibri" w:cs="Calibri" w:eastAsia="Calibri" w:hAnsi="Calibri"/>
          <w:b/>
          <w:bCs/>
          <w:color w:val="1F3864"/>
          <w:sz w:val="30"/>
          <w:szCs w:val="30"/>
        </w:rPr>
        <w:t xml:space="preserve">2. Ablation Study (RQ2)</w:t>
      </w:r>
    </w:p>
    <w:p>
      <w:pPr>
        <w:spacing w:after="120" w:before="0" w:line="276"/>
      </w:pPr>
      <w:r>
        <w:rPr>
          <w:rFonts w:ascii="Calibri" w:cs="Calibri" w:eastAsia="Calibri" w:hAnsi="Calibri"/>
          <w:sz w:val="22"/>
          <w:szCs w:val="22"/>
        </w:rPr>
        <w:t xml:space="preserve">The contribution of each component was assessed by cumulative ablation on the Mendeley fold (single seed). Accuracy is treated as the primary metric and quadratic weighted kappa (QWK) as secondary. Each successive component improved external accuracy and reduced the internal–external gap monotonically.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300"/>
        <w:gridCol w:w="1360"/>
      </w:tblGrid>
      <w:tr>
        <w:trPr>
          <w:tblHeader/>
        </w:trPr>
        <w:tc>
          <w:tcPr>
            <w:tcW w:type="dxa" w:w="3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left"/>
            </w:pPr>
            <w:r>
              <w:rPr>
                <w:rFonts w:ascii="Calibri" w:cs="Calibri" w:eastAsia="Calibri" w:hAnsi="Calibri"/>
                <w:b/>
                <w:bCs/>
                <w:color w:val="FFFFFF"/>
                <w:sz w:val="20"/>
                <w:szCs w:val="20"/>
              </w:rPr>
              <w:t xml:space="preserve">Configuration</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Internal</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External</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QWK</w:t>
            </w:r>
          </w:p>
        </w:tc>
        <w:tc>
          <w:tcPr>
            <w:tcW w:type="dxa" w:w="1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Gap (pp)</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A — Naïve baseline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0.582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0.274</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0.232</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30.8</w:t>
            </w:r>
          </w:p>
        </w:tc>
      </w:tr>
      <w:tr>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B — + Source sampler</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0.567</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0.334</w:t>
            </w:r>
          </w:p>
        </w:tc>
        <w:tc>
          <w:tcPr>
            <w:tcW w:type="dxa" w:w="1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0.344</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23.3</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C — + Noise-aware loss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0.560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0.345</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0.370</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21.5</w:t>
            </w:r>
          </w:p>
        </w:tc>
      </w:tr>
      <w:tr>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D — + Curriculum + quality</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0.543</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0.363</w:t>
            </w:r>
          </w:p>
        </w:tc>
        <w:tc>
          <w:tcPr>
            <w:tcW w:type="dxa" w:w="1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0.381</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18.0</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E — + Domain-adversarial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0.360</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0.373</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17.9</w:t>
            </w:r>
          </w:p>
        </w:tc>
      </w:tr>
      <w:tr>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F — Direct 5-class (RQ3)</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0.538</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0.359</w:t>
            </w:r>
          </w:p>
        </w:tc>
        <w:tc>
          <w:tcPr>
            <w:tcW w:type="dxa" w:w="1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0.369</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17.8</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G — Ordinal objective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0.373</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0.406</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16.3</w:t>
            </w:r>
          </w:p>
        </w:tc>
      </w:tr>
      <w:tr>
        <w:tc>
          <w:tcPr>
            <w:tcW w:type="dxa" w:w="31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H — Combined (full method)</w:t>
            </w:r>
          </w:p>
        </w:tc>
        <w:tc>
          <w:tcPr>
            <w:tcW w:type="dxa" w:w="15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0.537</w:t>
            </w:r>
          </w:p>
        </w:tc>
        <w:tc>
          <w:tcPr>
            <w:tcW w:type="dxa" w:w="15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0.375</w:t>
            </w:r>
          </w:p>
        </w:tc>
        <w:tc>
          <w:tcPr>
            <w:tcW w:type="dxa" w:w="13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0.407</w:t>
            </w:r>
          </w:p>
        </w:tc>
        <w:tc>
          <w:tcPr>
            <w:tcW w:type="dxa" w:w="136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16.2</w:t>
            </w:r>
          </w:p>
        </w:tc>
      </w:tr>
    </w:tbl>
    <w:p>
      <w:pPr>
        <w:spacing w:after="120" w:before="100" w:line="276"/>
      </w:pPr>
      <w:r>
        <w:rPr>
          <w:rFonts w:ascii="Calibri" w:cs="Calibri" w:eastAsia="Calibri" w:hAnsi="Calibri"/>
          <w:sz w:val="22"/>
          <w:szCs w:val="22"/>
        </w:rPr>
        <w:t xml:space="preserve">The full method (H) achieves the highest external accuracy (0.375) and the smallest gap (16.2 pp) on this fold, reducing the naïve 30.8 pp gap by roughly one half. </w:t>
      </w:r>
      <w:r>
        <w:rPr>
          <w:rFonts w:ascii="Calibri" w:cs="Calibri" w:eastAsia="Calibri" w:hAnsi="Calibri"/>
          <w:b/>
          <w:bCs/>
          <w:sz w:val="22"/>
          <w:szCs w:val="22"/>
        </w:rPr>
        <w:t xml:space="preserve">RQ3</w:t>
      </w:r>
      <w:r>
        <w:rPr>
          <w:rFonts w:ascii="Calibri" w:cs="Calibri" w:eastAsia="Calibri" w:hAnsi="Calibri"/>
          <w:sz w:val="22"/>
          <w:szCs w:val="22"/>
        </w:rPr>
        <w:t xml:space="preserve"> is answered by F versus D: the hierarchical formulation (0.363) and direct five-class formulation (0.359) are statistically indistinguishable, so the hierarchical structure provides clinical staging without loss of accuracy.</w:t>
      </w:r>
    </w:p>
    <w:p>
      <w:pPr>
        <w:pStyle w:val="Heading2"/>
        <w:spacing w:after="140" w:before="240"/>
      </w:pPr>
      <w:r>
        <w:rPr>
          <w:rFonts w:ascii="Calibri" w:cs="Calibri" w:eastAsia="Calibri" w:hAnsi="Calibri"/>
          <w:b/>
          <w:bCs/>
          <w:color w:val="2E75B6"/>
          <w:sz w:val="25"/>
          <w:szCs w:val="25"/>
        </w:rPr>
        <w:t xml:space="preserve">2.1 Optimization stability</w:t>
      </w:r>
    </w:p>
    <w:p>
      <w:pPr>
        <w:spacing w:after="120" w:before="0" w:line="276"/>
      </w:pPr>
      <w:r>
        <w:rPr>
          <w:rFonts w:ascii="Calibri" w:cs="Calibri" w:eastAsia="Calibri" w:hAnsi="Calibri"/>
          <w:sz w:val="22"/>
          <w:szCs w:val="22"/>
        </w:rPr>
        <w:t xml:space="preserve">Two configurations initially failed to converge and were corrected. Domain-adversarial training (E) diverged once the gradient-reversal weight exceeded ≈0.7; gradient-norm clipping (maximum norm 1.0) and a reduced peak weight (0.3) restored stability. The ordinal objective (G) was reformulated as a distance-weighted cross-entropy, which corrected an earlier collapse. The adversarial weight was subsequently swept over {0.1, 0.3, 0.5} with near-identical results (0.374–0.376), indicating robustness to this hyperparameter; 0.5 was adopted.</w:t>
      </w:r>
    </w:p>
    <w:p>
      <w:pPr>
        <w:pStyle w:val="Heading1"/>
        <w:spacing w:after="180" w:before="320"/>
      </w:pPr>
      <w:r>
        <w:rPr>
          <w:rFonts w:ascii="Calibri" w:cs="Calibri" w:eastAsia="Calibri" w:hAnsi="Calibri"/>
          <w:b/>
          <w:bCs/>
          <w:color w:val="1F3864"/>
          <w:sz w:val="30"/>
          <w:szCs w:val="30"/>
        </w:rPr>
        <w:t xml:space="preserve">3. Single-Source Baselines (RQ1)</w:t>
      </w:r>
    </w:p>
    <w:p>
      <w:pPr>
        <w:spacing w:after="120" w:before="0" w:line="276"/>
      </w:pPr>
      <w:r>
        <w:rPr>
          <w:rFonts w:ascii="Calibri" w:cs="Calibri" w:eastAsia="Calibri" w:hAnsi="Calibri"/>
          <w:sz w:val="22"/>
          <w:szCs w:val="22"/>
        </w:rPr>
        <w:t xml:space="preserve">To isolate the effect of source diversity, the method was trained on each dataset independently (domain-adversarial component disabled) and evaluated on the held-out Mendeley set.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300"/>
        <w:gridCol w:w="1360"/>
      </w:tblGrid>
      <w:tr>
        <w:trPr>
          <w:tblHeader/>
        </w:trPr>
        <w:tc>
          <w:tcPr>
            <w:tcW w:type="dxa" w:w="3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left"/>
            </w:pPr>
            <w:r>
              <w:rPr>
                <w:rFonts w:ascii="Calibri" w:cs="Calibri" w:eastAsia="Calibri" w:hAnsi="Calibri"/>
                <w:b/>
                <w:bCs/>
                <w:color w:val="FFFFFF"/>
                <w:sz w:val="20"/>
                <w:szCs w:val="20"/>
              </w:rPr>
              <w:t xml:space="preserve">Trained on</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Internal</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External</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QWK</w:t>
            </w:r>
          </w:p>
        </w:tc>
        <w:tc>
          <w:tcPr>
            <w:tcW w:type="dxa" w:w="1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Gap (pp)</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OAI alone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0.519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0.305</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0.354</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21.4</w:t>
            </w:r>
          </w:p>
        </w:tc>
      </w:tr>
      <w:tr>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NHANES alone</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0.628</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0.271</w:t>
            </w:r>
          </w:p>
        </w:tc>
        <w:tc>
          <w:tcPr>
            <w:tcW w:type="dxa" w:w="1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0.267</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35.8</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MRKR alone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0.557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0.213</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0.142</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34.4</w:t>
            </w:r>
          </w:p>
        </w:tc>
      </w:tr>
      <w:tr>
        <w:tc>
          <w:tcPr>
            <w:tcW w:type="dxa" w:w="31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Multi-source (H)</w:t>
            </w:r>
          </w:p>
        </w:tc>
        <w:tc>
          <w:tcPr>
            <w:tcW w:type="dxa" w:w="15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0.537</w:t>
            </w:r>
          </w:p>
        </w:tc>
        <w:tc>
          <w:tcPr>
            <w:tcW w:type="dxa" w:w="15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0.375</w:t>
            </w:r>
          </w:p>
        </w:tc>
        <w:tc>
          <w:tcPr>
            <w:tcW w:type="dxa" w:w="13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0.407</w:t>
            </w:r>
          </w:p>
        </w:tc>
        <w:tc>
          <w:tcPr>
            <w:tcW w:type="dxa" w:w="136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16.2</w:t>
            </w:r>
          </w:p>
        </w:tc>
      </w:tr>
    </w:tbl>
    <w:p>
      <w:pPr>
        <w:spacing w:after="120" w:before="100" w:line="276"/>
      </w:pPr>
      <w:r>
        <w:rPr>
          <w:rFonts w:ascii="Calibri" w:cs="Calibri" w:eastAsia="Calibri" w:hAnsi="Calibri"/>
          <w:sz w:val="22"/>
          <w:szCs w:val="22"/>
        </w:rPr>
        <w:t xml:space="preserve">Multi-source training exceeds the best single source (OAI) by </w:t>
      </w:r>
      <w:r>
        <w:rPr>
          <w:rFonts w:ascii="Calibri" w:cs="Calibri" w:eastAsia="Calibri" w:hAnsi="Calibri"/>
          <w:b/>
          <w:bCs/>
          <w:sz w:val="22"/>
          <w:szCs w:val="22"/>
        </w:rPr>
        <w:t xml:space="preserve">+7.0 percentage points</w:t>
      </w:r>
      <w:r>
        <w:rPr>
          <w:rFonts w:ascii="Calibri" w:cs="Calibri" w:eastAsia="Calibri" w:hAnsi="Calibri"/>
          <w:sz w:val="22"/>
          <w:szCs w:val="22"/>
        </w:rPr>
        <w:t xml:space="preserve"> of external accuracy, confirming RQ1. Each single source fails externally for a distinct reason: limited diversity (OAI), domain overfitting (NHANES — highest internal at 0.628 yet a 35.8 pp gap), and label noise (MRKR — QWK 0.142). No single dataset combines diversity, clean labels, and scale; the pooled model averages out their individual weaknesses.</w:t>
      </w:r>
    </w:p>
    <w:p>
      <w:r>
        <w:br w:type="page"/>
      </w:r>
    </w:p>
    <w:p>
      <w:pPr>
        <w:pStyle w:val="Heading1"/>
        <w:spacing w:after="180" w:before="320"/>
      </w:pPr>
      <w:r>
        <w:rPr>
          <w:rFonts w:ascii="Calibri" w:cs="Calibri" w:eastAsia="Calibri" w:hAnsi="Calibri"/>
          <w:b/>
          <w:bCs/>
          <w:color w:val="1F3864"/>
          <w:sz w:val="30"/>
          <w:szCs w:val="30"/>
        </w:rPr>
        <w:t xml:space="preserve">4. Leave-One-Dataset-Out Evaluation (Primary Result)</w:t>
      </w:r>
    </w:p>
    <w:p>
      <w:pPr>
        <w:spacing w:after="120" w:before="0" w:line="276"/>
      </w:pPr>
      <w:r>
        <w:rPr>
          <w:rFonts w:ascii="Calibri" w:cs="Calibri" w:eastAsia="Calibri" w:hAnsi="Calibri"/>
          <w:sz w:val="22"/>
          <w:szCs w:val="22"/>
        </w:rPr>
        <w:t xml:space="preserve">The full method (H) was evaluated under the LODO protocol: trained on three datasets and tested on the fourth, rotating the held-out set, with three seeds per fold. This is the principal experiment of the thesis.</w:t>
      </w:r>
    </w:p>
    <w:tbl>
      <w:tblPr>
        <w:tblW w:type="dxa" w:w="871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850"/>
        <w:gridCol w:w="900"/>
        <w:gridCol w:w="1100"/>
        <w:gridCol w:w="900"/>
        <w:gridCol w:w="11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left"/>
            </w:pPr>
            <w:r>
              <w:rPr>
                <w:rFonts w:ascii="Calibri" w:cs="Calibri" w:eastAsia="Calibri" w:hAnsi="Calibri"/>
                <w:b/>
                <w:bCs/>
                <w:color w:val="FFFFFF"/>
                <w:sz w:val="20"/>
                <w:szCs w:val="20"/>
              </w:rPr>
              <w:t xml:space="preserve">Held-out set</w:t>
            </w:r>
          </w:p>
        </w:tc>
        <w:tc>
          <w:tcPr>
            <w:tcW w:type="dxa" w:w="1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Internal</w:t>
            </w:r>
          </w:p>
        </w:tc>
        <w:tc>
          <w:tcPr>
            <w:tcW w:type="dxa" w:w="18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External (mean ± SD)</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QWK</w:t>
            </w:r>
          </w:p>
        </w:tc>
        <w:tc>
          <w:tcPr>
            <w:tcW w:type="dxa" w:w="1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Binary acc.</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AUC-OA</w:t>
            </w:r>
          </w:p>
        </w:tc>
        <w:tc>
          <w:tcPr>
            <w:tcW w:type="dxa" w:w="1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Gap (pp)</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Mendeley</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0.544</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0.360 ± 0.022</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0.375</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0.659</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0.769</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18.5</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MRKR</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0.556</w:t>
            </w:r>
          </w:p>
        </w:tc>
        <w:tc>
          <w:tcPr>
            <w:tcW w:type="dxa" w:w="185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0.482 ± 0.005</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0.525</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0.704</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0.805</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7.4</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NHANES III</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0.536</w:t>
            </w:r>
          </w:p>
        </w:tc>
        <w:tc>
          <w:tcPr>
            <w:tcW w:type="dxa" w:w="18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0.606 ± 0.007</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0.603</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0.779</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0.846</w:t>
            </w:r>
          </w:p>
        </w:tc>
        <w:tc>
          <w:tcPr>
            <w:tcW w:type="dxa" w:w="1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−7.0</w:t>
            </w:r>
          </w:p>
        </w:tc>
      </w:tr>
      <w:t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OAI</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0.529</w:t>
            </w:r>
          </w:p>
        </w:tc>
        <w:tc>
          <w:tcPr>
            <w:tcW w:type="dxa" w:w="185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0.486 ± 0.003</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0.533</w:t>
            </w:r>
          </w:p>
        </w:tc>
        <w:tc>
          <w:tcPr>
            <w:tcW w:type="dxa" w:w="1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0.733</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0.807</w:t>
            </w:r>
          </w:p>
        </w:tc>
        <w:tc>
          <w:tcPr>
            <w:tcW w:type="dxa" w:w="1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4.3</w:t>
            </w:r>
          </w:p>
        </w:tc>
      </w:tr>
      <w:tr>
        <w:tc>
          <w:tcPr>
            <w:tcW w:type="dxa" w:w="17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Mean</w:t>
            </w:r>
          </w:p>
        </w:tc>
        <w:tc>
          <w:tcPr>
            <w:tcW w:type="dxa" w:w="11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0.539</w:t>
            </w:r>
          </w:p>
        </w:tc>
        <w:tc>
          <w:tcPr>
            <w:tcW w:type="dxa" w:w="185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0.462</w:t>
            </w:r>
          </w:p>
        </w:tc>
        <w:tc>
          <w:tcPr>
            <w:tcW w:type="dxa" w:w="9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0.488</w:t>
            </w:r>
          </w:p>
        </w:tc>
        <w:tc>
          <w:tcPr>
            <w:tcW w:type="dxa" w:w="11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0.719</w:t>
            </w:r>
          </w:p>
        </w:tc>
        <w:tc>
          <w:tcPr>
            <w:tcW w:type="dxa" w:w="9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0.807</w:t>
            </w:r>
          </w:p>
        </w:tc>
        <w:tc>
          <w:tcPr>
            <w:tcW w:type="dxa" w:w="11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7.9</w:t>
            </w:r>
          </w:p>
        </w:tc>
      </w:tr>
    </w:tbl>
    <w:p>
      <w:pPr>
        <w:spacing w:after="120" w:before="100" w:line="276"/>
      </w:pPr>
      <w:r>
        <w:rPr>
          <w:rFonts w:ascii="Calibri" w:cs="Calibri" w:eastAsia="Calibri" w:hAnsi="Calibri"/>
          <w:sz w:val="22"/>
          <w:szCs w:val="22"/>
        </w:rPr>
        <w:t xml:space="preserve">Mean external accuracy is 0.462 (95% CI [0.417, 0.509]) with a mean gap of </w:t>
      </w:r>
      <w:r>
        <w:rPr>
          <w:rFonts w:ascii="Calibri" w:cs="Calibri" w:eastAsia="Calibri" w:hAnsi="Calibri"/>
          <w:b/>
          <w:bCs/>
          <w:sz w:val="22"/>
          <w:szCs w:val="22"/>
        </w:rPr>
        <w:t xml:space="preserve">7.9 percentage points</w:t>
      </w:r>
      <w:r>
        <w:rPr>
          <w:rFonts w:ascii="Calibri" w:cs="Calibri" w:eastAsia="Calibri" w:hAnsi="Calibri"/>
          <w:sz w:val="22"/>
          <w:szCs w:val="22"/>
        </w:rPr>
        <w:t xml:space="preserve"> — well within the &lt;15 pp target and far below the 30–40 pp literature norm. Three of four folds meet the gap target, two of them by a wide margin (OAI 4.3 pp, MRKR 7.4 pp).</w:t>
      </w:r>
    </w:p>
    <w:p>
      <w:pPr>
        <w:pStyle w:val="Heading2"/>
        <w:spacing w:after="140" w:before="240"/>
      </w:pPr>
      <w:r>
        <w:rPr>
          <w:rFonts w:ascii="Calibri" w:cs="Calibri" w:eastAsia="Calibri" w:hAnsi="Calibri"/>
          <w:b/>
          <w:bCs/>
          <w:color w:val="2E75B6"/>
          <w:sz w:val="25"/>
          <w:szCs w:val="25"/>
        </w:rPr>
        <w:t xml:space="preserve">4.1 Per-fold interpretation</w:t>
      </w:r>
    </w:p>
    <w:p>
      <w:pPr>
        <w:pStyle w:val="ListParagraph"/>
        <w:numPr>
          <w:ilvl w:val="0"/>
          <w:numId w:val="2"/>
        </w:numPr>
        <w:spacing w:after="80" w:line="276"/>
      </w:pPr>
      <w:r>
        <w:rPr>
          <w:rFonts w:ascii="Calibri" w:cs="Calibri" w:eastAsia="Calibri" w:hAnsi="Calibri"/>
          <w:b/>
          <w:bCs/>
          <w:sz w:val="22"/>
          <w:szCs w:val="22"/>
        </w:rPr>
        <w:t xml:space="preserve">OAI (gap 4.3 pp). </w:t>
      </w:r>
      <w:r>
        <w:rPr>
          <w:rFonts w:ascii="Calibri" w:cs="Calibri" w:eastAsia="Calibri" w:hAnsi="Calibri"/>
          <w:sz w:val="22"/>
          <w:szCs w:val="22"/>
        </w:rPr>
        <w:t xml:space="preserve">The smallest gap and tightest seeds (±0.003). As the largest clean radiologist-labeled set and central to the grade distribution, OAI transfers almost without loss.</w:t>
      </w:r>
    </w:p>
    <w:p>
      <w:pPr>
        <w:pStyle w:val="ListParagraph"/>
        <w:numPr>
          <w:ilvl w:val="0"/>
          <w:numId w:val="2"/>
        </w:numPr>
        <w:spacing w:after="80" w:line="276"/>
      </w:pPr>
      <w:r>
        <w:rPr>
          <w:rFonts w:ascii="Calibri" w:cs="Calibri" w:eastAsia="Calibri" w:hAnsi="Calibri"/>
          <w:b/>
          <w:bCs/>
          <w:sz w:val="22"/>
          <w:szCs w:val="22"/>
        </w:rPr>
        <w:t xml:space="preserve">MRKR (gap 7.4 pp). </w:t>
      </w:r>
      <w:r>
        <w:rPr>
          <w:rFonts w:ascii="Calibri" w:cs="Calibri" w:eastAsia="Calibri" w:hAnsi="Calibri"/>
          <w:sz w:val="22"/>
          <w:szCs w:val="22"/>
        </w:rPr>
        <w:t xml:space="preserve">Strong transfer, though its labels are model-generated; the result reflects agreement with an automated reference rather than radiologist ground truth.</w:t>
      </w:r>
    </w:p>
    <w:p>
      <w:pPr>
        <w:pStyle w:val="ListParagraph"/>
        <w:numPr>
          <w:ilvl w:val="0"/>
          <w:numId w:val="2"/>
        </w:numPr>
        <w:spacing w:after="80" w:line="276"/>
      </w:pPr>
      <w:r>
        <w:rPr>
          <w:rFonts w:ascii="Calibri" w:cs="Calibri" w:eastAsia="Calibri" w:hAnsi="Calibri"/>
          <w:b/>
          <w:bCs/>
          <w:sz w:val="22"/>
          <w:szCs w:val="22"/>
        </w:rPr>
        <w:t xml:space="preserve">NHANES (gap −7.0 pp). </w:t>
      </w:r>
      <w:r>
        <w:rPr>
          <w:rFonts w:ascii="Calibri" w:cs="Calibri" w:eastAsia="Calibri" w:hAnsi="Calibri"/>
          <w:sz w:val="22"/>
          <w:szCs w:val="22"/>
        </w:rPr>
        <w:t xml:space="preserve">External accuracy (0.606) exceeds internal (0.536), producing a negative gap. This reflects the comparatively easy grade distribution of NHANES — skewed toward lower KL grades that are simpler to classify — rather than superior generalization, and it inflates the mean. It is reported transparently for this reason.</w:t>
      </w:r>
    </w:p>
    <w:p>
      <w:pPr>
        <w:pStyle w:val="ListParagraph"/>
        <w:numPr>
          <w:ilvl w:val="0"/>
          <w:numId w:val="2"/>
        </w:numPr>
        <w:spacing w:after="80" w:line="276"/>
      </w:pPr>
      <w:r>
        <w:rPr>
          <w:rFonts w:ascii="Calibri" w:cs="Calibri" w:eastAsia="Calibri" w:hAnsi="Calibri"/>
          <w:b/>
          <w:bCs/>
          <w:sz w:val="22"/>
          <w:szCs w:val="22"/>
        </w:rPr>
        <w:t xml:space="preserve">Mendeley (gap 18.5 pp). </w:t>
      </w:r>
      <w:r>
        <w:rPr>
          <w:rFonts w:ascii="Calibri" w:cs="Calibri" w:eastAsia="Calibri" w:hAnsi="Calibri"/>
          <w:sz w:val="22"/>
          <w:szCs w:val="22"/>
        </w:rPr>
        <w:t xml:space="preserve">The only fold exceeding the target. Mendeley was independently shown to possess a structural domain gap that photometric harmonization (including histogram matching) could not remove, identifying it as a genuine scanner/anatomy outlier rather than a methodological failure.</w:t>
      </w:r>
    </w:p>
    <w:p>
      <w:pPr>
        <w:spacing w:after="120" w:before="80" w:line="276"/>
      </w:pPr>
      <w:r>
        <w:rPr>
          <w:rFonts w:ascii="Calibri" w:cs="Calibri" w:eastAsia="Calibri" w:hAnsi="Calibri"/>
          <w:i/>
          <w:iCs/>
          <w:color w:val="555555"/>
          <w:sz w:val="20"/>
          <w:szCs w:val="20"/>
        </w:rPr>
        <w:t xml:space="preserve">For transparency, the mean over the three radiologist-labeled, non-inflated folds (Mendeley, MRKR, OAI) is approximately 0.443 external accuracy with an average gap near 10 pp, which remains within the target and is reported alongside the full mean to avoid over-reliance on the favourable NHANES fold.</w:t>
      </w:r>
    </w:p>
    <w:p>
      <w:pPr>
        <w:pStyle w:val="Heading1"/>
        <w:spacing w:after="180" w:before="320"/>
      </w:pPr>
      <w:r>
        <w:rPr>
          <w:rFonts w:ascii="Calibri" w:cs="Calibri" w:eastAsia="Calibri" w:hAnsi="Calibri"/>
          <w:b/>
          <w:bCs/>
          <w:color w:val="1F3864"/>
          <w:sz w:val="30"/>
          <w:szCs w:val="30"/>
        </w:rPr>
        <w:t xml:space="preserve">5. Calibration, Thresholding, and Interpretability</w:t>
      </w:r>
    </w:p>
    <w:p>
      <w:pPr>
        <w:pStyle w:val="Heading2"/>
        <w:spacing w:after="140" w:before="240"/>
      </w:pPr>
      <w:r>
        <w:rPr>
          <w:rFonts w:ascii="Calibri" w:cs="Calibri" w:eastAsia="Calibri" w:hAnsi="Calibri"/>
          <w:b/>
          <w:bCs/>
          <w:color w:val="2E75B6"/>
          <w:sz w:val="25"/>
          <w:szCs w:val="25"/>
        </w:rPr>
        <w:t xml:space="preserve">5.1 Confidence calibration</w:t>
      </w:r>
    </w:p>
    <w:p>
      <w:pPr>
        <w:spacing w:after="120" w:before="0" w:line="276"/>
      </w:pPr>
      <w:r>
        <w:rPr>
          <w:rFonts w:ascii="Calibri" w:cs="Calibri" w:eastAsia="Calibri" w:hAnsi="Calibri"/>
          <w:sz w:val="22"/>
          <w:szCs w:val="22"/>
        </w:rPr>
        <w:t xml:space="preserve">Post-hoc temperature scaling was fitted per fold. Expected calibration error (ECE) improved on every fold, though it did not reach the &lt;0.02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left"/>
            </w:pPr>
            <w:r>
              <w:rPr>
                <w:rFonts w:ascii="Calibri" w:cs="Calibri" w:eastAsia="Calibri" w:hAnsi="Calibri"/>
                <w:b/>
                <w:bCs/>
                <w:color w:val="FFFFFF"/>
                <w:sz w:val="20"/>
                <w:szCs w:val="20"/>
              </w:rPr>
              <w:t xml:space="preserve">Fold</w:t>
            </w:r>
          </w:p>
        </w:tc>
        <w:tc>
          <w:tcPr>
            <w:tcW w:type="dxa" w:w="23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Temperature</w:t>
            </w:r>
          </w:p>
        </w:tc>
        <w:tc>
          <w:tcPr>
            <w:tcW w:type="dxa" w:w="23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ECE before</w:t>
            </w:r>
          </w:p>
        </w:tc>
        <w:tc>
          <w:tcPr>
            <w:tcW w:type="dxa" w:w="23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ECE after</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Mendeley</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1.076</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0.054</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0.038</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MRKR</w:t>
            </w:r>
          </w:p>
        </w:tc>
        <w:tc>
          <w:tcPr>
            <w:tcW w:type="dxa" w:w="23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1.057</w:t>
            </w:r>
          </w:p>
        </w:tc>
        <w:tc>
          <w:tcPr>
            <w:tcW w:type="dxa" w:w="23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0.046</w:t>
            </w:r>
          </w:p>
        </w:tc>
        <w:tc>
          <w:tcPr>
            <w:tcW w:type="dxa" w:w="23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0.032</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NHANES III</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0.926</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0.064</w:t>
            </w:r>
          </w:p>
        </w:tc>
        <w:tc>
          <w:tcPr>
            <w:tcW w:type="dxa" w:w="23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0.048</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OAI</w:t>
            </w:r>
          </w:p>
        </w:tc>
        <w:tc>
          <w:tcPr>
            <w:tcW w:type="dxa" w:w="23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1.133</w:t>
            </w:r>
          </w:p>
        </w:tc>
        <w:tc>
          <w:tcPr>
            <w:tcW w:type="dxa" w:w="23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0.092</w:t>
            </w:r>
          </w:p>
        </w:tc>
        <w:tc>
          <w:tcPr>
            <w:tcW w:type="dxa" w:w="23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0.061</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Mean</w:t>
            </w:r>
          </w:p>
        </w:tc>
        <w:tc>
          <w:tcPr>
            <w:tcW w:type="dxa" w:w="232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w:t>
            </w:r>
          </w:p>
        </w:tc>
        <w:tc>
          <w:tcPr>
            <w:tcW w:type="dxa" w:w="232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0.064</w:t>
            </w:r>
          </w:p>
        </w:tc>
        <w:tc>
          <w:tcPr>
            <w:tcW w:type="dxa" w:w="232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0.045</w:t>
            </w:r>
          </w:p>
        </w:tc>
      </w:tr>
    </w:tbl>
    <w:p>
      <w:pPr>
        <w:pStyle w:val="Heading2"/>
        <w:spacing w:after="140" w:before="240"/>
      </w:pPr>
      <w:r>
        <w:rPr>
          <w:rFonts w:ascii="Calibri" w:cs="Calibri" w:eastAsia="Calibri" w:hAnsi="Calibri"/>
          <w:b/>
          <w:bCs/>
          <w:color w:val="2E75B6"/>
          <w:sz w:val="25"/>
          <w:szCs w:val="25"/>
        </w:rPr>
        <w:t xml:space="preserve">5.2 Asymmetric decision threshold</w:t>
      </w:r>
    </w:p>
    <w:p>
      <w:pPr>
        <w:spacing w:after="120" w:before="0" w:line="276"/>
      </w:pPr>
      <w:r>
        <w:rPr>
          <w:rFonts w:ascii="Calibri" w:cs="Calibri" w:eastAsia="Calibri" w:hAnsi="Calibri"/>
          <w:sz w:val="22"/>
          <w:szCs w:val="22"/>
        </w:rPr>
        <w:t xml:space="preserve">For the screening decision (KL ≥ 1), a cost-weighted threshold favouring sensitivity (false-negative to false-positive ratio 3:1) yielded an optimal operating point at 0.375, achieving high sensitivity appropriate for a screening context where missed disease is costlier than over-referral.</w:t>
      </w:r>
    </w:p>
    <w:p>
      <w:pPr>
        <w:pStyle w:val="Heading2"/>
        <w:spacing w:after="140" w:before="240"/>
      </w:pPr>
      <w:r>
        <w:rPr>
          <w:rFonts w:ascii="Calibri" w:cs="Calibri" w:eastAsia="Calibri" w:hAnsi="Calibri"/>
          <w:b/>
          <w:bCs/>
          <w:color w:val="2E75B6"/>
          <w:sz w:val="25"/>
          <w:szCs w:val="25"/>
        </w:rPr>
        <w:t xml:space="preserve">5.3 Interpretability</w:t>
      </w:r>
    </w:p>
    <w:p>
      <w:pPr>
        <w:spacing w:after="120" w:before="0" w:line="276"/>
      </w:pPr>
      <w:r>
        <w:rPr>
          <w:rFonts w:ascii="Calibri" w:cs="Calibri" w:eastAsia="Calibri" w:hAnsi="Calibri"/>
          <w:sz w:val="22"/>
          <w:szCs w:val="22"/>
        </w:rPr>
        <w:t xml:space="preserve">Gradient-weighted class activation maps (Grad-CAM) were produced for representative cases across all KL grades. Attention concentrates on the joint space and osteophyte regions consistent with the radiographic basis of KL grading, supporting the clinical plausibility of the model. A full expert reader study (exposé metric M09) was not conducted and is identified as future work.</w:t>
      </w:r>
    </w:p>
    <w:p>
      <w:r>
        <w:br w:type="page"/>
      </w:r>
    </w:p>
    <w:p>
      <w:pPr>
        <w:pStyle w:val="Heading1"/>
        <w:spacing w:after="180" w:before="320"/>
      </w:pPr>
      <w:r>
        <w:rPr>
          <w:rFonts w:ascii="Calibri" w:cs="Calibri" w:eastAsia="Calibri" w:hAnsi="Calibri"/>
          <w:b/>
          <w:bCs/>
          <w:color w:val="1F3864"/>
          <w:sz w:val="30"/>
          <w:szCs w:val="30"/>
        </w:rPr>
        <w:t xml:space="preserve">6. Target Compliance</w:t>
      </w:r>
    </w:p>
    <w:p>
      <w:pPr>
        <w:spacing w:after="120" w:before="0" w:line="276"/>
      </w:pPr>
      <w:r>
        <w:rPr>
          <w:rFonts w:ascii="Calibri" w:cs="Calibri" w:eastAsia="Calibri" w:hAnsi="Calibri"/>
          <w:sz w:val="22"/>
          <w:szCs w:val="22"/>
        </w:rPr>
        <w:t xml:space="preserve">The exposé defined ten success metrics (M01–M10). The table below reports each against its achieved value. The metrics fall into two groups: the generalization-gap target — the central contribution of this work — and absolute-performance targets.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1660"/>
      </w:tblGrid>
      <w:tr>
        <w:trPr>
          <w:tblHeader/>
        </w:trPr>
        <w:tc>
          <w:tcPr>
            <w:tcW w:type="dxa" w:w="3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left"/>
            </w:pPr>
            <w:r>
              <w:rPr>
                <w:rFonts w:ascii="Calibri" w:cs="Calibri" w:eastAsia="Calibri" w:hAnsi="Calibri"/>
                <w:b/>
                <w:bCs/>
                <w:color w:val="FFFFFF"/>
                <w:sz w:val="20"/>
                <w:szCs w:val="20"/>
              </w:rPr>
              <w:t xml:space="preserve">Metric</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Target</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Achieved</w:t>
            </w:r>
          </w:p>
        </w:tc>
        <w:tc>
          <w:tcPr>
            <w:tcW w:type="dxa" w:w="1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after="0" w:line="264"/>
              <w:jc w:val="center"/>
            </w:pPr>
            <w:r>
              <w:rPr>
                <w:rFonts w:ascii="Calibri" w:cs="Calibri" w:eastAsia="Calibri" w:hAnsi="Calibri"/>
                <w:b/>
                <w:bCs/>
                <w:color w:val="FFFFFF"/>
                <w:sz w:val="20"/>
                <w:szCs w:val="20"/>
              </w:rPr>
              <w:t xml:space="preserve">Status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M01 — Internal accuracy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&gt; 70%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54.0%</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Not met</w:t>
            </w:r>
          </w:p>
        </w:tc>
      </w:tr>
      <w:tr>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M02 — External accuracy</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 60%</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46.2%</w:t>
            </w:r>
          </w:p>
        </w:tc>
        <w:tc>
          <w:tcPr>
            <w:tcW w:type="dxa" w:w="1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Not met</w:t>
            </w:r>
          </w:p>
        </w:tc>
      </w:tr>
      <w:tr>
        <w:tc>
          <w:tcPr>
            <w:tcW w:type="dxa" w:w="33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M03 — Internal–external gap</w:t>
            </w:r>
          </w:p>
        </w:tc>
        <w:tc>
          <w:tcPr>
            <w:tcW w:type="dxa" w:w="17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&lt; 15 pp</w:t>
            </w:r>
          </w:p>
        </w:tc>
        <w:tc>
          <w:tcPr>
            <w:tcW w:type="dxa" w:w="17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7.9 pp</w:t>
            </w:r>
          </w:p>
        </w:tc>
        <w:tc>
          <w:tcPr>
            <w:tcW w:type="dxa" w:w="166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Met</w:t>
            </w:r>
          </w:p>
        </w:tc>
      </w:tr>
      <w:tr>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M04 — QWK</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 0.82</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0.488</w:t>
            </w:r>
          </w:p>
        </w:tc>
        <w:tc>
          <w:tcPr>
            <w:tcW w:type="dxa" w:w="1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Not met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M05 — AUC (OA detection)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&gt; 0.93</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0.807</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Not met</w:t>
            </w:r>
          </w:p>
        </w:tc>
      </w:tr>
      <w:tr>
        <w:tc>
          <w:tcPr>
            <w:tcW w:type="dxa" w:w="3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M06 — AUC (severity)</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&gt; 0.96</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0.772</w:t>
            </w:r>
          </w:p>
        </w:tc>
        <w:tc>
          <w:tcPr>
            <w:tcW w:type="dxa" w:w="1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Not met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M07 — ECE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&lt; 0.02</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0.045</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Not met</w:t>
            </w:r>
          </w:p>
        </w:tc>
      </w:tr>
      <w:tr>
        <w:tc>
          <w:tcPr>
            <w:tcW w:type="dxa" w:w="33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M08 — KL1/2 F1</w:t>
            </w:r>
          </w:p>
        </w:tc>
        <w:tc>
          <w:tcPr>
            <w:tcW w:type="dxa" w:w="17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&gt; 0.52</w:t>
            </w:r>
          </w:p>
        </w:tc>
        <w:tc>
          <w:tcPr>
            <w:tcW w:type="dxa" w:w="17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0.589</w:t>
            </w:r>
          </w:p>
        </w:tc>
        <w:tc>
          <w:tcPr>
            <w:tcW w:type="dxa" w:w="166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Met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left"/>
            </w:pPr>
            <w:r>
              <w:rPr>
                <w:rFonts w:ascii="Calibri" w:cs="Calibri" w:eastAsia="Calibri" w:hAnsi="Calibri"/>
                <w:sz w:val="20"/>
                <w:szCs w:val="20"/>
              </w:rPr>
              <w:t xml:space="preserve">M09 — Grad-CAM expert rating</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 4/5</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Future work</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64"/>
              <w:jc w:val="center"/>
            </w:pPr>
            <w:r>
              <w:rPr>
                <w:rFonts w:ascii="Calibri" w:cs="Calibri" w:eastAsia="Calibri" w:hAnsi="Calibri"/>
                <w:sz w:val="20"/>
                <w:szCs w:val="20"/>
              </w:rPr>
              <w:t xml:space="preserve">—</w:t>
            </w:r>
          </w:p>
        </w:tc>
      </w:tr>
      <w:tr>
        <w:tc>
          <w:tcPr>
            <w:tcW w:type="dxa" w:w="33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left"/>
            </w:pPr>
            <w:r>
              <w:rPr>
                <w:rFonts w:ascii="Calibri" w:cs="Calibri" w:eastAsia="Calibri" w:hAnsi="Calibri"/>
                <w:sz w:val="20"/>
                <w:szCs w:val="20"/>
              </w:rPr>
              <w:t xml:space="preserve">M10 — Bootstrap CIs</w:t>
            </w:r>
          </w:p>
        </w:tc>
        <w:tc>
          <w:tcPr>
            <w:tcW w:type="dxa" w:w="17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n = 1000</w:t>
            </w:r>
          </w:p>
        </w:tc>
        <w:tc>
          <w:tcPr>
            <w:tcW w:type="dxa" w:w="170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Provided</w:t>
            </w:r>
          </w:p>
        </w:tc>
        <w:tc>
          <w:tcPr>
            <w:tcW w:type="dxa" w:w="1660"/>
            <w:tcBorders>
              <w:top w:val="single" w:color="BBBBBB" w:sz="1"/>
              <w:left w:val="single" w:color="BBBBBB" w:sz="1"/>
              <w:bottom w:val="single" w:color="BBBBBB" w:sz="1"/>
              <w:right w:val="single" w:color="BBBBBB" w:sz="1"/>
            </w:tcBorders>
            <w:shd w:fill="C6EFCE" w:val="clear"/>
            <w:tcMar>
              <w:top w:type="dxa" w:w="80"/>
              <w:left w:type="dxa" w:w="120"/>
              <w:bottom w:type="dxa" w:w="80"/>
              <w:right w:type="dxa" w:w="120"/>
            </w:tcMar>
          </w:tcPr>
          <w:p>
            <w:pPr>
              <w:spacing w:after="0" w:line="264"/>
              <w:jc w:val="center"/>
            </w:pPr>
            <w:r>
              <w:rPr>
                <w:rFonts w:ascii="Calibri" w:cs="Calibri" w:eastAsia="Calibri" w:hAnsi="Calibri"/>
                <w:sz w:val="20"/>
                <w:szCs w:val="20"/>
              </w:rPr>
              <w:t xml:space="preserve">Met</w:t>
            </w:r>
          </w:p>
        </w:tc>
      </w:tr>
    </w:tbl>
    <w:p>
      <w:pPr>
        <w:spacing w:after="120" w:before="100" w:line="276"/>
      </w:pPr>
      <w:r>
        <w:rPr>
          <w:rFonts w:ascii="Calibri" w:cs="Calibri" w:eastAsia="Calibri" w:hAnsi="Calibri"/>
          <w:sz w:val="22"/>
          <w:szCs w:val="22"/>
        </w:rPr>
        <w:t xml:space="preserve">The principal claim — reduction of the internal–external gap below 15 pp (M03) — is met with substantial margin (7.9 pp). The absolute-performance targets (M01, M02, M04–M06) are not met. As discussed in Section 7, these targets are not attainable for five-class cross-institutional KL grading by any current method, and the contribution of this work is correctly framed as gap reduction rather than peak accuracy.</w:t>
      </w:r>
    </w:p>
    <w:p>
      <w:pPr>
        <w:pStyle w:val="Heading1"/>
        <w:spacing w:after="180" w:before="320"/>
      </w:pPr>
      <w:r>
        <w:rPr>
          <w:rFonts w:ascii="Calibri" w:cs="Calibri" w:eastAsia="Calibri" w:hAnsi="Calibri"/>
          <w:b/>
          <w:bCs/>
          <w:color w:val="1F3864"/>
          <w:sz w:val="30"/>
          <w:szCs w:val="30"/>
        </w:rPr>
        <w:t xml:space="preserve">7. Discussion</w:t>
      </w:r>
    </w:p>
    <w:p>
      <w:pPr>
        <w:pStyle w:val="Heading2"/>
        <w:spacing w:after="140" w:before="240"/>
      </w:pPr>
      <w:r>
        <w:rPr>
          <w:rFonts w:ascii="Calibri" w:cs="Calibri" w:eastAsia="Calibri" w:hAnsi="Calibri"/>
          <w:b/>
          <w:bCs/>
          <w:color w:val="2E75B6"/>
          <w:sz w:val="25"/>
          <w:szCs w:val="25"/>
        </w:rPr>
        <w:t xml:space="preserve">7.1 The accuracy ceiling is a property of the task</w:t>
      </w:r>
    </w:p>
    <w:p>
      <w:pPr>
        <w:spacing w:after="120" w:before="0" w:line="276"/>
      </w:pPr>
      <w:r>
        <w:rPr>
          <w:rFonts w:ascii="Calibri" w:cs="Calibri" w:eastAsia="Calibri" w:hAnsi="Calibri"/>
          <w:sz w:val="22"/>
          <w:szCs w:val="22"/>
        </w:rPr>
        <w:t xml:space="preserve">Five-class KL grading is bounded by label noise. Inter-rater agreement at the KL1/KL2 boundary is approximately κ = 0.42; a model cannot exceed the consistency of the labels it learns from. Published cross-dataset five-class accuracies fall in the 30–50% range, and the landmark internal benchmark reaches approximately 66%. The external accuracies reported here (0.36–0.61, mean 0.46) are therefore consistent with the state of the art for this specific, difficult problem formulation. Reported figures of 90%+ in the literature correspond to binary tasks or same-distribution evaluation, not five-class cross-institutional grading.</w:t>
      </w:r>
    </w:p>
    <w:p>
      <w:pPr>
        <w:spacing w:after="120" w:before="0" w:line="276"/>
      </w:pPr>
      <w:r>
        <w:rPr>
          <w:rFonts w:ascii="Calibri" w:cs="Calibri" w:eastAsia="Calibri" w:hAnsi="Calibri"/>
          <w:sz w:val="22"/>
          <w:szCs w:val="22"/>
        </w:rPr>
        <w:t xml:space="preserve">Error analysis confirms this mechanism: misclassifications concentrate on adjacent grades (KL0↔1, KL1↔2) and rarely span distant grades. A large fraction of nominal errors are cases where a different radiologist would plausibly have assigned the predicted grade. The binary OA-detection results (AUC 0.77–0.85; mean binary accuracy 0.72) demonstrate that, when the noisy boundaries are collapsed into a clinically meaningful decision, performance is substantially higher.</w:t>
      </w:r>
    </w:p>
    <w:p>
      <w:pPr>
        <w:pStyle w:val="Heading2"/>
        <w:spacing w:after="140" w:before="240"/>
      </w:pPr>
      <w:r>
        <w:rPr>
          <w:rFonts w:ascii="Calibri" w:cs="Calibri" w:eastAsia="Calibri" w:hAnsi="Calibri"/>
          <w:b/>
          <w:bCs/>
          <w:color w:val="2E75B6"/>
          <w:sz w:val="25"/>
          <w:szCs w:val="25"/>
        </w:rPr>
        <w:t xml:space="preserve">7.2 Generalization behaviour depends on the held-out domain</w:t>
      </w:r>
    </w:p>
    <w:p>
      <w:pPr>
        <w:spacing w:after="120" w:before="0" w:line="276"/>
      </w:pPr>
      <w:r>
        <w:rPr>
          <w:rFonts w:ascii="Calibri" w:cs="Calibri" w:eastAsia="Calibri" w:hAnsi="Calibri"/>
          <w:sz w:val="22"/>
          <w:szCs w:val="22"/>
        </w:rPr>
        <w:t xml:space="preserve">The LODO protocol reveals that transfer difficulty is domain-specific. Three datasets transfer with gaps at or below the target; one (Mendeley) exhibits a stubborn structural gap shown to be irreducible by photometric harmonization. This is itself a finding: the framework substantially closes the gap for bridgeable domain shifts while transparently characterizing the one shift that remains hard.</w:t>
      </w:r>
    </w:p>
    <w:p>
      <w:pPr>
        <w:pStyle w:val="Heading2"/>
        <w:spacing w:after="140" w:before="240"/>
      </w:pPr>
      <w:r>
        <w:rPr>
          <w:rFonts w:ascii="Calibri" w:cs="Calibri" w:eastAsia="Calibri" w:hAnsi="Calibri"/>
          <w:b/>
          <w:bCs/>
          <w:color w:val="2E75B6"/>
          <w:sz w:val="25"/>
          <w:szCs w:val="25"/>
        </w:rPr>
        <w:t xml:space="preserve">7.3 Limitations</w:t>
      </w:r>
    </w:p>
    <w:p>
      <w:pPr>
        <w:pStyle w:val="ListParagraph"/>
        <w:numPr>
          <w:ilvl w:val="0"/>
          <w:numId w:val="2"/>
        </w:numPr>
        <w:spacing w:after="80" w:line="276"/>
      </w:pPr>
      <w:r>
        <w:rPr>
          <w:rFonts w:ascii="Calibri" w:cs="Calibri" w:eastAsia="Calibri" w:hAnsi="Calibri"/>
          <w:sz w:val="22"/>
          <w:szCs w:val="22"/>
        </w:rPr>
        <w:t xml:space="preserve">The NHANES fold exhibits a negative gap arising from a favourable grade distribution; the mean is reported with and without it to avoid over-statement.</w:t>
      </w:r>
    </w:p>
    <w:p>
      <w:pPr>
        <w:pStyle w:val="ListParagraph"/>
        <w:numPr>
          <w:ilvl w:val="0"/>
          <w:numId w:val="2"/>
        </w:numPr>
        <w:spacing w:after="80" w:line="276"/>
      </w:pPr>
      <w:r>
        <w:rPr>
          <w:rFonts w:ascii="Calibri" w:cs="Calibri" w:eastAsia="Calibri" w:hAnsi="Calibri"/>
          <w:sz w:val="22"/>
          <w:szCs w:val="22"/>
        </w:rPr>
        <w:t xml:space="preserve">The MRKR fold tests agreement with model-generated labels rather than radiologist ground truth.</w:t>
      </w:r>
    </w:p>
    <w:p>
      <w:pPr>
        <w:pStyle w:val="ListParagraph"/>
        <w:numPr>
          <w:ilvl w:val="0"/>
          <w:numId w:val="2"/>
        </w:numPr>
        <w:spacing w:after="80" w:line="276"/>
      </w:pPr>
      <w:r>
        <w:rPr>
          <w:rFonts w:ascii="Calibri" w:cs="Calibri" w:eastAsia="Calibri" w:hAnsi="Calibri"/>
          <w:sz w:val="22"/>
          <w:szCs w:val="22"/>
        </w:rPr>
        <w:t xml:space="preserve">Joint-region cropping uses a fixed central fraction rather than anatomical landmark detection.</w:t>
      </w:r>
    </w:p>
    <w:p>
      <w:pPr>
        <w:pStyle w:val="ListParagraph"/>
        <w:numPr>
          <w:ilvl w:val="0"/>
          <w:numId w:val="2"/>
        </w:numPr>
        <w:spacing w:after="80" w:line="276"/>
      </w:pPr>
      <w:r>
        <w:rPr>
          <w:rFonts w:ascii="Calibri" w:cs="Calibri" w:eastAsia="Calibri" w:hAnsi="Calibri"/>
          <w:sz w:val="22"/>
          <w:szCs w:val="22"/>
        </w:rPr>
        <w:t xml:space="preserve">Absolute-performance targets were set optimistically in the exposé and are not attainable for this task formulation; calibration (ECE) likewise did not reach its target.</w:t>
      </w:r>
    </w:p>
    <w:p>
      <w:pPr>
        <w:pStyle w:val="ListParagraph"/>
        <w:numPr>
          <w:ilvl w:val="0"/>
          <w:numId w:val="2"/>
        </w:numPr>
        <w:spacing w:after="80" w:line="276"/>
      </w:pPr>
      <w:r>
        <w:rPr>
          <w:rFonts w:ascii="Calibri" w:cs="Calibri" w:eastAsia="Calibri" w:hAnsi="Calibri"/>
          <w:sz w:val="22"/>
          <w:szCs w:val="22"/>
        </w:rPr>
        <w:t xml:space="preserve">An expert reader study for Grad-CAM quality was not conducted.</w:t>
      </w:r>
    </w:p>
    <w:p>
      <w:pPr>
        <w:pStyle w:val="Heading1"/>
        <w:spacing w:after="180" w:before="320"/>
      </w:pPr>
      <w:r>
        <w:rPr>
          <w:rFonts w:ascii="Calibri" w:cs="Calibri" w:eastAsia="Calibri" w:hAnsi="Calibri"/>
          <w:b/>
          <w:bCs/>
          <w:color w:val="1F3864"/>
          <w:sz w:val="30"/>
          <w:szCs w:val="30"/>
        </w:rPr>
        <w:t xml:space="preserve">8. Conclusion</w:t>
      </w:r>
    </w:p>
    <w:p>
      <w:pPr>
        <w:spacing w:after="120" w:before="0" w:line="276"/>
      </w:pPr>
      <w:r>
        <w:rPr>
          <w:rFonts w:ascii="Calibri" w:cs="Calibri" w:eastAsia="Calibri" w:hAnsi="Calibri"/>
          <w:sz w:val="22"/>
          <w:szCs w:val="22"/>
        </w:rPr>
        <w:t xml:space="preserve">This work demonstrates that multi-source training with noise-aware curriculum, ordinal supervision, and stabilized domain-adversarial adaptation reduces the internal–external generalization gap in knee osteoarthritis KL grading from a literature norm of 30–40 percentage points to a mean of </w:t>
      </w:r>
      <w:r>
        <w:rPr>
          <w:rFonts w:ascii="Calibri" w:cs="Calibri" w:eastAsia="Calibri" w:hAnsi="Calibri"/>
          <w:b/>
          <w:bCs/>
          <w:sz w:val="22"/>
          <w:szCs w:val="22"/>
        </w:rPr>
        <w:t xml:space="preserve">7.9 percentage points</w:t>
      </w:r>
      <w:r>
        <w:rPr>
          <w:rFonts w:ascii="Calibri" w:cs="Calibri" w:eastAsia="Calibri" w:hAnsi="Calibri"/>
          <w:sz w:val="22"/>
          <w:szCs w:val="22"/>
        </w:rPr>
        <w:t xml:space="preserve"> under a strict four-fold leave-one-dataset-out protocol, with three of four held-out datasets meeting the sub-15 pp target. The diversity of training sources contributes +7.0 points of external accuracy over the best single source.</w:t>
      </w:r>
    </w:p>
    <w:p>
      <w:pPr>
        <w:spacing w:after="120" w:before="0" w:line="276"/>
      </w:pPr>
      <w:r>
        <w:rPr>
          <w:rFonts w:ascii="Calibri" w:cs="Calibri" w:eastAsia="Calibri" w:hAnsi="Calibri"/>
          <w:sz w:val="22"/>
          <w:szCs w:val="22"/>
        </w:rPr>
        <w:t xml:space="preserve">Absolute five-class accuracy remains bounded by the inherent label noise of the task, a limit no current method exceeds; accordingly, the contribution is the reduction of the generalization gap and the transparent characterization of which cross-domain shifts are bridgeable. The framework, its evaluation, and its honest accounting of both successes and limitations constitute the core result of this thesis.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Knee OA Generalization — Results   |   </w:t>
    </w:r>
    <w:r>
      <w:rPr>
        <w:rFonts w:ascii="Calibri" w:cs="Calibri" w:eastAsia="Calibri" w:hAnsi="Calibri"/>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KOA Generalization — Results</dc:title>
  <dc:creator>Sami Hamrouni</dc:creator>
  <cp:lastModifiedBy>Un-named</cp:lastModifiedBy>
  <cp:revision>1</cp:revision>
  <dcterms:created xsi:type="dcterms:W3CDTF">2026-06-16T13:36:09.521Z</dcterms:created>
  <dcterms:modified xsi:type="dcterms:W3CDTF">2026-06-16T13:36:09.522Z</dcterms:modified>
</cp:coreProperties>
</file>

<file path=docProps/custom.xml><?xml version="1.0" encoding="utf-8"?>
<Properties xmlns="http://schemas.openxmlformats.org/officeDocument/2006/custom-properties" xmlns:vt="http://schemas.openxmlformats.org/officeDocument/2006/docPropsVTypes"/>
</file>