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Change Log: M.Sc. Thesis Proposal (Roll 2204101013)</w:t>
      </w:r>
    </w:p>
    <w:p>
      <w:pPr>
        <w:spacing w:after="10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What changed and why, comparing the original proposal with the revised versions (tracked and clean).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1. Summary of the main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Reframed the research question: for each IEC 62443 zone, where does PQC suffice and where does QKD add measurable value? The title, objectives, figures and outcomes follow from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Corrected the threat model to nuclear I&amp;C reality: availability and integrity outrank confidentiality, safety systems get no remote key exchange or QKD, and the urgent quantum-relevant asset is the device root of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Replaced weak baselines with five setups, including classical+PQC, so the thesis can test whether QKD adds anything beyond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the missing QKD authentication path and replaced the plain SHA3 combiner with a KMAC-based combiner with context binding and PQC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Corrected the finite-key formula and the decoy-state wording; made the dark-count error distance-dependent.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Rebuilt the ZPI: bounded break-both rule for QKD+PQC and a weakest-link-aware aggregation instead of arbitrary weights and ratios.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Removed anomaly detection from the crypto comparison (encryption does not change what a detector sees) and replaced PLC-deadline comparison with control-loop delay margin.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Replaced p-value-heavy testing and one-at-a-time perturbation with effect sizes, global sensitivity and expert/rank-correlation validation; CVSS is supporting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Fixed attribution and citation problems; swapped reference [7] to stay within the 10-reference cap.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Redrew Figures 1 and 2 to match the revised design.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2. Detailed change table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600"/>
        <w:gridCol w:w="4938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Original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Revised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Hybrid Quantum–Classical Framework for Enhancing Security in Small Modular Reactors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Zone-Wise Post-Quantum and QKD-Assisted Cryptographic Security Framework for Small Modular Reactor Control Systems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“Hybrid quantum–classical” suggests quantum computing. The work is about PQC/QKD key management. The new title reflects the sharper question: per zone, where does PQC suffice and where does QKD add value?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Background – Stuxnet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Stuxnet cited as showing malware can damage equipment; sentence “These systems are attractive targets for cyber-attacks” present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Attractiveness sentence deleted (word limit). Stuxnet sentence kept unchanged, with a comment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Stuxnet spread via supply chain/removable media and PLC logic manipulation; channel cryptography would not have stopped it. It motivates zone controls, not crypto.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Background – zones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Five zones “as recommended by IEC 62443-3-3 and NRC RG 5.71”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Following NRC RG 5.71 defence-in-depth and IEC 62443 zones and conduits [10]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Misattribution: zones/conduits are in IEC 62443-3-2; 3-3 covers system requirements and security levels. Five-level layering follows RG 5.71 / Purdue-style models.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Background – current crypto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“These networks protect data with classical encryption such as RSA and AES.”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“Where used, cryptography is classical (RSA/ECC key exchange and signatures, AES).”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Many ICS links have no cryptography at all; signatures and ECC were also missing from the statement.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Background – exposure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mention of asset lifetime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Added: over 40–60-year SMR lifetimes, signing keys and retained data are most exposed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Domain-specific threat model: control commands lose confidentiality value in seconds, so HNDL matters for design, safeguards and long-retention data; device roots of trust are the urgent quantum-relevant item.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Background – QKD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“Share secret keys safely”; limits: short distance, finite keys, PNS attacks that decoy states “can reduce”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“Generate shared secret keys”; limits: distance, finite keys, PNS (bounded by decoy states), need for an authenticated classical channel [7]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QKD security is conditional; it needs an authenticated channel. Inside a plant distance is not the binding limit; availability, side channels and key supply are.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Background – PQC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Sentence without a verb; no policy context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Grammar fixed; added “European agencies prioritise PQC and see QKD as niche [7]”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ANSSI/BSI/NLNCSA/Swedish NCSA position paper (Jan 2024). Reviewers will expect the proposal to engage with agency positions.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Background – gap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Gap: hybrid approach for nuclear ICS “using real attack data and formal security-level checks” [4],[6]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Gap: zone-by-zone guidance linking IEC 62443 security-level targets to PQC, hybrid or QKD-assisted profiles within control-loop timing limits [4],[9]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attack data and formal checks are not gaps in cryptographic choice. [7] removed from this sentence (Zeng et al. replaced).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Justification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“Largely ignores the future quantum threat [8],[9]”; “QKD studies rarely use real ICS data… [1]–[3],[5]”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“Rarely addresses the quantum threat to long-lived keys and data [8]”; “QKD is often assessed without an authentication model or zone-based risk analysis [3],[5],[7]”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Citation mismatches: [9] is itself about the quantum threat; [1]–[3],[5] are foundational 1984–2014 papers and cannot support a claim about what studies “rarely” 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Justification – metrics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Reviews report lack of metrics [4],[6]; designers “cannot compare” options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Cites [4] only; designers “cannot decide zone by zone where PQC suffices and where QKD adds value”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[6] is a QKD+PQC experiment, not an SMR cyber review. Wording tied to the new research question.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Justification – proposal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Framework with finite-key QKD + PQC, tested on real ICS attack datasets, “statistically validated” metric. “To our knowledge, no earlier study integrates all three”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Zone-wise framework comparing five profiles, deriving latency budgets from control-loop delay margins, scoring zones with a validated weakest-link-aware metric. “We found no earlier study that addresses all three for SMRs.”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Aligns with revised objectives. Novelty claims need a documented literature search (advice added as a comment).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Objective 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 a five-zone SMR ICS; Monte Carlo threat simulation of weak points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Reference five-zone model with zones, conduits and target security levels; Monte Carlo simulation of network-level attacks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Restricts the simulation to attacks cryptography can mitigate (MITM, replay, rogue device, firmware forgery, HNDL). Process-level attacks bypass link encryption.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Objective 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BB84 QKD model combined with PQC via hybrid combiner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Adds “explicit authentication scheme” and “standards-based” combiner; “post-quantum” hyphenated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QKD alone is not a key-establishment system; combiner should follow NIST SP 800-56C/800-227 practice.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Objective 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Four setups: classical RSA/AES, QKD-only, PQC-only, hybrid; anomaly detection and delay vs PLC deadlines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Five setups: plaintext legacy, classical ECDHE/AES-256, PQC-only, classical+PQC, PQC with QKD-seeded keys; metrics: attack success, handshake/rekey delay, control-loop delay margin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RSA/AES is a weak baseline; QKD-only is not standalone; classical+PQC is the hybrid agencies recommend. Anomaly detection does not depend on the cryptography (it sees decrypted data) so it was removed from the comparison.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Objective 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 ZPI; validate against IEC 62443-3-3 Security Levels and CVSS using statistical tests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Weakest-link-aware ZPI; validate against security-level requirements by expert review, rank correlation, sensitivity analysis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CVSS rates vulnerabilities, not configurations; a 5-zone vs 5-level correlation has n=5.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Objective 5 (new)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Zone-wise recommendation on where PQC suffices and where QKD adds value, with a phased PQC migration path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Captures the reframed research question and a practical output.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Intro paragraph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Hybrid QKD+PQC framework on simulated network with anomaly detection on HAI, SWaT, WADI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Zone-wise PQC and QKD-assisted profiles on a reference network; Monte Carlo attack simulation and emulated OpenPLC/Mininet testbed; “Fig. 1 shows the key-management architecture”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HAI/SWaT/WADI are water/boiler testbeds with process-level attacks that link crypto does not change; an emulated testbed lets delay be measured. Topology (19 nodes/20 links) needs a stated source.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Figure 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Five “layers” (Enterprise…Field); QKD feeding every layer incl. Field; single Alice–Bob chain; SHA3-256 combiner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Zones match the text; QKD only to Z2, Z3 and fixed-site Z5; none to Z1; no trusted-node chains; QKD authentication shown; PQC for sessions and firmware roots; KMAC combiner with context; PQC fallback; Z1 uses data diode and pre-shared keys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 systems follow independence and one-way flow principles; the old figure also used layer names inconsistent with the text.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Figure 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Four configurations; anomaly detection and latency vs PLC deadlines inside the comparison; ZPI scoring; Mann–Whitney/Kruskal/Welch tests; CVSS benchmarking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Threat model added; five setups; combiner with fallback; testbed measuring delay margin; anomaly detection separated; revised ZPI; effect sizes, global sensitivity, SL-A/Delphi benchmarking; output zone-wise profile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Matches the revised method end to end.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Step 1 text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Finite-key bounds [5] give Eqs. (1)–(3)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“Composable” finite-key bounds; authentication by pre-shared Wegman–Carter key or ML-DSA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authentication path was missing.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Eq. (1)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η_ch = 10^(−α_f L/10)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 (comment: use total efficiency η = η_det·η_ch)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Detector efficiency must enter the gain.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Eq. (2)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 = e_opt + e_dark + 0.25 p_Eve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 = e_opt + Y₀/(2Q_μ) + 0.25 p_Eve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Dark-count error grows with distance as the gain falls. The 0.25 p_Eve term models intercept-resend only; it is a channel model, not a security proof.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Eq. (3)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ℓ = n_sift[1−h(e_ph)] − f n_sift h(e) − Δ_finite n_sift, with Δ_finite = 2log₂(1/ε)/n_sift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ℓ = s₀ + s₁[1−h(φ)] − λ_EC − 6log₂(21/ε_sec) − log₂(2/ε_cor)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Original penalty is a single leftover-hash term and is optimistic. The composable bound of Lim et al. [5] splits secrecy/correctness and accounts for fluctuations.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Eq. (4) and definitions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Second, separate formula with Δ_finite; definitions list Δ_finite and ε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s₁ = n_sift Q₁,L/Q_μ, φ = e₁,U, λ_EC = f n_sift h(E_μ); definitions updated (η, Y₀, s₀, s₁, φ, λ_EC, ε_sec, ε_cor)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Eq. (4) now supplies the quantities used in Eq. (3), so they form one calculation.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Decoy-state sentence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“Decoy states block the PNS attack”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“Decoy states bound the PNS attack”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Decoy states bound the single-photon contribution; they do not block the attack.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Step 2 and Eq. (5)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Benchmarks of ML-KEM/ML-DSA/SLH-DSA; K = SHA3-256(K_QKD ‖ K_PQC) [2],[7]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Benchmarks on Raspberry Pi and Cortex-M4 with X25519+ML-KEM-768 as classical+PQC arm; K = KMAC256(K_QKD ‖ K_PQC, ctx, 256, “SMR-KDF”) [2],[6]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Plain concatenated hash lacks length-prefixing, domain separation and transcript binding. [7] swapped for [6] after reference change.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Step 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Weights w; α, β merge QKD/PQC scores; ZPI divides by classical baseline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AHP weights; break-both rule; ZPI combines weakest zone with weighted average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Arbitrary α, β and an unbounded interaction term removed; ratios to a small baseline can blow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Eq. (7)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H_z = α S_QKD + (1−α) S_PQC + β S_QKD S_PQC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H_z = 1 − (1 − S_QKD)(1 − S_PQC)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either component stays secure, the key stays secure, so residual risks multiply (independence assumption to be tested). Stays within [0,1].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Eq. (8)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ZPI = (1/|Z|) Σ H_z / R_z^baseline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ZPI = λ·min_z H_z + (1−λ) Σ ω_z H_z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Averaging hides the weakest zone. Improvement over baseline should be reported as a difference.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Step 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Anomaly detection (RF, SVM-RBF, IF) and latency vs PLC deadlines 10–2000 ms; Mann–Whitney, Kruskal–Wallis, Welch, Cohen’s d; ±30% perturbation; CVSS benchmarking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Five setups compared by attack simulation, handshake/rekey delay and control-loop delay margin; anomaly detection reported separately; effect sizes (Cohen’s d, Cliff’s δ) with 95% CI; Morris/Sobol analysis; comparison with security-level requirements (Kendall’s τ)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Per-packet cost is symmetric crypto; key exchange is off the data path, so delay margin is the meaningful measure. With Monte Carlo, p-values can be driven to zero. One-at-a-time perturbation misses interactions. CVSS does not score configurations.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Figure reference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“Fig.2 represents the detailed methodology… four steps.”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“Fig.2. shows the four-step methodology.”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Word-limit trimming.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Outcomes 1–4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Five-zone model; QKD+PQC model; four-setup comparison incl. anomaly detection; ZPI robust under ±30%, correlated with CVSS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Reference model with conduits; standards-based combiner and PQC fallback; five-setup comparison on attack success and delay margin; ZPI rank-stable under global sensitivity, compared with security-level requirements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Aligned with the revised objectives and method.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Outcome 5 (new)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Zone-wise recommendation on where PQC suffices and where QKD adds value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Matches new Objective 5.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References [1]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Theor. Comput. Sci. 560, 7–11, Dec. 2014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Proc. IEEE Int. Conf. Comput., Syst. Signal Process., Bangalore, Dec. 1984, pp. 175–179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2014 item is a reprint; cite the original. (Not re-verified against the source.)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References [7]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Zeng et al., arXiv:2411.01086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ANSSI, BSI, NLNCSA and Swedish NCSA, Position paper on QKD, Jan. 2024 (URL verified by search)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Within the 10-reference cap, replaces a preprint with the agency position. Zeng et al. can move to the thesis literature review.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References [10]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NRC RG 5.71 only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Adds IEC 62443-3-2:2020 and 62443-3-3:2013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Gives the zone and security-level statements a source. (Titles and dates not re-verified.)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17 (co-supervisor)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Proposed justification inserted, name left as placeholder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work spans cryptography, quantum communication and nuclear I&amp;C security; Items 6 and 17 were blank.</w:t>
            </w:r>
          </w:p>
        </w:tc>
      </w:tr>
    </w:tbl>
    <w:p>
      <w:pPr>
        <w:pStyle w:val="Heading1"/>
        <w:spacing w:before="240"/>
      </w:pPr>
      <w:r>
        <w:rPr>
          <w:rFonts w:ascii="Calibri" w:cs="Calibri" w:eastAsia="Calibri" w:hAnsi="Calibri"/>
          <w:b/>
          <w:bCs/>
        </w:rPr>
        <w:t xml:space="preserve">3. Form limits (word counts)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Counts include equations and captions but exclude the instruction lines; each figure counts as 100 words under the form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Section 9: 228 → 246 words (limit 250).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Section 10: 149 → 144 words (limit 150).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Section 11: 119 → 148 words (limit 150 if written as paragraphs).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Section 12: 501 → 497 words excluding figures; with two figures about 700 words against a 500 limit, as in the original. Options: move variable definitions for Eqs. (1)–(4) to the thesis, merge Steps 1–2, or ask the PGAC how equations and figures are counted.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Section 13: 123 → 138 words (limit 150).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4. Advice given only as comments (no text change)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Scope: five setups, two crypto families, a testbed, an index and validation is large for a part-time M.Sc.; suggested trims are in the Section 12 comment.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Eq. (1): use total efficiency η = η_det·η_ch inside the gain; table typical detector and error-correction parameters with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ZPI weights: derive by AHP with a consistency ratio plus a short Delphi survey; weight availability and integrity above confidentiality in safety zones.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Threat-mitigation matrix: calibrate from MITRE ATT&amp;CK for ICS and expert elicitation to avoid circularity.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Courses: coursework is control/DSP only; consider cryptography/network security and quantum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Cost: simulation-only is fine, but hardware benchmarking (Cortex-M4, Raspberry Pi) needs a materials line; items of Tk. 5,000 or more need a quotation.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Topology source: justify the 19-node/20-link network as a generic Purdue/IEC 62443-3-2 reference architecture.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5. Points to check before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equations in Word; they could not be rendered in the checking tool used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Reference [1] details (1984 proceedings pages) and the IEC titles/dates in [10] were not re-verified against the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co-supervisor name under Item 17 is a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Correction to the earlier chat review: the original finite-key penalty was dimensionally fine (an additive 2·log₂(1/ε) term); the real issue is that it is optimistic compared with the composable bound.</w:t>
      </w:r>
    </w:p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Title">
    <w:name w:val="Title"/>
    <w:basedOn w:val="Normal"/>
    <w:pPr>
      <w:spacing w:after="120"/>
    </w:pPr>
    <w:rPr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2026-10-12T00:25:56.175Z</dcterms:created>
  <dcterms:modified xsi:type="dcterms:W3CDTF">2026-10-12T00:25:56.183Z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