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526"/>
      </w:tblGrid>
      <w:tr w:rsidR="00C5665A">
        <w:tc>
          <w:tcPr>
            <w:tcW w:w="1500" w:type="dxa"/>
            <w:tcBorders>
              <w:top w:val="none" w:sz="0" w:space="0" w:color="FFFFFF"/>
              <w:left w:val="none" w:sz="0" w:space="0" w:color="FFFFFF"/>
              <w:bottom w:val="none" w:sz="0" w:space="0" w:color="FFFFFF"/>
              <w:right w:val="none" w:sz="0" w:space="0" w:color="FFFFFF"/>
            </w:tcBorders>
          </w:tcPr>
          <w:p w:rsidR="00C5665A" w:rsidRDefault="00D92B12">
            <w:r>
              <w:rPr>
                <w:noProof/>
              </w:rPr>
              <w:drawing>
                <wp:inline distT="0" distB="0" distL="0" distR="0">
                  <wp:extent cx="628650" cy="733425"/>
                  <wp:effectExtent l="0" t="0" r="0" b="0"/>
                  <wp:docPr id="1" name="logo" descr="RUET logo" title="RU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 cy="733425"/>
                          </a:xfrm>
                          <a:prstGeom prst="rect">
                            <a:avLst/>
                          </a:prstGeom>
                        </pic:spPr>
                      </pic:pic>
                    </a:graphicData>
                  </a:graphic>
                </wp:inline>
              </w:drawing>
            </w:r>
          </w:p>
        </w:tc>
        <w:tc>
          <w:tcPr>
            <w:tcW w:w="7526" w:type="dxa"/>
            <w:tcBorders>
              <w:top w:val="none" w:sz="0" w:space="0" w:color="FFFFFF"/>
              <w:left w:val="none" w:sz="0" w:space="0" w:color="FFFFFF"/>
              <w:bottom w:val="none" w:sz="0" w:space="0" w:color="FFFFFF"/>
              <w:right w:val="none" w:sz="0" w:space="0" w:color="FFFFFF"/>
            </w:tcBorders>
            <w:vAlign w:val="bottom"/>
          </w:tcPr>
          <w:p w:rsidR="00C5665A" w:rsidRDefault="00D92B12">
            <w:pPr>
              <w:jc w:val="center"/>
            </w:pPr>
            <w:r>
              <w:rPr>
                <w:b/>
                <w:bCs/>
              </w:rPr>
              <w:t>Heaven’s Light is our Guide</w:t>
            </w:r>
          </w:p>
          <w:p w:rsidR="00C5665A" w:rsidRDefault="00D92B12">
            <w:pPr>
              <w:jc w:val="center"/>
            </w:pPr>
            <w:r>
              <w:rPr>
                <w:b/>
                <w:bCs/>
              </w:rPr>
              <w:t>DIRECTOR OF RESEARCH &amp; EXTENSION</w:t>
            </w:r>
          </w:p>
          <w:p w:rsidR="00C5665A" w:rsidRDefault="00D92B12">
            <w:pPr>
              <w:jc w:val="center"/>
            </w:pPr>
            <w:r>
              <w:rPr>
                <w:b/>
                <w:bCs/>
              </w:rPr>
              <w:t>RAJSHAHI UNIVERSITY OF ENGINEERING &amp; TECHNOLOGY</w:t>
            </w:r>
          </w:p>
          <w:p w:rsidR="00C5665A" w:rsidRDefault="00D92B12">
            <w:pPr>
              <w:jc w:val="center"/>
            </w:pPr>
            <w:r>
              <w:t>Rajshahi-6204, Bangladesh</w:t>
            </w:r>
          </w:p>
        </w:tc>
      </w:tr>
    </w:tbl>
    <w:p w:rsidR="00C5665A" w:rsidRDefault="00C5665A">
      <w:pPr>
        <w:pBdr>
          <w:bottom w:val="single" w:sz="6" w:space="1" w:color="000000"/>
        </w:pBdr>
        <w:spacing w:after="160"/>
      </w:pPr>
    </w:p>
    <w:p w:rsidR="00C5665A" w:rsidRDefault="00D92B12">
      <w:pPr>
        <w:spacing w:after="100" w:line="264" w:lineRule="auto"/>
        <w:jc w:val="both"/>
      </w:pPr>
      <w:r>
        <w:t xml:space="preserve">Application form (Guidelines) for approval of </w:t>
      </w:r>
      <w:proofErr w:type="spellStart"/>
      <w:r>
        <w:t>Ph.D</w:t>
      </w:r>
      <w:proofErr w:type="spellEnd"/>
      <w:r>
        <w:t>/</w:t>
      </w:r>
      <w:proofErr w:type="spellStart"/>
      <w:r>
        <w:t>M.Phil</w:t>
      </w:r>
      <w:proofErr w:type="spellEnd"/>
      <w:r>
        <w:t>/</w:t>
      </w:r>
      <w:proofErr w:type="spellStart"/>
      <w:r>
        <w:t>M.Sc.Engg</w:t>
      </w:r>
      <w:proofErr w:type="spellEnd"/>
      <w:r>
        <w:t>./MURP/</w:t>
      </w:r>
      <w:proofErr w:type="spellStart"/>
      <w:r>
        <w:t>M.Engg</w:t>
      </w:r>
      <w:proofErr w:type="spellEnd"/>
      <w:r>
        <w:t xml:space="preserve">. Thesis/project proposal by the CASR. All items applicable to the following list must be mentioned and filled in correctly. </w:t>
      </w:r>
      <w:r>
        <w:rPr>
          <w:b/>
          <w:bCs/>
        </w:rPr>
        <w:t>Please submit four (04) hard copies [One original and the other three (03) photocopies in the entire script plain paper] and also submit a scanned copy of the proposal.</w:t>
      </w:r>
    </w:p>
    <w:p w:rsidR="00C5665A" w:rsidRDefault="00452829" w:rsidP="00452829">
      <w:pPr>
        <w:spacing w:after="100" w:line="264" w:lineRule="auto"/>
        <w:jc w:val="both"/>
      </w:pPr>
      <w:r>
        <w:rPr>
          <w:b/>
          <w:bCs/>
        </w:rPr>
        <w:t xml:space="preserve">                                                                                                               </w:t>
      </w:r>
      <w:r w:rsidR="002F5B51">
        <w:rPr>
          <w:b/>
          <w:bCs/>
        </w:rPr>
        <w:t xml:space="preserve">                        Date: </w:t>
      </w:r>
      <w:r w:rsidR="0067347D">
        <w:rPr>
          <w:b/>
          <w:bCs/>
        </w:rPr>
        <w:t>1</w:t>
      </w:r>
      <w:r w:rsidR="002F5B51">
        <w:rPr>
          <w:b/>
          <w:bCs/>
        </w:rPr>
        <w:t>1.10</w:t>
      </w:r>
      <w:r w:rsidR="00D92B12">
        <w:rPr>
          <w:b/>
          <w:bCs/>
        </w:rPr>
        <w:t>.2026</w:t>
      </w:r>
    </w:p>
    <w:p w:rsidR="00C5665A" w:rsidRDefault="00D92B12">
      <w:pPr>
        <w:tabs>
          <w:tab w:val="right" w:pos="9026"/>
        </w:tabs>
        <w:spacing w:after="100"/>
      </w:pPr>
      <w:r>
        <w:rPr>
          <w:b/>
          <w:bCs/>
        </w:rPr>
        <w:t xml:space="preserve">1. Name of the student: </w:t>
      </w:r>
      <w:r>
        <w:t>NASRULLAH MASUD</w:t>
      </w:r>
      <w:r>
        <w:tab/>
      </w:r>
      <w:r>
        <w:rPr>
          <w:b/>
          <w:bCs/>
        </w:rPr>
        <w:t xml:space="preserve">Status: </w:t>
      </w:r>
      <w:r>
        <w:t>Part-Time</w:t>
      </w:r>
    </w:p>
    <w:p w:rsidR="00C5665A" w:rsidRDefault="00D92B12">
      <w:pPr>
        <w:spacing w:after="100"/>
        <w:jc w:val="center"/>
      </w:pPr>
      <w:r>
        <w:rPr>
          <w:i/>
          <w:iCs/>
        </w:rPr>
        <w:t>(Block Letters)</w:t>
      </w:r>
    </w:p>
    <w:p w:rsidR="00C5665A" w:rsidRDefault="00D92B12">
      <w:pPr>
        <w:tabs>
          <w:tab w:val="right" w:pos="9026"/>
        </w:tabs>
        <w:spacing w:after="100"/>
      </w:pPr>
      <w:r>
        <w:rPr>
          <w:b/>
          <w:bCs/>
        </w:rPr>
        <w:t xml:space="preserve">Roll No.: </w:t>
      </w:r>
      <w:r>
        <w:t>2204101013</w:t>
      </w:r>
      <w:r>
        <w:tab/>
      </w:r>
      <w:r>
        <w:rPr>
          <w:b/>
          <w:bCs/>
        </w:rPr>
        <w:t xml:space="preserve">Session: </w:t>
      </w:r>
      <w:r>
        <w:t>2022-23</w:t>
      </w:r>
    </w:p>
    <w:p w:rsidR="00C5665A" w:rsidRDefault="00D92B12">
      <w:pPr>
        <w:spacing w:after="100" w:line="264" w:lineRule="auto"/>
        <w:jc w:val="both"/>
      </w:pPr>
      <w:r>
        <w:rPr>
          <w:b/>
          <w:bCs/>
        </w:rPr>
        <w:t xml:space="preserve">2. Present Address: </w:t>
      </w:r>
      <w:proofErr w:type="spellStart"/>
      <w:r>
        <w:t>Chishtiya</w:t>
      </w:r>
      <w:proofErr w:type="spellEnd"/>
      <w:r>
        <w:t xml:space="preserve"> </w:t>
      </w:r>
      <w:proofErr w:type="spellStart"/>
      <w:r>
        <w:t>Chattrabash</w:t>
      </w:r>
      <w:proofErr w:type="spellEnd"/>
      <w:r>
        <w:t xml:space="preserve">, Room no: 115, </w:t>
      </w:r>
      <w:proofErr w:type="spellStart"/>
      <w:r>
        <w:t>Upor</w:t>
      </w:r>
      <w:proofErr w:type="spellEnd"/>
      <w:r>
        <w:t xml:space="preserve"> </w:t>
      </w:r>
      <w:proofErr w:type="spellStart"/>
      <w:r>
        <w:t>Vodra</w:t>
      </w:r>
      <w:proofErr w:type="spellEnd"/>
      <w:r>
        <w:t xml:space="preserve">, </w:t>
      </w:r>
      <w:proofErr w:type="spellStart"/>
      <w:r>
        <w:t>Kazla</w:t>
      </w:r>
      <w:proofErr w:type="spellEnd"/>
      <w:r>
        <w:t>, Rajshahi-6204</w:t>
      </w:r>
    </w:p>
    <w:p w:rsidR="00C5665A" w:rsidRDefault="00D92B12">
      <w:pPr>
        <w:spacing w:after="100" w:line="264" w:lineRule="auto"/>
        <w:jc w:val="both"/>
      </w:pPr>
      <w:r>
        <w:rPr>
          <w:b/>
          <w:bCs/>
        </w:rPr>
        <w:t xml:space="preserve">3. Present Designation &amp; Organization: </w:t>
      </w:r>
      <w:r>
        <w:t xml:space="preserve">Lecturer, Dept. of Electrical and Electronic Engineering, </w:t>
      </w:r>
      <w:proofErr w:type="spellStart"/>
      <w:r>
        <w:t>Varendra</w:t>
      </w:r>
      <w:proofErr w:type="spellEnd"/>
      <w:r>
        <w:t xml:space="preserve"> University, </w:t>
      </w:r>
      <w:proofErr w:type="spellStart"/>
      <w:proofErr w:type="gramStart"/>
      <w:r>
        <w:t>Rajshahi</w:t>
      </w:r>
      <w:proofErr w:type="spellEnd"/>
      <w:proofErr w:type="gramEnd"/>
      <w:r>
        <w:t>.</w:t>
      </w:r>
    </w:p>
    <w:p w:rsidR="00C5665A" w:rsidRDefault="00D92B12">
      <w:pPr>
        <w:tabs>
          <w:tab w:val="right" w:pos="9026"/>
        </w:tabs>
        <w:spacing w:after="100"/>
      </w:pPr>
      <w:r>
        <w:rPr>
          <w:b/>
          <w:bCs/>
        </w:rPr>
        <w:t xml:space="preserve">4. Name of the Department: </w:t>
      </w:r>
      <w:r>
        <w:t>Electrical &amp; Electronic Engineering</w:t>
      </w:r>
      <w:r>
        <w:tab/>
      </w:r>
      <w:proofErr w:type="spellStart"/>
      <w:r>
        <w:rPr>
          <w:b/>
          <w:bCs/>
        </w:rPr>
        <w:t>Programme</w:t>
      </w:r>
      <w:proofErr w:type="spellEnd"/>
      <w:r>
        <w:rPr>
          <w:b/>
          <w:bCs/>
        </w:rPr>
        <w:t xml:space="preserve">: </w:t>
      </w:r>
      <w:r>
        <w:t>M.Sc. in Engineering</w:t>
      </w:r>
    </w:p>
    <w:p w:rsidR="00C5665A" w:rsidRDefault="00D92B12">
      <w:pPr>
        <w:tabs>
          <w:tab w:val="right" w:pos="9026"/>
        </w:tabs>
        <w:spacing w:after="100"/>
      </w:pPr>
      <w:r>
        <w:rPr>
          <w:b/>
          <w:bCs/>
        </w:rPr>
        <w:t xml:space="preserve">5. Name of the Supervisor: </w:t>
      </w:r>
      <w:r>
        <w:t xml:space="preserve">Dr. Md. </w:t>
      </w:r>
      <w:proofErr w:type="spellStart"/>
      <w:r>
        <w:t>Sohel</w:t>
      </w:r>
      <w:proofErr w:type="spellEnd"/>
      <w:r>
        <w:t xml:space="preserve"> </w:t>
      </w:r>
      <w:proofErr w:type="spellStart"/>
      <w:r>
        <w:t>Rana</w:t>
      </w:r>
      <w:proofErr w:type="spellEnd"/>
      <w:r>
        <w:tab/>
      </w:r>
      <w:r>
        <w:rPr>
          <w:b/>
          <w:bCs/>
        </w:rPr>
        <w:t xml:space="preserve">Designation: </w:t>
      </w:r>
      <w:r>
        <w:t>Professor</w:t>
      </w:r>
    </w:p>
    <w:p w:rsidR="00C5665A" w:rsidRDefault="00D92B12">
      <w:pPr>
        <w:tabs>
          <w:tab w:val="right" w:pos="9026"/>
        </w:tabs>
        <w:spacing w:after="100"/>
      </w:pPr>
      <w:r>
        <w:rPr>
          <w:b/>
          <w:bCs/>
        </w:rPr>
        <w:t xml:space="preserve">6. Name of the Co-Supervisor (if any): </w:t>
      </w:r>
      <w:r>
        <w:t>...............................</w:t>
      </w:r>
      <w:r>
        <w:tab/>
      </w:r>
      <w:r>
        <w:rPr>
          <w:b/>
          <w:bCs/>
        </w:rPr>
        <w:t xml:space="preserve">Designation: </w:t>
      </w:r>
      <w:r>
        <w:t>........................</w:t>
      </w:r>
    </w:p>
    <w:p w:rsidR="00C5665A" w:rsidRDefault="00D92B12">
      <w:pPr>
        <w:spacing w:after="100" w:line="264" w:lineRule="auto"/>
        <w:jc w:val="both"/>
      </w:pPr>
      <w:r>
        <w:rPr>
          <w:b/>
          <w:bCs/>
        </w:rPr>
        <w:t xml:space="preserve">7. Date of First Enrolment in the </w:t>
      </w:r>
      <w:proofErr w:type="spellStart"/>
      <w:r>
        <w:rPr>
          <w:b/>
          <w:bCs/>
        </w:rPr>
        <w:t>Programme</w:t>
      </w:r>
      <w:proofErr w:type="spellEnd"/>
      <w:r>
        <w:rPr>
          <w:b/>
          <w:bCs/>
        </w:rPr>
        <w:t xml:space="preserve">: </w:t>
      </w:r>
      <w:r>
        <w:t>06/05/2023</w:t>
      </w:r>
    </w:p>
    <w:p w:rsidR="00C5665A" w:rsidRDefault="00D92B12">
      <w:pPr>
        <w:keepNext/>
        <w:spacing w:after="100" w:line="264" w:lineRule="auto"/>
        <w:jc w:val="both"/>
      </w:pPr>
      <w:r>
        <w:rPr>
          <w:b/>
          <w:bCs/>
        </w:rPr>
        <w:t xml:space="preserve">8. Tentative Title </w:t>
      </w:r>
      <w:r>
        <w:rPr>
          <w:i/>
          <w:iCs/>
        </w:rPr>
        <w:t>(Block Letters, Times New Roman, Font size 11 points, Not more than 25 words):</w:t>
      </w:r>
    </w:p>
    <w:p w:rsidR="00C22C6B" w:rsidRDefault="00C22C6B" w:rsidP="00C22C6B">
      <w:pPr>
        <w:keepNext/>
        <w:spacing w:before="180" w:after="40"/>
        <w:jc w:val="both"/>
        <w:rPr>
          <w:b/>
        </w:rPr>
      </w:pPr>
      <w:r w:rsidRPr="00C22C6B">
        <w:rPr>
          <w:b/>
        </w:rPr>
        <w:t>Development and Evaluation of a Hybrid Quantum–Classical Framework for Enhancing Security in Small Modular Reactors</w:t>
      </w:r>
    </w:p>
    <w:p w:rsidR="00C5665A" w:rsidRDefault="00D92B12">
      <w:pPr>
        <w:keepNext/>
        <w:spacing w:before="180" w:after="40"/>
      </w:pPr>
      <w:r>
        <w:rPr>
          <w:b/>
          <w:bCs/>
        </w:rPr>
        <w:t>9. Background and present state of the problem</w:t>
      </w:r>
    </w:p>
    <w:p w:rsidR="00C5665A" w:rsidRDefault="00D92B12">
      <w:pPr>
        <w:keepNext/>
        <w:spacing w:after="80"/>
        <w:jc w:val="both"/>
      </w:pPr>
      <w:r>
        <w:rPr>
          <w:i/>
          <w:iCs/>
        </w:rPr>
        <w:t>(Not more than 250 words. Please mention only those activities carried out in different places as reported in publications. Please support your information by citing the relevant references.)</w:t>
      </w:r>
    </w:p>
    <w:p w:rsidR="00C5665A" w:rsidRDefault="00D92B12">
      <w:pPr>
        <w:spacing w:after="100" w:line="264" w:lineRule="auto"/>
        <w:jc w:val="both"/>
      </w:pPr>
      <w:r>
        <w:t xml:space="preserve">Nuclear power plants use industrial control systems (ICS) to run sensors, pumps and safety functions. These systems are attractive targets for </w:t>
      </w:r>
      <w:r w:rsidR="00FB3CB3">
        <w:t>cyber-attacks</w:t>
      </w:r>
      <w:r>
        <w:t xml:space="preserve">. The </w:t>
      </w:r>
      <w:proofErr w:type="spellStart"/>
      <w:r>
        <w:t>Stuxnet</w:t>
      </w:r>
      <w:proofErr w:type="spellEnd"/>
      <w:r>
        <w:t xml:space="preserve"> attack in 2010 showed that malicious software can damage physical industrial equipment [4]. Small modular reactors (SMRs) use a layered network of five zones, from safety instrumentation up to the enterprise office network, as recommended by IEC 62443-3-3 and NRC Regulatory Guide 5.71 [10].</w:t>
      </w:r>
    </w:p>
    <w:p w:rsidR="00C5665A" w:rsidRDefault="00D92B12">
      <w:pPr>
        <w:spacing w:after="100" w:line="264" w:lineRule="auto"/>
        <w:jc w:val="both"/>
      </w:pPr>
      <w:r>
        <w:t xml:space="preserve">These networks protect data with classical encryption such as RSA and AES. A large quantum computer could break RSA and ECC key exchange using </w:t>
      </w:r>
      <w:proofErr w:type="spellStart"/>
      <w:r>
        <w:t>Shor’s</w:t>
      </w:r>
      <w:proofErr w:type="spellEnd"/>
      <w:r>
        <w:t xml:space="preserve"> algorithm and weaken AES using Grover’s algorithm [2], [9]. Two technologies address this risk. Quantum key distributi</w:t>
      </w:r>
      <w:r w:rsidR="00DC0F7C">
        <w:t>on (QKD) such as the BB84 protocol [1]</w:t>
      </w:r>
      <w:r>
        <w:t xml:space="preserve"> uses the physics of light to share secret keys safely. Its limits are short distance, finite key lengths, and photon</w:t>
      </w:r>
      <w:r w:rsidR="00DC0F7C">
        <w:t>-number-splitting (PNS) attacks</w:t>
      </w:r>
      <w:r>
        <w:t xml:space="preserve"> which decoy states can reduce [3], [5]. Post-quantum cryptography (PQC), such as ML-KEM, ML-DSA and SLH-DSA standardized b</w:t>
      </w:r>
      <w:r w:rsidR="00DC0F7C">
        <w:t>y NIST in FIPS 203, 204 and 205. These algorithms run</w:t>
      </w:r>
      <w:r>
        <w:t xml:space="preserve"> </w:t>
      </w:r>
      <w:r w:rsidR="00DC0F7C">
        <w:t>on ordinary hardware but depend</w:t>
      </w:r>
      <w:r>
        <w:t xml:space="preserve"> on mathematical assumptions rather than physical laws [2].</w:t>
      </w:r>
    </w:p>
    <w:p w:rsidR="00C5665A" w:rsidRDefault="00D92B12">
      <w:pPr>
        <w:spacing w:after="100" w:line="264" w:lineRule="auto"/>
        <w:jc w:val="both"/>
      </w:pPr>
      <w:r>
        <w:t xml:space="preserve">Recent studies combine QKD and PQC and test them on FPGA hardware and city </w:t>
      </w:r>
      <w:proofErr w:type="spellStart"/>
      <w:r>
        <w:t>fibre</w:t>
      </w:r>
      <w:proofErr w:type="spellEnd"/>
      <w:r>
        <w:t xml:space="preserve"> networks [6], [7]. However, guidance for applying this hybrid app</w:t>
      </w:r>
      <w:r w:rsidR="00DC0F7C">
        <w:t xml:space="preserve">roach to five-zone nuclear ICS </w:t>
      </w:r>
      <w:r>
        <w:t>using real attack data a</w:t>
      </w:r>
      <w:r w:rsidR="00DC0F7C">
        <w:t>nd formal security-level checks</w:t>
      </w:r>
      <w:r>
        <w:t xml:space="preserve"> is still limited [4], [6].</w:t>
      </w:r>
    </w:p>
    <w:p w:rsidR="00C5665A" w:rsidRDefault="00D92B12">
      <w:pPr>
        <w:keepNext/>
        <w:spacing w:before="180" w:after="40"/>
      </w:pPr>
      <w:r>
        <w:rPr>
          <w:b/>
          <w:bCs/>
        </w:rPr>
        <w:lastRenderedPageBreak/>
        <w:t>10. Justification of the study</w:t>
      </w:r>
    </w:p>
    <w:p w:rsidR="00C5665A" w:rsidRDefault="00D92B12">
      <w:pPr>
        <w:keepNext/>
        <w:spacing w:after="80"/>
        <w:jc w:val="both"/>
      </w:pPr>
      <w:r>
        <w:rPr>
          <w:i/>
          <w:iCs/>
        </w:rPr>
        <w:t>(Not more than 150 words. Please justify research/study based on the present state of the problem and works that have been carried out in different places as reported in publications. Please support your information by citing the relevant references.)</w:t>
      </w:r>
    </w:p>
    <w:p w:rsidR="00CD7B9C" w:rsidRDefault="0070660F" w:rsidP="00CD7B9C">
      <w:pPr>
        <w:keepNext/>
        <w:spacing w:before="180" w:after="40"/>
        <w:jc w:val="both"/>
      </w:pPr>
      <w:r w:rsidRPr="0070660F">
        <w:t xml:space="preserve">Existing nuclear and industrial cyber security work relies mainly on classical encryption, network segmentation and anomaly detection, and largely ignores the future quantum threat [8], [9]. Research on QKD and PQC has also progressed separately. QKD studies rarely use real ICS data or zone-based risk models, while PQC studies seldom include quantum key exchange [1]–[3], [5]. </w:t>
      </w:r>
    </w:p>
    <w:p w:rsidR="0070660F" w:rsidRPr="0070660F" w:rsidRDefault="0070660F" w:rsidP="00CD7B9C">
      <w:pPr>
        <w:keepNext/>
        <w:spacing w:before="180" w:after="40"/>
        <w:jc w:val="both"/>
      </w:pPr>
      <w:r w:rsidRPr="0070660F">
        <w:t>In addition, SMR cyber security reviews report a lack of measurable security metrics linked to IEC 62443 Security Levels and NRC guidance [4], [6]. Without such evidence, designers cannot compare quantum-safe options zone by zone.</w:t>
      </w:r>
    </w:p>
    <w:p w:rsidR="0070660F" w:rsidRDefault="0070660F" w:rsidP="00CD7B9C">
      <w:pPr>
        <w:keepNext/>
        <w:spacing w:before="180" w:after="40"/>
        <w:jc w:val="both"/>
      </w:pPr>
      <w:r w:rsidRPr="0070660F">
        <w:t>This study therefore proposes a framework that (</w:t>
      </w:r>
      <w:proofErr w:type="spellStart"/>
      <w:r w:rsidRPr="0070660F">
        <w:t>i</w:t>
      </w:r>
      <w:proofErr w:type="spellEnd"/>
      <w:r w:rsidRPr="0070660F">
        <w:t>) combines finite-key decoy-state QKD with NIST-standardized PQC in a realistic five-zone SMR network, (ii) is tested on real ICS attack datasets while checking delay against PLC deadlines, and (iii) is evaluated with a statistically validated security metric. To our knowledge, no earlier study integrates all three for SMRs.</w:t>
      </w:r>
    </w:p>
    <w:p w:rsidR="00CD7B9C" w:rsidRPr="0070660F" w:rsidRDefault="00CD7B9C" w:rsidP="0070660F">
      <w:pPr>
        <w:keepNext/>
        <w:spacing w:before="180" w:after="40"/>
      </w:pPr>
    </w:p>
    <w:p w:rsidR="00C5665A" w:rsidRDefault="00D92B12">
      <w:pPr>
        <w:keepNext/>
        <w:spacing w:before="180" w:after="40"/>
      </w:pPr>
      <w:r>
        <w:rPr>
          <w:b/>
          <w:bCs/>
        </w:rPr>
        <w:t>11. Objectives with specific aims</w:t>
      </w:r>
    </w:p>
    <w:p w:rsidR="00C5665A" w:rsidRDefault="00D92B12">
      <w:pPr>
        <w:keepNext/>
        <w:spacing w:after="80"/>
        <w:jc w:val="both"/>
      </w:pPr>
      <w:r>
        <w:rPr>
          <w:i/>
          <w:iCs/>
        </w:rPr>
        <w:t>(Please list the objectives(s) using short sentences. If you are writing one or two paragraphs describing the objectives, please limit yourself to 150 words.)</w:t>
      </w:r>
    </w:p>
    <w:p w:rsidR="00C5665A" w:rsidRDefault="00D92B12">
      <w:pPr>
        <w:keepNext/>
        <w:spacing w:after="100" w:line="264" w:lineRule="auto"/>
        <w:jc w:val="both"/>
      </w:pPr>
      <w:r>
        <w:t>The objectives of this thesis are:</w:t>
      </w:r>
    </w:p>
    <w:p w:rsidR="00C5665A" w:rsidRDefault="00D92B12">
      <w:pPr>
        <w:pStyle w:val="ListParagraph"/>
        <w:numPr>
          <w:ilvl w:val="0"/>
          <w:numId w:val="2"/>
        </w:numPr>
        <w:spacing w:after="60"/>
        <w:jc w:val="both"/>
      </w:pPr>
      <w:r>
        <w:t>To model a five-zone</w:t>
      </w:r>
      <w:r w:rsidR="00FD1A49">
        <w:t xml:space="preserve"> small modular reactor</w:t>
      </w:r>
      <w:r>
        <w:t xml:space="preserve"> </w:t>
      </w:r>
      <w:r w:rsidR="00FD1A49">
        <w:t>(</w:t>
      </w:r>
      <w:r>
        <w:t>SMR</w:t>
      </w:r>
      <w:r w:rsidR="00FD1A49">
        <w:t>)</w:t>
      </w:r>
      <w:r>
        <w:t xml:space="preserve"> </w:t>
      </w:r>
      <w:r w:rsidR="00F26BFD">
        <w:t>industrial control system (ICS)</w:t>
      </w:r>
      <w:r>
        <w:t xml:space="preserve"> based on IEC 62443 zoning and measure the weak points of each zone using</w:t>
      </w:r>
      <w:r w:rsidR="007D558E">
        <w:t xml:space="preserve"> Monte Carlo threat simulation</w:t>
      </w:r>
      <w:r>
        <w:t>.</w:t>
      </w:r>
    </w:p>
    <w:p w:rsidR="00C5665A" w:rsidRDefault="00D92B12">
      <w:pPr>
        <w:pStyle w:val="ListParagraph"/>
        <w:numPr>
          <w:ilvl w:val="0"/>
          <w:numId w:val="2"/>
        </w:numPr>
        <w:spacing w:after="60"/>
        <w:jc w:val="both"/>
      </w:pPr>
      <w:r>
        <w:t>To build a finite-key, decoy-state BB84</w:t>
      </w:r>
      <w:r w:rsidR="00F26BFD">
        <w:t xml:space="preserve"> quantum key distribution</w:t>
      </w:r>
      <w:r>
        <w:t xml:space="preserve"> </w:t>
      </w:r>
      <w:r w:rsidR="00F26BFD">
        <w:t>(</w:t>
      </w:r>
      <w:r>
        <w:t>QKD</w:t>
      </w:r>
      <w:r w:rsidR="00F26BFD">
        <w:t>)</w:t>
      </w:r>
      <w:r>
        <w:t xml:space="preserve"> model and combine it with NIST-standardized</w:t>
      </w:r>
      <w:r w:rsidR="00F26BFD">
        <w:t xml:space="preserve"> post quantum cryptography (</w:t>
      </w:r>
      <w:r>
        <w:t>PQC</w:t>
      </w:r>
      <w:r w:rsidR="00F26BFD">
        <w:t>)</w:t>
      </w:r>
      <w:r>
        <w:t xml:space="preserve"> algorithms through a hybrid key combiner.</w:t>
      </w:r>
    </w:p>
    <w:p w:rsidR="00C5665A" w:rsidRDefault="00D92B12">
      <w:pPr>
        <w:pStyle w:val="ListParagraph"/>
        <w:numPr>
          <w:ilvl w:val="0"/>
          <w:numId w:val="2"/>
        </w:numPr>
        <w:spacing w:after="60"/>
        <w:jc w:val="both"/>
      </w:pPr>
      <w:r>
        <w:t>To compare four setups (classical</w:t>
      </w:r>
      <w:r w:rsidR="00F26BFD">
        <w:t xml:space="preserve"> (RSA/AES)</w:t>
      </w:r>
      <w:r>
        <w:t>, QKD-only, PQC-only and hybrid) on attack success rate, anomaly detection</w:t>
      </w:r>
      <w:r w:rsidR="007D558E">
        <w:t xml:space="preserve"> </w:t>
      </w:r>
      <w:r w:rsidR="00330D5C">
        <w:t xml:space="preserve">(on </w:t>
      </w:r>
      <w:r w:rsidR="007D558E">
        <w:t>real ICS attack datasets</w:t>
      </w:r>
      <w:r w:rsidR="00330D5C">
        <w:t>)</w:t>
      </w:r>
      <w:r w:rsidR="00A23EAF">
        <w:t xml:space="preserve"> </w:t>
      </w:r>
      <w:r>
        <w:t>and delay against PLC deadlines.</w:t>
      </w:r>
    </w:p>
    <w:p w:rsidR="00C5665A" w:rsidRDefault="00AA276D">
      <w:pPr>
        <w:pStyle w:val="ListParagraph"/>
        <w:numPr>
          <w:ilvl w:val="0"/>
          <w:numId w:val="2"/>
        </w:numPr>
        <w:spacing w:after="60"/>
        <w:jc w:val="both"/>
      </w:pPr>
      <w:r>
        <w:t>To design a zone protection i</w:t>
      </w:r>
      <w:r w:rsidR="00D92B12">
        <w:t>ndex (ZPI) and validate it against IEC 62443-3-3 Security Levels and CVSS scores using statistical tests.</w:t>
      </w:r>
    </w:p>
    <w:p w:rsidR="00CD7B9C" w:rsidRDefault="00CD7B9C" w:rsidP="00CD7B9C">
      <w:pPr>
        <w:pStyle w:val="ListParagraph"/>
        <w:spacing w:after="60"/>
        <w:ind w:left="540"/>
        <w:jc w:val="both"/>
      </w:pPr>
    </w:p>
    <w:p w:rsidR="00C5665A" w:rsidRDefault="00D92B12">
      <w:pPr>
        <w:keepNext/>
        <w:spacing w:before="180" w:after="40"/>
      </w:pPr>
      <w:r>
        <w:rPr>
          <w:b/>
          <w:bCs/>
        </w:rPr>
        <w:t>12. Outline of Methodology / Experimental Design</w:t>
      </w:r>
    </w:p>
    <w:p w:rsidR="00C5665A" w:rsidRDefault="00D92B12">
      <w:pPr>
        <w:keepNext/>
        <w:spacing w:after="80"/>
        <w:jc w:val="both"/>
      </w:pPr>
      <w:r>
        <w:rPr>
          <w:i/>
          <w:iCs/>
        </w:rPr>
        <w:t>(Outline the approach and the sequence of activities in not more than 500 words to describe how the work will be carried out. Figure/Table will be considered as 100 words.)</w:t>
      </w:r>
    </w:p>
    <w:p w:rsidR="00C5665A" w:rsidRDefault="00D92B12">
      <w:pPr>
        <w:spacing w:after="100" w:line="264" w:lineRule="auto"/>
        <w:jc w:val="both"/>
      </w:pPr>
      <w:r>
        <w:t>A hybrid QKD+PQC framework is tested on a simulated five-zone SMR network (19 nodes, 20 inter-zone links; Zone 1 = safety instrumentation, Zone 5 = enterprise) using</w:t>
      </w:r>
      <w:r w:rsidR="00D3517F">
        <w:t xml:space="preserve"> </w:t>
      </w:r>
      <w:r w:rsidR="00DC0F7C">
        <w:t>Monte</w:t>
      </w:r>
      <w:r w:rsidR="00D3517F">
        <w:t xml:space="preserve"> </w:t>
      </w:r>
      <w:r w:rsidR="00DC0F7C">
        <w:t>Carlo</w:t>
      </w:r>
      <w:r w:rsidR="00D3517F">
        <w:t xml:space="preserve"> threat simulation and anomaly detection</w:t>
      </w:r>
      <w:r w:rsidR="00DC0F7C">
        <w:t xml:space="preserve"> based on</w:t>
      </w:r>
      <w:r>
        <w:t xml:space="preserve"> open ICS datasets (HAI, </w:t>
      </w:r>
      <w:proofErr w:type="spellStart"/>
      <w:r>
        <w:t>SWaT</w:t>
      </w:r>
      <w:proofErr w:type="spellEnd"/>
      <w:r w:rsidR="003E6063">
        <w:t>, WADI</w:t>
      </w:r>
      <w:r w:rsidR="00647470">
        <w:t xml:space="preserve">). </w:t>
      </w:r>
      <w:r w:rsidR="00065B17">
        <w:t>Fig.1 represents the hybrid security workflow for layered</w:t>
      </w:r>
      <w:r w:rsidR="008D1FFE">
        <w:t xml:space="preserve"> (five-zone)</w:t>
      </w:r>
      <w:r w:rsidR="00065B17">
        <w:t xml:space="preserve"> industrial control system.</w:t>
      </w:r>
    </w:p>
    <w:p w:rsidR="00C5665A" w:rsidRDefault="00DA011B">
      <w:pPr>
        <w:spacing w:before="80" w:after="40"/>
        <w:jc w:val="center"/>
      </w:pPr>
      <w:r w:rsidRPr="00DA011B">
        <w:lastRenderedPageBreak/>
        <w:drawing>
          <wp:inline distT="0" distB="0" distL="0" distR="0" wp14:anchorId="78F78040" wp14:editId="268701ED">
            <wp:extent cx="6153150" cy="3762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3150" cy="3762375"/>
                    </a:xfrm>
                    <a:prstGeom prst="rect">
                      <a:avLst/>
                    </a:prstGeom>
                  </pic:spPr>
                </pic:pic>
              </a:graphicData>
            </a:graphic>
          </wp:inline>
        </w:drawing>
      </w:r>
    </w:p>
    <w:p w:rsidR="00C5665A" w:rsidRDefault="00D92B12">
      <w:pPr>
        <w:spacing w:after="120"/>
        <w:jc w:val="center"/>
        <w:rPr>
          <w:bCs/>
        </w:rPr>
      </w:pPr>
      <w:r w:rsidRPr="00DA011B">
        <w:rPr>
          <w:bCs/>
        </w:rPr>
        <w:t>Fig. 1: End-to-end hybrid QKD+PQC security workflow for five-zone SMR ICS</w:t>
      </w:r>
    </w:p>
    <w:p w:rsidR="00065B17" w:rsidRDefault="00065B17">
      <w:pPr>
        <w:spacing w:after="120"/>
        <w:jc w:val="center"/>
        <w:rPr>
          <w:bCs/>
        </w:rPr>
      </w:pPr>
    </w:p>
    <w:p w:rsidR="00065B17" w:rsidRPr="00DA011B" w:rsidRDefault="00065B17" w:rsidP="008D1FFE">
      <w:pPr>
        <w:spacing w:after="120"/>
        <w:jc w:val="both"/>
      </w:pPr>
      <w:r>
        <w:rPr>
          <w:bCs/>
        </w:rPr>
        <w:t xml:space="preserve">Fig.2. represents the detailed methodology of the research work. </w:t>
      </w:r>
      <w:r w:rsidR="008D1FFE">
        <w:rPr>
          <w:bCs/>
        </w:rPr>
        <w:t>It</w:t>
      </w:r>
      <w:r>
        <w:rPr>
          <w:bCs/>
        </w:rPr>
        <w:t xml:space="preserve"> has been divided into four</w:t>
      </w:r>
      <w:r w:rsidR="008D1FFE">
        <w:rPr>
          <w:bCs/>
        </w:rPr>
        <w:t xml:space="preserve"> </w:t>
      </w:r>
      <w:r>
        <w:rPr>
          <w:bCs/>
        </w:rPr>
        <w:t>steps.</w:t>
      </w:r>
    </w:p>
    <w:p w:rsidR="00C5665A" w:rsidRDefault="00215A7C">
      <w:pPr>
        <w:keepNext/>
        <w:spacing w:after="100" w:line="264" w:lineRule="auto"/>
        <w:jc w:val="both"/>
      </w:pPr>
      <w:r>
        <w:t>Step 1: QKD model:</w:t>
      </w:r>
      <w:r w:rsidR="00D92B12">
        <w:t xml:space="preserve"> </w:t>
      </w:r>
      <w:proofErr w:type="spellStart"/>
      <w:r w:rsidR="00D92B12">
        <w:t>Fibre</w:t>
      </w:r>
      <w:proofErr w:type="spellEnd"/>
      <w:r w:rsidR="00D92B12">
        <w:t xml:space="preserve"> loss, quantum bit error rate (QBER) and finite-key bounds [5] give </w:t>
      </w:r>
      <w:proofErr w:type="spellStart"/>
      <w:r w:rsidR="00D92B12">
        <w:t>Eqs</w:t>
      </w:r>
      <w:proofErr w:type="spellEnd"/>
      <w:r w:rsidR="00D92B12">
        <w:t>. (1)</w:t>
      </w:r>
      <w:proofErr w:type="gramStart"/>
      <w:r w:rsidR="00D92B12">
        <w:t>–(</w:t>
      </w:r>
      <w:proofErr w:type="gramEnd"/>
      <w:r w:rsidR="00D92B12">
        <w:t>3):</w:t>
      </w:r>
    </w:p>
    <w:p w:rsidR="00C5665A" w:rsidRDefault="00D92B12">
      <w:pPr>
        <w:tabs>
          <w:tab w:val="center" w:pos="4513"/>
          <w:tab w:val="right" w:pos="9026"/>
        </w:tabs>
        <w:spacing w:before="100" w:after="100"/>
      </w:pPr>
      <w:r>
        <w:tab/>
      </w:r>
      <m:oMath>
        <m:sSub>
          <m:sSubPr>
            <m:ctrlPr>
              <w:rPr>
                <w:rFonts w:ascii="Cambria Math" w:hAnsi="Cambria Math"/>
              </w:rPr>
            </m:ctrlPr>
          </m:sSubPr>
          <m:e>
            <m:r>
              <w:rPr>
                <w:rFonts w:ascii="Cambria Math" w:hAnsi="Cambria Math"/>
              </w:rPr>
              <m:t>η</m:t>
            </m:r>
          </m:e>
          <m:sub>
            <m:r>
              <m:rPr>
                <m:sty m:val="p"/>
              </m:rPr>
              <w:rPr>
                <w:rFonts w:ascii="Cambria Math" w:hAnsi="Cambria Math"/>
              </w:rPr>
              <m:t>ch</m:t>
            </m:r>
          </m:sub>
        </m:sSub>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f</m:t>
                </m:r>
              </m:sub>
            </m:sSub>
            <m:r>
              <w:rPr>
                <w:rFonts w:ascii="Cambria Math" w:hAnsi="Cambria Math"/>
              </w:rPr>
              <m:t>L/10</m:t>
            </m:r>
          </m:sup>
        </m:sSup>
      </m:oMath>
      <w:r>
        <w:tab/>
        <w:t>(1)</w:t>
      </w:r>
    </w:p>
    <w:p w:rsidR="00C5665A" w:rsidRDefault="00D92B12">
      <w:pPr>
        <w:tabs>
          <w:tab w:val="center" w:pos="4513"/>
          <w:tab w:val="right" w:pos="9026"/>
        </w:tabs>
        <w:spacing w:before="100" w:after="100"/>
      </w:pPr>
      <w:r>
        <w:tab/>
      </w:r>
      <m:oMath>
        <m:r>
          <w:rPr>
            <w:rFonts w:ascii="Cambria Math" w:hAnsi="Cambria Math"/>
          </w:rPr>
          <m:t xml:space="preserve">e = </m:t>
        </m:r>
        <m:sSub>
          <m:sSubPr>
            <m:ctrlPr>
              <w:rPr>
                <w:rFonts w:ascii="Cambria Math" w:hAnsi="Cambria Math"/>
              </w:rPr>
            </m:ctrlPr>
          </m:sSubPr>
          <m:e>
            <m:r>
              <w:rPr>
                <w:rFonts w:ascii="Cambria Math" w:hAnsi="Cambria Math"/>
              </w:rPr>
              <m:t>e</m:t>
            </m:r>
          </m:e>
          <m:sub>
            <m:r>
              <m:rPr>
                <m:sty m:val="p"/>
              </m:rPr>
              <w:rPr>
                <w:rFonts w:ascii="Cambria Math" w:hAnsi="Cambria Math"/>
              </w:rPr>
              <m:t>opt</m:t>
            </m:r>
          </m:sub>
        </m:sSub>
        <m: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dark</m:t>
            </m:r>
          </m:sub>
        </m:sSub>
        <m:r>
          <w:rPr>
            <w:rFonts w:ascii="Cambria Math" w:hAnsi="Cambria Math"/>
          </w:rPr>
          <m:t xml:space="preserve"> + 0.25 </m:t>
        </m:r>
        <m:sSub>
          <m:sSubPr>
            <m:ctrlPr>
              <w:rPr>
                <w:rFonts w:ascii="Cambria Math" w:hAnsi="Cambria Math"/>
              </w:rPr>
            </m:ctrlPr>
          </m:sSubPr>
          <m:e>
            <m:r>
              <w:rPr>
                <w:rFonts w:ascii="Cambria Math" w:hAnsi="Cambria Math"/>
              </w:rPr>
              <m:t>p</m:t>
            </m:r>
          </m:e>
          <m:sub>
            <m:r>
              <m:rPr>
                <m:sty m:val="p"/>
              </m:rPr>
              <w:rPr>
                <w:rFonts w:ascii="Cambria Math" w:hAnsi="Cambria Math"/>
              </w:rPr>
              <m:t>Eve</m:t>
            </m:r>
          </m:sub>
        </m:sSub>
      </m:oMath>
      <w:r>
        <w:tab/>
        <w:t>(2)</w:t>
      </w:r>
    </w:p>
    <w:p w:rsidR="00C5665A" w:rsidRDefault="00D92B12">
      <w:pPr>
        <w:tabs>
          <w:tab w:val="center" w:pos="4513"/>
          <w:tab w:val="right" w:pos="9026"/>
        </w:tabs>
        <w:spacing w:before="100" w:after="100"/>
      </w:pPr>
      <w:r>
        <w:tab/>
      </w:r>
      <m:oMath>
        <m:r>
          <w:rPr>
            <w:rFonts w:ascii="Cambria Math" w:hAnsi="Cambria Math"/>
          </w:rPr>
          <m:t xml:space="preserve">l =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d>
          <m:dPr>
            <m:begChr m:val="["/>
            <m:endChr m:val="]"/>
            <m:ctrlPr>
              <w:rPr>
                <w:rFonts w:ascii="Cambria Math" w:hAnsi="Cambria Math"/>
              </w:rPr>
            </m:ctrlPr>
          </m:dPr>
          <m:e>
            <m:r>
              <w:rPr>
                <w:rFonts w:ascii="Cambria Math" w:hAnsi="Cambria Math"/>
              </w:rPr>
              <m:t xml:space="preserve">1 -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ph</m:t>
                    </m:r>
                  </m:sub>
                </m:sSub>
              </m:e>
            </m:d>
          </m:e>
        </m:d>
        <m:r>
          <w:rPr>
            <w:rFonts w:ascii="Cambria Math" w:hAnsi="Cambria Math"/>
          </w:rPr>
          <m:t xml:space="preserve"> - f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r>
          <w:rPr>
            <w:rFonts w:ascii="Cambria Math" w:hAnsi="Cambria Math"/>
          </w:rPr>
          <m:t>h</m:t>
        </m:r>
        <m:d>
          <m:dPr>
            <m:ctrlPr>
              <w:rPr>
                <w:rFonts w:ascii="Cambria Math" w:hAnsi="Cambria Math"/>
              </w:rPr>
            </m:ctrlPr>
          </m:dPr>
          <m:e>
            <m:r>
              <w:rPr>
                <w:rFonts w:ascii="Cambria Math" w:hAnsi="Cambria Math"/>
              </w:rPr>
              <m:t>e</m:t>
            </m:r>
          </m:e>
        </m:d>
        <m:r>
          <w:rPr>
            <w:rFonts w:ascii="Cambria Math" w:hAnsi="Cambria Math"/>
          </w:rPr>
          <m:t xml:space="preserve"> - </m:t>
        </m:r>
        <m:sSub>
          <m:sSubPr>
            <m:ctrlPr>
              <w:rPr>
                <w:rFonts w:ascii="Cambria Math" w:hAnsi="Cambria Math"/>
              </w:rPr>
            </m:ctrlPr>
          </m:sSubPr>
          <m:e>
            <m:r>
              <w:rPr>
                <w:rFonts w:ascii="Cambria Math" w:hAnsi="Cambria Math"/>
              </w:rPr>
              <m:t>Δ</m:t>
            </m:r>
          </m:e>
          <m:sub>
            <m:r>
              <m:rPr>
                <m:sty m:val="p"/>
              </m:rPr>
              <w:rPr>
                <w:rFonts w:ascii="Cambria Math" w:hAnsi="Cambria Math"/>
              </w:rPr>
              <m:t>finite</m:t>
            </m:r>
          </m:sub>
        </m:sSub>
        <m:sSub>
          <m:sSubPr>
            <m:ctrlPr>
              <w:rPr>
                <w:rFonts w:ascii="Cambria Math" w:hAnsi="Cambria Math"/>
              </w:rPr>
            </m:ctrlPr>
          </m:sSubPr>
          <m:e>
            <m:r>
              <w:rPr>
                <w:rFonts w:ascii="Cambria Math" w:hAnsi="Cambria Math"/>
              </w:rPr>
              <m:t>n</m:t>
            </m:r>
          </m:e>
          <m:sub>
            <m:r>
              <m:rPr>
                <m:sty m:val="p"/>
              </m:rPr>
              <w:rPr>
                <w:rFonts w:ascii="Cambria Math" w:hAnsi="Cambria Math"/>
              </w:rPr>
              <m:t>sift</m:t>
            </m:r>
          </m:sub>
        </m:sSub>
      </m:oMath>
      <w:r>
        <w:tab/>
        <w:t>(3)</w:t>
      </w:r>
    </w:p>
    <w:p w:rsidR="00C5665A" w:rsidRDefault="00D92B12">
      <w:pPr>
        <w:spacing w:after="100" w:line="264" w:lineRule="auto"/>
        <w:jc w:val="both"/>
      </w:pPr>
      <w:r>
        <w:t xml:space="preserve">Here </w:t>
      </w:r>
      <w:r>
        <w:rPr>
          <w:i/>
          <w:iCs/>
        </w:rPr>
        <w:t>α</w:t>
      </w:r>
      <w:r>
        <w:rPr>
          <w:i/>
          <w:iCs/>
          <w:vertAlign w:val="subscript"/>
        </w:rPr>
        <w:t>f</w:t>
      </w:r>
      <w:r>
        <w:t xml:space="preserve"> is </w:t>
      </w:r>
      <w:proofErr w:type="spellStart"/>
      <w:r>
        <w:t>fibre</w:t>
      </w:r>
      <w:proofErr w:type="spellEnd"/>
      <w:r>
        <w:t xml:space="preserve"> loss, </w:t>
      </w:r>
      <w:r>
        <w:rPr>
          <w:i/>
          <w:iCs/>
        </w:rPr>
        <w:t>L</w:t>
      </w:r>
      <w:r>
        <w:t xml:space="preserve"> distance, </w:t>
      </w:r>
      <w:proofErr w:type="spellStart"/>
      <w:r>
        <w:rPr>
          <w:i/>
          <w:iCs/>
        </w:rPr>
        <w:t>e</w:t>
      </w:r>
      <w:r w:rsidRPr="009B20E6">
        <w:rPr>
          <w:iCs/>
          <w:vertAlign w:val="subscript"/>
        </w:rPr>
        <w:t>opt</w:t>
      </w:r>
      <w:proofErr w:type="spellEnd"/>
      <w:r>
        <w:t xml:space="preserve"> and </w:t>
      </w:r>
      <w:proofErr w:type="spellStart"/>
      <w:r>
        <w:rPr>
          <w:i/>
          <w:iCs/>
        </w:rPr>
        <w:t>e</w:t>
      </w:r>
      <w:r w:rsidRPr="009B20E6">
        <w:rPr>
          <w:iCs/>
          <w:vertAlign w:val="subscript"/>
        </w:rPr>
        <w:t>dark</w:t>
      </w:r>
      <w:proofErr w:type="spellEnd"/>
      <w:r w:rsidRPr="009B20E6">
        <w:t xml:space="preserve"> </w:t>
      </w:r>
      <w:r>
        <w:t xml:space="preserve">optical and dark-count errors, </w:t>
      </w:r>
      <w:proofErr w:type="spellStart"/>
      <w:r>
        <w:rPr>
          <w:i/>
          <w:iCs/>
        </w:rPr>
        <w:t>p</w:t>
      </w:r>
      <w:r w:rsidRPr="009B20E6">
        <w:rPr>
          <w:iCs/>
          <w:vertAlign w:val="subscript"/>
        </w:rPr>
        <w:t>Eve</w:t>
      </w:r>
      <w:proofErr w:type="spellEnd"/>
      <w:r>
        <w:t xml:space="preserve"> the eavesdropped share, </w:t>
      </w:r>
      <w:proofErr w:type="spellStart"/>
      <w:r>
        <w:rPr>
          <w:i/>
          <w:iCs/>
        </w:rPr>
        <w:t>e</w:t>
      </w:r>
      <w:r>
        <w:rPr>
          <w:i/>
          <w:iCs/>
          <w:vertAlign w:val="subscript"/>
        </w:rPr>
        <w:t>ph</w:t>
      </w:r>
      <w:proofErr w:type="spellEnd"/>
      <w:r>
        <w:t xml:space="preserve"> the phase-error bound (with finite-size fluctuation), </w:t>
      </w:r>
      <w:r>
        <w:rPr>
          <w:i/>
          <w:iCs/>
        </w:rPr>
        <w:t>h</w:t>
      </w:r>
      <w:r>
        <w:t xml:space="preserve">(·) binary entropy, </w:t>
      </w:r>
      <w:r>
        <w:rPr>
          <w:i/>
          <w:iCs/>
        </w:rPr>
        <w:t>f</w:t>
      </w:r>
      <w:r>
        <w:t xml:space="preserve"> error-correction efficiency, </w:t>
      </w:r>
      <w:proofErr w:type="spellStart"/>
      <w:r>
        <w:rPr>
          <w:i/>
          <w:iCs/>
        </w:rPr>
        <w:t>n</w:t>
      </w:r>
      <w:r>
        <w:rPr>
          <w:i/>
          <w:iCs/>
          <w:vertAlign w:val="subscript"/>
        </w:rPr>
        <w:t>sift</w:t>
      </w:r>
      <w:proofErr w:type="spellEnd"/>
      <w:r>
        <w:t xml:space="preserve"> the sifted key length, </w:t>
      </w:r>
      <w:proofErr w:type="spellStart"/>
      <w:r>
        <w:rPr>
          <w:i/>
          <w:iCs/>
        </w:rPr>
        <w:t>Δ</w:t>
      </w:r>
      <w:r w:rsidRPr="00690592">
        <w:rPr>
          <w:iCs/>
          <w:vertAlign w:val="subscript"/>
        </w:rPr>
        <w:t>finite</w:t>
      </w:r>
      <w:proofErr w:type="spellEnd"/>
      <w:r>
        <w:t xml:space="preserve"> = </w:t>
      </w:r>
      <m:oMath>
        <m:f>
          <m:fPr>
            <m:ctrlPr>
              <w:rPr>
                <w:rFonts w:ascii="Cambria Math" w:hAnsi="Cambria Math"/>
                <w:i/>
              </w:rPr>
            </m:ctrlPr>
          </m:fPr>
          <m:num>
            <m:r>
              <m:rPr>
                <m:sty m:val="p"/>
              </m:rPr>
              <w:rPr>
                <w:rFonts w:ascii="Cambria Math" w:hAnsi="Cambria Math"/>
              </w:rPr>
              <m:t xml:space="preserve">2 </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ε</m:t>
                </m:r>
              </m:den>
            </m:f>
            <m:r>
              <w:rPr>
                <w:rFonts w:ascii="Cambria Math" w:hAnsi="Cambria Math"/>
              </w:rPr>
              <m:t>)</m:t>
            </m:r>
          </m:num>
          <m:den>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sift</m:t>
                </m:r>
              </m:sub>
            </m:sSub>
          </m:den>
        </m:f>
      </m:oMath>
      <w:r w:rsidR="00215A7C">
        <w:t xml:space="preserve"> </w:t>
      </w:r>
      <w:r>
        <w:t xml:space="preserve">the finite-size penalty, and </w:t>
      </w:r>
      <w:r>
        <w:rPr>
          <w:i/>
          <w:iCs/>
        </w:rPr>
        <w:t>ε</w:t>
      </w:r>
      <w:r>
        <w:t xml:space="preserve"> the failure probability.</w:t>
      </w:r>
      <w:bookmarkStart w:id="0" w:name="_GoBack"/>
      <w:bookmarkEnd w:id="0"/>
    </w:p>
    <w:p w:rsidR="00C5665A" w:rsidRDefault="00D92B12">
      <w:pPr>
        <w:keepNext/>
        <w:spacing w:after="100" w:line="264" w:lineRule="auto"/>
        <w:jc w:val="both"/>
      </w:pPr>
      <w:r>
        <w:t>Decoy states [3] block the PNS attack, giving Eq. (4):</w:t>
      </w:r>
    </w:p>
    <w:p w:rsidR="00C5665A" w:rsidRDefault="00D92B12">
      <w:pPr>
        <w:tabs>
          <w:tab w:val="center" w:pos="4513"/>
          <w:tab w:val="right" w:pos="9026"/>
        </w:tabs>
        <w:spacing w:before="100" w:after="100"/>
      </w:pPr>
      <w:r>
        <w:tab/>
      </w:r>
      <m:oMath>
        <m:r>
          <w:rPr>
            <w:rFonts w:ascii="Cambria Math" w:hAnsi="Cambria Math"/>
          </w:rPr>
          <m:t xml:space="preserve">l =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1,L</m:t>
                    </m:r>
                  </m:sub>
                </m:sSub>
              </m:num>
              <m:den>
                <m:sSub>
                  <m:sSubPr>
                    <m:ctrlPr>
                      <w:rPr>
                        <w:rFonts w:ascii="Cambria Math" w:hAnsi="Cambria Math"/>
                      </w:rPr>
                    </m:ctrlPr>
                  </m:sSubPr>
                  <m:e>
                    <m:r>
                      <w:rPr>
                        <w:rFonts w:ascii="Cambria Math" w:hAnsi="Cambria Math"/>
                      </w:rPr>
                      <m:t>Q</m:t>
                    </m:r>
                  </m:e>
                  <m:sub>
                    <m:r>
                      <w:rPr>
                        <w:rFonts w:ascii="Cambria Math" w:hAnsi="Cambria Math"/>
                      </w:rPr>
                      <m:t>μ</m:t>
                    </m:r>
                  </m:sub>
                </m:sSub>
              </m:den>
            </m:f>
          </m:e>
        </m:d>
        <m:d>
          <m:dPr>
            <m:begChr m:val="["/>
            <m:endChr m:val="]"/>
            <m:ctrlPr>
              <w:rPr>
                <w:rFonts w:ascii="Cambria Math" w:hAnsi="Cambria Math"/>
              </w:rPr>
            </m:ctrlPr>
          </m:dPr>
          <m:e>
            <m:r>
              <w:rPr>
                <w:rFonts w:ascii="Cambria Math" w:hAnsi="Cambria Math"/>
              </w:rPr>
              <m:t xml:space="preserve">1 -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1,U</m:t>
                    </m:r>
                  </m:sub>
                </m:sSub>
              </m:e>
            </m:d>
          </m:e>
        </m:d>
        <m:r>
          <w:rPr>
            <w:rFonts w:ascii="Cambria Math" w:hAnsi="Cambria Math"/>
          </w:rPr>
          <m:t xml:space="preserve"> - f </m:t>
        </m:r>
        <m:sSub>
          <m:sSubPr>
            <m:ctrlPr>
              <w:rPr>
                <w:rFonts w:ascii="Cambria Math" w:hAnsi="Cambria Math"/>
              </w:rPr>
            </m:ctrlPr>
          </m:sSubPr>
          <m:e>
            <m:r>
              <w:rPr>
                <w:rFonts w:ascii="Cambria Math" w:hAnsi="Cambria Math"/>
              </w:rPr>
              <m:t>n</m:t>
            </m:r>
          </m:e>
          <m:sub>
            <m:r>
              <m:rPr>
                <m:sty m:val="p"/>
              </m:rPr>
              <w:rPr>
                <w:rFonts w:ascii="Cambria Math" w:hAnsi="Cambria Math"/>
              </w:rPr>
              <m:t>sift</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μ</m:t>
                </m:r>
              </m:sub>
            </m:sSub>
          </m:e>
        </m:d>
        <m:r>
          <w:rPr>
            <w:rFonts w:ascii="Cambria Math" w:hAnsi="Cambria Math"/>
          </w:rPr>
          <m:t xml:space="preserve"> - </m:t>
        </m:r>
        <m:sSub>
          <m:sSubPr>
            <m:ctrlPr>
              <w:rPr>
                <w:rFonts w:ascii="Cambria Math" w:hAnsi="Cambria Math"/>
              </w:rPr>
            </m:ctrlPr>
          </m:sSubPr>
          <m:e>
            <m:r>
              <w:rPr>
                <w:rFonts w:ascii="Cambria Math" w:hAnsi="Cambria Math"/>
              </w:rPr>
              <m:t>Δ</m:t>
            </m:r>
          </m:e>
          <m:sub>
            <m:r>
              <m:rPr>
                <m:sty m:val="p"/>
              </m:rPr>
              <w:rPr>
                <w:rFonts w:ascii="Cambria Math" w:hAnsi="Cambria Math"/>
              </w:rPr>
              <m:t>finite</m:t>
            </m:r>
          </m:sub>
        </m:sSub>
        <m:sSub>
          <m:sSubPr>
            <m:ctrlPr>
              <w:rPr>
                <w:rFonts w:ascii="Cambria Math" w:hAnsi="Cambria Math"/>
              </w:rPr>
            </m:ctrlPr>
          </m:sSubPr>
          <m:e>
            <m:r>
              <w:rPr>
                <w:rFonts w:ascii="Cambria Math" w:hAnsi="Cambria Math"/>
              </w:rPr>
              <m:t>n</m:t>
            </m:r>
          </m:e>
          <m:sub>
            <m:r>
              <m:rPr>
                <m:sty m:val="p"/>
              </m:rPr>
              <w:rPr>
                <w:rFonts w:ascii="Cambria Math" w:hAnsi="Cambria Math"/>
              </w:rPr>
              <m:t>sift</m:t>
            </m:r>
          </m:sub>
        </m:sSub>
      </m:oMath>
      <w:r>
        <w:tab/>
        <w:t>(4)</w:t>
      </w:r>
    </w:p>
    <w:p w:rsidR="00C5665A" w:rsidRDefault="00D92B12">
      <w:pPr>
        <w:spacing w:after="100" w:line="264" w:lineRule="auto"/>
        <w:jc w:val="both"/>
      </w:pPr>
      <w:proofErr w:type="gramStart"/>
      <w:r>
        <w:t>where</w:t>
      </w:r>
      <w:proofErr w:type="gramEnd"/>
      <w:r>
        <w:t xml:space="preserve"> </w:t>
      </w:r>
      <w:r>
        <w:rPr>
          <w:i/>
          <w:iCs/>
        </w:rPr>
        <w:t>Q</w:t>
      </w:r>
      <w:r>
        <w:rPr>
          <w:i/>
          <w:iCs/>
          <w:vertAlign w:val="subscript"/>
        </w:rPr>
        <w:t>1,L</w:t>
      </w:r>
      <w:r>
        <w:t xml:space="preserve"> is the single-photon gain lower bound, </w:t>
      </w:r>
      <w:proofErr w:type="spellStart"/>
      <w:r>
        <w:rPr>
          <w:i/>
          <w:iCs/>
        </w:rPr>
        <w:t>Q</w:t>
      </w:r>
      <w:r>
        <w:rPr>
          <w:i/>
          <w:iCs/>
          <w:vertAlign w:val="subscript"/>
        </w:rPr>
        <w:t>μ</w:t>
      </w:r>
      <w:proofErr w:type="spellEnd"/>
      <w:r>
        <w:t xml:space="preserve"> the total gain, </w:t>
      </w:r>
      <w:r>
        <w:rPr>
          <w:i/>
          <w:iCs/>
        </w:rPr>
        <w:t>e</w:t>
      </w:r>
      <w:r>
        <w:rPr>
          <w:i/>
          <w:iCs/>
          <w:vertAlign w:val="subscript"/>
        </w:rPr>
        <w:t>1,U</w:t>
      </w:r>
      <w:r>
        <w:t xml:space="preserve"> the single-photon error upper bound, </w:t>
      </w:r>
      <w:proofErr w:type="spellStart"/>
      <w:r>
        <w:rPr>
          <w:i/>
          <w:iCs/>
        </w:rPr>
        <w:t>E</w:t>
      </w:r>
      <w:r>
        <w:rPr>
          <w:i/>
          <w:iCs/>
          <w:vertAlign w:val="subscript"/>
        </w:rPr>
        <w:t>μ</w:t>
      </w:r>
      <w:proofErr w:type="spellEnd"/>
      <w:r>
        <w:t xml:space="preserve"> the overall error, and </w:t>
      </w:r>
      <w:proofErr w:type="spellStart"/>
      <w:r>
        <w:rPr>
          <w:i/>
          <w:iCs/>
        </w:rPr>
        <w:t>Δ</w:t>
      </w:r>
      <w:r w:rsidRPr="00690592">
        <w:rPr>
          <w:iCs/>
          <w:vertAlign w:val="subscript"/>
        </w:rPr>
        <w:t>finite</w:t>
      </w:r>
      <w:proofErr w:type="spellEnd"/>
      <w:r>
        <w:t xml:space="preserve"> the finite-size penalty.</w:t>
      </w:r>
    </w:p>
    <w:p w:rsidR="00C5665A" w:rsidRDefault="00215A7C">
      <w:pPr>
        <w:keepNext/>
        <w:spacing w:after="100" w:line="264" w:lineRule="auto"/>
        <w:jc w:val="both"/>
      </w:pPr>
      <w:r>
        <w:t>Step 2: PQC and hybrid key:</w:t>
      </w:r>
      <w:r w:rsidR="00D92B12">
        <w:t xml:space="preserve"> ML-KEM-768, ML-DSA-65 and SLH-DSA-SHAKE-128s are benchmarked; a SHA3-256 combiner joins the keys [2], [7], Eq. (5):</w:t>
      </w:r>
    </w:p>
    <w:p w:rsidR="00C5665A" w:rsidRDefault="00D92B12">
      <w:pPr>
        <w:tabs>
          <w:tab w:val="center" w:pos="4513"/>
          <w:tab w:val="right" w:pos="9026"/>
        </w:tabs>
        <w:spacing w:before="100" w:after="100"/>
      </w:pPr>
      <w:r>
        <w:tab/>
      </w:r>
      <m:oMath>
        <m:r>
          <w:rPr>
            <w:rFonts w:ascii="Cambria Math" w:hAnsi="Cambria Math"/>
          </w:rPr>
          <m:t xml:space="preserve">K = </m:t>
        </m:r>
        <m:r>
          <m:rPr>
            <m:nor/>
          </m:rPr>
          <m:t>SHA3-256</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QKD</m:t>
                </m:r>
              </m:sub>
            </m:sSub>
            <m: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PQC</m:t>
                </m:r>
              </m:sub>
            </m:sSub>
          </m:e>
        </m:d>
      </m:oMath>
      <w:r>
        <w:tab/>
        <w:t>(5)</w:t>
      </w:r>
    </w:p>
    <w:p w:rsidR="00C5665A" w:rsidRDefault="00215A7C">
      <w:pPr>
        <w:keepNext/>
        <w:spacing w:after="100" w:line="264" w:lineRule="auto"/>
        <w:jc w:val="both"/>
      </w:pPr>
      <w:r>
        <w:t>Step 3: Scoring:</w:t>
      </w:r>
      <w:r w:rsidR="00D92B12">
        <w:t xml:space="preserve"> Each zone </w:t>
      </w:r>
      <w:r w:rsidR="00D92B12">
        <w:rPr>
          <w:i/>
          <w:iCs/>
        </w:rPr>
        <w:t>z</w:t>
      </w:r>
      <w:r w:rsidR="00D92B12">
        <w:t xml:space="preserve"> is scored from availability </w:t>
      </w:r>
      <w:proofErr w:type="gramStart"/>
      <w:r w:rsidR="00D92B12">
        <w:rPr>
          <w:i/>
          <w:iCs/>
        </w:rPr>
        <w:t>A</w:t>
      </w:r>
      <w:proofErr w:type="gramEnd"/>
      <w:r w:rsidR="00D92B12">
        <w:t xml:space="preserve">, integrity </w:t>
      </w:r>
      <w:r w:rsidR="00D92B12">
        <w:rPr>
          <w:i/>
          <w:iCs/>
        </w:rPr>
        <w:t>I</w:t>
      </w:r>
      <w:r w:rsidR="00D92B12">
        <w:t xml:space="preserve"> and confidentiality </w:t>
      </w:r>
      <w:r w:rsidR="00D92B12">
        <w:rPr>
          <w:i/>
          <w:iCs/>
        </w:rPr>
        <w:t>C</w:t>
      </w:r>
      <w:r w:rsidR="00D92B12">
        <w:t xml:space="preserve"> (weights </w:t>
      </w:r>
      <w:r w:rsidR="00D92B12">
        <w:rPr>
          <w:i/>
          <w:iCs/>
        </w:rPr>
        <w:t>w</w:t>
      </w:r>
      <w:r w:rsidR="00D92B12">
        <w:t xml:space="preserve">, Eq. 6). QKD and PQC scores merge into </w:t>
      </w:r>
      <w:r w:rsidR="00D92B12">
        <w:rPr>
          <w:i/>
          <w:iCs/>
        </w:rPr>
        <w:t>H</w:t>
      </w:r>
      <w:r w:rsidR="00D92B12">
        <w:t xml:space="preserve"> (weights </w:t>
      </w:r>
      <w:r w:rsidR="00D92B12">
        <w:rPr>
          <w:i/>
          <w:iCs/>
        </w:rPr>
        <w:t>α</w:t>
      </w:r>
      <w:r w:rsidR="00D92B12">
        <w:t xml:space="preserve">, </w:t>
      </w:r>
      <w:r w:rsidR="00D92B12">
        <w:rPr>
          <w:i/>
          <w:iCs/>
        </w:rPr>
        <w:t>β</w:t>
      </w:r>
      <w:r w:rsidR="00D92B12">
        <w:t xml:space="preserve">; Eq. 7). ZPI averages </w:t>
      </w:r>
      <w:r w:rsidR="00D92B12">
        <w:rPr>
          <w:i/>
          <w:iCs/>
        </w:rPr>
        <w:t>H</w:t>
      </w:r>
      <w:r w:rsidR="00D92B12">
        <w:t xml:space="preserve"> over |</w:t>
      </w:r>
      <w:r w:rsidR="00D92B12">
        <w:rPr>
          <w:i/>
          <w:iCs/>
        </w:rPr>
        <w:t>Z</w:t>
      </w:r>
      <w:r w:rsidR="00D92B12">
        <w:t xml:space="preserve">| zones, each divided by its classical baseline </w:t>
      </w:r>
      <w:r w:rsidR="00D92B12">
        <w:rPr>
          <w:i/>
          <w:iCs/>
        </w:rPr>
        <w:t>R</w:t>
      </w:r>
      <w:r w:rsidR="00D92B12">
        <w:t xml:space="preserve"> (Eq. 8).</w:t>
      </w:r>
    </w:p>
    <w:p w:rsidR="00C5665A" w:rsidRDefault="00D92B12">
      <w:pPr>
        <w:tabs>
          <w:tab w:val="center" w:pos="4513"/>
          <w:tab w:val="right" w:pos="9026"/>
        </w:tabs>
        <w:spacing w:before="100" w:after="100"/>
      </w:pPr>
      <w:r>
        <w:tab/>
      </w:r>
      <m:oMath>
        <m:sSub>
          <m:sSubPr>
            <m:ctrlPr>
              <w:rPr>
                <w:rFonts w:ascii="Cambria Math" w:hAnsi="Cambria Math"/>
              </w:rPr>
            </m:ctrlPr>
          </m:sSubPr>
          <m:e>
            <m:r>
              <w:rPr>
                <w:rFonts w:ascii="Cambria Math" w:hAnsi="Cambria Math"/>
              </w:rPr>
              <m:t>S</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z</m:t>
            </m:r>
          </m:sub>
        </m:sSub>
      </m:oMath>
      <w:r>
        <w:tab/>
        <w:t>(6)</w:t>
      </w:r>
    </w:p>
    <w:p w:rsidR="00C5665A" w:rsidRDefault="00D92B12">
      <w:pPr>
        <w:tabs>
          <w:tab w:val="center" w:pos="4513"/>
          <w:tab w:val="right" w:pos="9026"/>
        </w:tabs>
        <w:spacing w:before="100" w:after="100"/>
      </w:pPr>
      <w:r>
        <w:lastRenderedPageBreak/>
        <w:tab/>
      </w:r>
      <m:oMath>
        <m:sSub>
          <m:sSubPr>
            <m:ctrlPr>
              <w:rPr>
                <w:rFonts w:ascii="Cambria Math" w:hAnsi="Cambria Math"/>
              </w:rPr>
            </m:ctrlPr>
          </m:sSubPr>
          <m:e>
            <m:r>
              <w:rPr>
                <w:rFonts w:ascii="Cambria Math" w:hAnsi="Cambria Math"/>
              </w:rPr>
              <m:t>H</m:t>
            </m:r>
          </m:e>
          <m:sub>
            <m:r>
              <w:rPr>
                <w:rFonts w:ascii="Cambria Math" w:hAnsi="Cambria Math"/>
              </w:rPr>
              <m:t>z</m:t>
            </m:r>
          </m:sub>
        </m:sSub>
        <m:r>
          <w:rPr>
            <w:rFonts w:ascii="Cambria Math" w:hAnsi="Cambria Math"/>
          </w:rPr>
          <m:t xml:space="preserve"> = α </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QKD</m:t>
            </m:r>
          </m:sup>
        </m:sSubSup>
        <m:r>
          <w:rPr>
            <w:rFonts w:ascii="Cambria Math" w:hAnsi="Cambria Math"/>
          </w:rPr>
          <m:t xml:space="preserve"> + (1 - α) </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PQC</m:t>
            </m:r>
          </m:sup>
        </m:sSubSup>
        <m:r>
          <w:rPr>
            <w:rFonts w:ascii="Cambria Math" w:hAnsi="Cambria Math"/>
          </w:rPr>
          <m:t xml:space="preserve"> + β </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QKD</m:t>
            </m:r>
          </m:sup>
        </m:sSubSup>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PQC</m:t>
            </m:r>
          </m:sup>
        </m:sSubSup>
      </m:oMath>
      <w:r>
        <w:tab/>
        <w:t>(7)</w:t>
      </w:r>
    </w:p>
    <w:p w:rsidR="00C5665A" w:rsidRDefault="00D92B12">
      <w:pPr>
        <w:tabs>
          <w:tab w:val="center" w:pos="4513"/>
          <w:tab w:val="right" w:pos="9026"/>
        </w:tabs>
        <w:spacing w:before="100" w:after="100"/>
      </w:pPr>
      <w:r>
        <w:tab/>
      </w:r>
      <m:oMath>
        <m:r>
          <m:rPr>
            <m:sty m:val="p"/>
          </m:rPr>
          <w:rPr>
            <w:rFonts w:ascii="Cambria Math" w:hAnsi="Cambria Math"/>
          </w:rPr>
          <m:t>ZPI</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z</m:t>
            </m:r>
          </m:sub>
          <m:sup/>
          <m:e>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Z</m:t>
                    </m:r>
                  </m:sub>
                </m:sSub>
              </m:num>
              <m:den>
                <m:sSubSup>
                  <m:sSubSupPr>
                    <m:ctrlPr>
                      <w:rPr>
                        <w:rFonts w:ascii="Cambria Math" w:hAnsi="Cambria Math"/>
                        <w:i/>
                      </w:rPr>
                    </m:ctrlPr>
                  </m:sSubSupPr>
                  <m:e>
                    <m:r>
                      <w:rPr>
                        <w:rFonts w:ascii="Cambria Math" w:hAnsi="Cambria Math"/>
                      </w:rPr>
                      <m:t xml:space="preserve">      R</m:t>
                    </m:r>
                  </m:e>
                  <m:sub>
                    <m:r>
                      <w:rPr>
                        <w:rFonts w:ascii="Cambria Math" w:hAnsi="Cambria Math"/>
                      </w:rPr>
                      <m:t>Z</m:t>
                    </m:r>
                  </m:sub>
                  <m:sup>
                    <m:r>
                      <w:rPr>
                        <w:rFonts w:ascii="Cambria Math" w:hAnsi="Cambria Math"/>
                      </w:rPr>
                      <m:t>baseline</m:t>
                    </m:r>
                  </m:sup>
                </m:sSubSup>
              </m:den>
            </m:f>
          </m:e>
        </m:nary>
      </m:oMath>
      <w:r>
        <w:tab/>
        <w:t>(8)</w:t>
      </w:r>
    </w:p>
    <w:p w:rsidR="00F26BFD" w:rsidRDefault="00F26BFD">
      <w:pPr>
        <w:tabs>
          <w:tab w:val="center" w:pos="4513"/>
          <w:tab w:val="right" w:pos="9026"/>
        </w:tabs>
        <w:spacing w:before="100" w:after="100"/>
      </w:pPr>
    </w:p>
    <w:p w:rsidR="00F26BFD" w:rsidRDefault="00647470" w:rsidP="00F26BFD">
      <w:pPr>
        <w:spacing w:after="100" w:line="264" w:lineRule="auto"/>
        <w:jc w:val="both"/>
      </w:pPr>
      <w:r>
        <w:t>Step 4: Validation:</w:t>
      </w:r>
      <w:r w:rsidR="00F26BFD">
        <w:t xml:space="preserve"> Setups are compared by Monte-Carlo attack simulation, anomaly detection (RF, SVM-RBF, </w:t>
      </w:r>
      <w:proofErr w:type="gramStart"/>
      <w:r w:rsidR="00F26BFD">
        <w:t>Isolation</w:t>
      </w:r>
      <w:proofErr w:type="gramEnd"/>
      <w:r w:rsidR="00F26BFD">
        <w:t xml:space="preserve"> Forest) and a latency model vs. PLC deadlines (10–2000 </w:t>
      </w:r>
      <w:proofErr w:type="spellStart"/>
      <w:r w:rsidR="00F26BFD">
        <w:t>ms</w:t>
      </w:r>
      <w:proofErr w:type="spellEnd"/>
      <w:r w:rsidR="00F26BFD">
        <w:t xml:space="preserve">). Mann–Whitney U, </w:t>
      </w:r>
      <w:proofErr w:type="spellStart"/>
      <w:r w:rsidR="00F26BFD">
        <w:t>Kruskal</w:t>
      </w:r>
      <w:proofErr w:type="spellEnd"/>
      <w:r w:rsidR="00F26BFD">
        <w:t>–Wallis H, Welch’s t-test, Cohen’s d and 95% CI test differences. An eight-scenario check verifies ZPI ranking, and ±30% perturbation of the threat-mitigation matrix (attack-to-</w:t>
      </w:r>
      <w:r w:rsidR="00B0211D">
        <w:t>defense</w:t>
      </w:r>
      <w:r w:rsidR="00F26BFD">
        <w:t xml:space="preserve"> weights) tests sensitivity. ZPI is benchmarked against IEC 62443-3-3 Security Levels and CVSS v3.1; the top-ZPI configuration per zone forms the validated profile.</w:t>
      </w:r>
    </w:p>
    <w:p w:rsidR="00C5665A" w:rsidRDefault="002D570F" w:rsidP="005454FC">
      <w:pPr>
        <w:spacing w:before="80" w:after="40"/>
      </w:pPr>
      <w:r>
        <w:rPr>
          <w:noProof/>
        </w:rPr>
        <w:drawing>
          <wp:inline distT="0" distB="0" distL="0" distR="0">
            <wp:extent cx="5731510" cy="62071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_transparent_strips.png"/>
                    <pic:cNvPicPr/>
                  </pic:nvPicPr>
                  <pic:blipFill>
                    <a:blip r:embed="rId9">
                      <a:extLst>
                        <a:ext uri="{28A0092B-C50C-407E-A947-70E740481C1C}">
                          <a14:useLocalDpi xmlns:a14="http://schemas.microsoft.com/office/drawing/2010/main" val="0"/>
                        </a:ext>
                      </a:extLst>
                    </a:blip>
                    <a:stretch>
                      <a:fillRect/>
                    </a:stretch>
                  </pic:blipFill>
                  <pic:spPr>
                    <a:xfrm>
                      <a:off x="0" y="0"/>
                      <a:ext cx="5731510" cy="6207125"/>
                    </a:xfrm>
                    <a:prstGeom prst="rect">
                      <a:avLst/>
                    </a:prstGeom>
                  </pic:spPr>
                </pic:pic>
              </a:graphicData>
            </a:graphic>
          </wp:inline>
        </w:drawing>
      </w:r>
    </w:p>
    <w:p w:rsidR="00C5665A" w:rsidRPr="00DA011B" w:rsidRDefault="00D92B12">
      <w:pPr>
        <w:spacing w:after="120"/>
        <w:jc w:val="center"/>
      </w:pPr>
      <w:r w:rsidRPr="00DA011B">
        <w:rPr>
          <w:bCs/>
        </w:rPr>
        <w:t>Fig. 2: Overview of the proposed hybrid QKD+PQC evaluation methodology</w:t>
      </w:r>
    </w:p>
    <w:p w:rsidR="00C5665A" w:rsidRDefault="00D92B12">
      <w:pPr>
        <w:keepNext/>
        <w:spacing w:before="180" w:after="40"/>
      </w:pPr>
      <w:r>
        <w:rPr>
          <w:b/>
          <w:bCs/>
        </w:rPr>
        <w:lastRenderedPageBreak/>
        <w:t>13. Expected outcomes</w:t>
      </w:r>
    </w:p>
    <w:p w:rsidR="00C5665A" w:rsidRDefault="00D92B12">
      <w:pPr>
        <w:keepNext/>
        <w:spacing w:after="80"/>
        <w:jc w:val="both"/>
      </w:pPr>
      <w:r>
        <w:rPr>
          <w:i/>
          <w:iCs/>
        </w:rPr>
        <w:t>(Please list the possible outcomes using short sentences. If you are writing one or two paragraphs describing the expected outcomes, please limit yourself to 150 words.)</w:t>
      </w:r>
    </w:p>
    <w:p w:rsidR="00C430B1" w:rsidRPr="00C430B1" w:rsidRDefault="00C430B1" w:rsidP="00C430B1">
      <w:pPr>
        <w:keepNext/>
        <w:numPr>
          <w:ilvl w:val="0"/>
          <w:numId w:val="5"/>
        </w:numPr>
        <w:spacing w:before="180" w:after="40"/>
        <w:jc w:val="both"/>
        <w:rPr>
          <w:sz w:val="24"/>
          <w:szCs w:val="24"/>
        </w:rPr>
      </w:pPr>
      <w:r w:rsidRPr="00C430B1">
        <w:rPr>
          <w:sz w:val="24"/>
          <w:szCs w:val="24"/>
        </w:rPr>
        <w:t>A five-zone SMR network model will be developed that shows how vulnerable each zone and each inter-zone link is under simulated attacks.</w:t>
      </w:r>
    </w:p>
    <w:p w:rsidR="00C430B1" w:rsidRPr="00C430B1" w:rsidRDefault="00C430B1" w:rsidP="00C430B1">
      <w:pPr>
        <w:keepNext/>
        <w:numPr>
          <w:ilvl w:val="0"/>
          <w:numId w:val="5"/>
        </w:numPr>
        <w:spacing w:before="180" w:after="40"/>
        <w:jc w:val="both"/>
        <w:rPr>
          <w:sz w:val="24"/>
          <w:szCs w:val="24"/>
        </w:rPr>
      </w:pPr>
      <w:r w:rsidRPr="00C430B1">
        <w:rPr>
          <w:sz w:val="24"/>
          <w:szCs w:val="24"/>
        </w:rPr>
        <w:t>A finite-key, decoy-state QKD model will be combined with NIST-standardized PQC through a hybrid key combiner, with QBER and secret key length kept within safe limits.</w:t>
      </w:r>
    </w:p>
    <w:p w:rsidR="00C430B1" w:rsidRPr="00C430B1" w:rsidRDefault="00C430B1" w:rsidP="00C430B1">
      <w:pPr>
        <w:keepNext/>
        <w:numPr>
          <w:ilvl w:val="0"/>
          <w:numId w:val="5"/>
        </w:numPr>
        <w:spacing w:before="180" w:after="40"/>
        <w:jc w:val="both"/>
        <w:rPr>
          <w:sz w:val="24"/>
          <w:szCs w:val="24"/>
        </w:rPr>
      </w:pPr>
      <w:r w:rsidRPr="00C430B1">
        <w:rPr>
          <w:sz w:val="24"/>
          <w:szCs w:val="24"/>
        </w:rPr>
        <w:t>A comparison of the four setups will show whether the hybrid setup lowers the attack success rate, improves or maintains anomaly detection performance, and keeps key-exchange delay within the PLC deadline of each zone.</w:t>
      </w:r>
    </w:p>
    <w:p w:rsidR="00C430B1" w:rsidRPr="00C430B1" w:rsidRDefault="00C430B1" w:rsidP="00C430B1">
      <w:pPr>
        <w:keepNext/>
        <w:numPr>
          <w:ilvl w:val="0"/>
          <w:numId w:val="5"/>
        </w:numPr>
        <w:spacing w:before="180" w:after="40"/>
        <w:jc w:val="both"/>
        <w:rPr>
          <w:sz w:val="24"/>
          <w:szCs w:val="24"/>
        </w:rPr>
      </w:pPr>
      <w:r w:rsidRPr="00C430B1">
        <w:rPr>
          <w:sz w:val="24"/>
          <w:szCs w:val="24"/>
        </w:rPr>
        <w:t>A zone protection index (ZPI) will be shown to remain statistically robust under ±30% changes in the threat-mitigation matrix. It will be correlated with CVSS scores and IEC 62443-3-3 Security Levels, giving a reusable way to compare SMR cyber security designs.</w:t>
      </w:r>
    </w:p>
    <w:p w:rsidR="00C5665A" w:rsidRDefault="00D92B12">
      <w:pPr>
        <w:keepNext/>
        <w:spacing w:before="180" w:after="40"/>
      </w:pPr>
      <w:r>
        <w:rPr>
          <w:b/>
          <w:bCs/>
        </w:rPr>
        <w:t>14. References</w:t>
      </w:r>
    </w:p>
    <w:p w:rsidR="00C5665A" w:rsidRDefault="00D92B12">
      <w:pPr>
        <w:keepNext/>
        <w:spacing w:after="80"/>
        <w:jc w:val="both"/>
      </w:pPr>
      <w:r>
        <w:rPr>
          <w:i/>
          <w:iCs/>
        </w:rPr>
        <w:t>(All the references should be cited inside the texts, and a maximum of 10 references should be used. While giving the references, you must mention the author, title of the paper, and name of the journal/proceeding, Vol. no., Year of publication, etc., in the standard style given below)</w:t>
      </w:r>
    </w:p>
    <w:p w:rsidR="00C5665A" w:rsidRDefault="00D92B12">
      <w:pPr>
        <w:tabs>
          <w:tab w:val="left" w:pos="540"/>
        </w:tabs>
        <w:spacing w:after="60"/>
        <w:ind w:left="540" w:hanging="540"/>
        <w:jc w:val="both"/>
      </w:pPr>
      <w:r>
        <w:rPr>
          <w:sz w:val="20"/>
          <w:szCs w:val="20"/>
        </w:rPr>
        <w:t>[1]</w:t>
      </w:r>
      <w:r>
        <w:rPr>
          <w:sz w:val="20"/>
          <w:szCs w:val="20"/>
        </w:rPr>
        <w:tab/>
        <w:t xml:space="preserve">C. H. Bennett and G. Brassard, “Quantum cryptography: Public key distribution and coin tossing,” </w:t>
      </w:r>
      <w:proofErr w:type="spellStart"/>
      <w:r>
        <w:rPr>
          <w:i/>
          <w:iCs/>
          <w:sz w:val="20"/>
          <w:szCs w:val="20"/>
        </w:rPr>
        <w:t>Theor</w:t>
      </w:r>
      <w:proofErr w:type="spellEnd"/>
      <w:r>
        <w:rPr>
          <w:i/>
          <w:iCs/>
          <w:sz w:val="20"/>
          <w:szCs w:val="20"/>
        </w:rPr>
        <w:t xml:space="preserve">. </w:t>
      </w:r>
      <w:proofErr w:type="spellStart"/>
      <w:r>
        <w:rPr>
          <w:i/>
          <w:iCs/>
          <w:sz w:val="20"/>
          <w:szCs w:val="20"/>
        </w:rPr>
        <w:t>Comput</w:t>
      </w:r>
      <w:proofErr w:type="spellEnd"/>
      <w:r>
        <w:rPr>
          <w:i/>
          <w:iCs/>
          <w:sz w:val="20"/>
          <w:szCs w:val="20"/>
        </w:rPr>
        <w:t>. Sci.</w:t>
      </w:r>
      <w:r>
        <w:rPr>
          <w:sz w:val="20"/>
          <w:szCs w:val="20"/>
        </w:rPr>
        <w:t>, vol. 560, pt. 1, pp. 7–11, Dec. 2014.</w:t>
      </w:r>
    </w:p>
    <w:p w:rsidR="00C5665A" w:rsidRDefault="00D92B12">
      <w:pPr>
        <w:tabs>
          <w:tab w:val="left" w:pos="540"/>
        </w:tabs>
        <w:spacing w:after="60"/>
        <w:ind w:left="540" w:hanging="540"/>
        <w:jc w:val="both"/>
      </w:pPr>
      <w:r>
        <w:rPr>
          <w:sz w:val="20"/>
          <w:szCs w:val="20"/>
        </w:rPr>
        <w:t>[2]</w:t>
      </w:r>
      <w:r>
        <w:rPr>
          <w:sz w:val="20"/>
          <w:szCs w:val="20"/>
        </w:rPr>
        <w:tab/>
        <w:t>National Institute of Standards and Technology, “Module-lattice-based key-encapsulation mechanism standard,” U.S. Dept. Commerce, Gaithersburg, MD, USA, FIPS 203, Aug. 2024; “Module-lattice-based digital signature standard,” FIPS 204, Aug. 2024; “Stateless hash-based digital signature standard,” FIPS 205, Aug. 2024.</w:t>
      </w:r>
    </w:p>
    <w:p w:rsidR="00C5665A" w:rsidRDefault="00D92B12">
      <w:pPr>
        <w:tabs>
          <w:tab w:val="left" w:pos="540"/>
        </w:tabs>
        <w:spacing w:after="60"/>
        <w:ind w:left="540" w:hanging="540"/>
        <w:jc w:val="both"/>
      </w:pPr>
      <w:r>
        <w:rPr>
          <w:sz w:val="20"/>
          <w:szCs w:val="20"/>
        </w:rPr>
        <w:t>[3]</w:t>
      </w:r>
      <w:r>
        <w:rPr>
          <w:sz w:val="20"/>
          <w:szCs w:val="20"/>
        </w:rPr>
        <w:tab/>
        <w:t xml:space="preserve">H.-K. Lo, X. Ma, and K. Chen, “Decoy state quantum key distribution,” </w:t>
      </w:r>
      <w:r>
        <w:rPr>
          <w:i/>
          <w:iCs/>
          <w:sz w:val="20"/>
          <w:szCs w:val="20"/>
        </w:rPr>
        <w:t xml:space="preserve">Phys. Rev. </w:t>
      </w:r>
      <w:proofErr w:type="spellStart"/>
      <w:r>
        <w:rPr>
          <w:i/>
          <w:iCs/>
          <w:sz w:val="20"/>
          <w:szCs w:val="20"/>
        </w:rPr>
        <w:t>Lett</w:t>
      </w:r>
      <w:proofErr w:type="spellEnd"/>
      <w:r>
        <w:rPr>
          <w:i/>
          <w:iCs/>
          <w:sz w:val="20"/>
          <w:szCs w:val="20"/>
        </w:rPr>
        <w:t>.</w:t>
      </w:r>
      <w:r>
        <w:rPr>
          <w:sz w:val="20"/>
          <w:szCs w:val="20"/>
        </w:rPr>
        <w:t>, vol. 94, no.</w:t>
      </w:r>
      <w:r w:rsidR="00A93758">
        <w:rPr>
          <w:sz w:val="20"/>
          <w:szCs w:val="20"/>
        </w:rPr>
        <w:t xml:space="preserve"> 23, Art. </w:t>
      </w:r>
      <w:proofErr w:type="gramStart"/>
      <w:r w:rsidR="00A93758">
        <w:rPr>
          <w:sz w:val="20"/>
          <w:szCs w:val="20"/>
        </w:rPr>
        <w:t>no</w:t>
      </w:r>
      <w:proofErr w:type="gramEnd"/>
      <w:r w:rsidR="00A93758">
        <w:rPr>
          <w:sz w:val="20"/>
          <w:szCs w:val="20"/>
        </w:rPr>
        <w:t>. 230504, Jun. 2005</w:t>
      </w:r>
      <w:r>
        <w:rPr>
          <w:sz w:val="20"/>
          <w:szCs w:val="20"/>
        </w:rPr>
        <w:t>.</w:t>
      </w:r>
    </w:p>
    <w:p w:rsidR="00C5665A" w:rsidRDefault="00D92B12">
      <w:pPr>
        <w:tabs>
          <w:tab w:val="left" w:pos="540"/>
        </w:tabs>
        <w:spacing w:after="60"/>
        <w:ind w:left="540" w:hanging="540"/>
        <w:jc w:val="both"/>
      </w:pPr>
      <w:r>
        <w:rPr>
          <w:sz w:val="20"/>
          <w:szCs w:val="20"/>
        </w:rPr>
        <w:t>[4]</w:t>
      </w:r>
      <w:r>
        <w:rPr>
          <w:sz w:val="20"/>
          <w:szCs w:val="20"/>
        </w:rPr>
        <w:tab/>
        <w:t xml:space="preserve">C. </w:t>
      </w:r>
      <w:proofErr w:type="spellStart"/>
      <w:r>
        <w:rPr>
          <w:sz w:val="20"/>
          <w:szCs w:val="20"/>
        </w:rPr>
        <w:t>Siserman</w:t>
      </w:r>
      <w:proofErr w:type="spellEnd"/>
      <w:r>
        <w:rPr>
          <w:sz w:val="20"/>
          <w:szCs w:val="20"/>
        </w:rPr>
        <w:t xml:space="preserve">-Gray and G. </w:t>
      </w:r>
      <w:proofErr w:type="spellStart"/>
      <w:r>
        <w:rPr>
          <w:sz w:val="20"/>
          <w:szCs w:val="20"/>
        </w:rPr>
        <w:t>Landine</w:t>
      </w:r>
      <w:proofErr w:type="spellEnd"/>
      <w:r>
        <w:rPr>
          <w:sz w:val="20"/>
          <w:szCs w:val="20"/>
        </w:rPr>
        <w:t>, “</w:t>
      </w:r>
      <w:proofErr w:type="spellStart"/>
      <w:r>
        <w:rPr>
          <w:sz w:val="20"/>
          <w:szCs w:val="20"/>
        </w:rPr>
        <w:t>Cybersecurity</w:t>
      </w:r>
      <w:proofErr w:type="spellEnd"/>
      <w:r>
        <w:rPr>
          <w:sz w:val="20"/>
          <w:szCs w:val="20"/>
        </w:rPr>
        <w:t xml:space="preserve"> for small modular reactors (SMRs): Regulatory challenges and opportunities,” in </w:t>
      </w:r>
      <w:r>
        <w:rPr>
          <w:i/>
          <w:iCs/>
          <w:sz w:val="20"/>
          <w:szCs w:val="20"/>
        </w:rPr>
        <w:t xml:space="preserve">Proc. INMM/ESARDA Joint </w:t>
      </w:r>
      <w:proofErr w:type="spellStart"/>
      <w:r>
        <w:rPr>
          <w:i/>
          <w:iCs/>
          <w:sz w:val="20"/>
          <w:szCs w:val="20"/>
        </w:rPr>
        <w:t>Annu</w:t>
      </w:r>
      <w:proofErr w:type="spellEnd"/>
      <w:r>
        <w:rPr>
          <w:i/>
          <w:iCs/>
          <w:sz w:val="20"/>
          <w:szCs w:val="20"/>
        </w:rPr>
        <w:t>. Meeting</w:t>
      </w:r>
      <w:r>
        <w:rPr>
          <w:sz w:val="20"/>
          <w:szCs w:val="20"/>
        </w:rPr>
        <w:t>, Vienna, Austria, May 2023, p. 785.</w:t>
      </w:r>
    </w:p>
    <w:p w:rsidR="00C5665A" w:rsidRDefault="00D92B12">
      <w:pPr>
        <w:tabs>
          <w:tab w:val="left" w:pos="540"/>
        </w:tabs>
        <w:spacing w:after="60"/>
        <w:ind w:left="540" w:hanging="540"/>
        <w:jc w:val="both"/>
      </w:pPr>
      <w:r>
        <w:rPr>
          <w:sz w:val="20"/>
          <w:szCs w:val="20"/>
        </w:rPr>
        <w:t>[5]</w:t>
      </w:r>
      <w:r>
        <w:rPr>
          <w:sz w:val="20"/>
          <w:szCs w:val="20"/>
        </w:rPr>
        <w:tab/>
        <w:t xml:space="preserve">C. C. W. Lim, M. </w:t>
      </w:r>
      <w:proofErr w:type="spellStart"/>
      <w:r>
        <w:rPr>
          <w:sz w:val="20"/>
          <w:szCs w:val="20"/>
        </w:rPr>
        <w:t>Curty</w:t>
      </w:r>
      <w:proofErr w:type="spellEnd"/>
      <w:r>
        <w:rPr>
          <w:sz w:val="20"/>
          <w:szCs w:val="20"/>
        </w:rPr>
        <w:t xml:space="preserve">, N. </w:t>
      </w:r>
      <w:proofErr w:type="spellStart"/>
      <w:r>
        <w:rPr>
          <w:sz w:val="20"/>
          <w:szCs w:val="20"/>
        </w:rPr>
        <w:t>Walenta</w:t>
      </w:r>
      <w:proofErr w:type="spellEnd"/>
      <w:r>
        <w:rPr>
          <w:sz w:val="20"/>
          <w:szCs w:val="20"/>
        </w:rPr>
        <w:t xml:space="preserve">, F. </w:t>
      </w:r>
      <w:proofErr w:type="spellStart"/>
      <w:r>
        <w:rPr>
          <w:sz w:val="20"/>
          <w:szCs w:val="20"/>
        </w:rPr>
        <w:t>Xu</w:t>
      </w:r>
      <w:proofErr w:type="spellEnd"/>
      <w:r>
        <w:rPr>
          <w:sz w:val="20"/>
          <w:szCs w:val="20"/>
        </w:rPr>
        <w:t xml:space="preserve">, and H. </w:t>
      </w:r>
      <w:proofErr w:type="spellStart"/>
      <w:r>
        <w:rPr>
          <w:sz w:val="20"/>
          <w:szCs w:val="20"/>
        </w:rPr>
        <w:t>Zbinden</w:t>
      </w:r>
      <w:proofErr w:type="spellEnd"/>
      <w:r>
        <w:rPr>
          <w:sz w:val="20"/>
          <w:szCs w:val="20"/>
        </w:rPr>
        <w:t xml:space="preserve">, “Concise security bounds for practical decoy-state quantum key distribution,” </w:t>
      </w:r>
      <w:r>
        <w:rPr>
          <w:i/>
          <w:iCs/>
          <w:sz w:val="20"/>
          <w:szCs w:val="20"/>
        </w:rPr>
        <w:t>Phys. Rev. A</w:t>
      </w:r>
      <w:r>
        <w:rPr>
          <w:sz w:val="20"/>
          <w:szCs w:val="20"/>
        </w:rPr>
        <w:t xml:space="preserve">, vol. 89, no. 2, Art. </w:t>
      </w:r>
      <w:proofErr w:type="gramStart"/>
      <w:r>
        <w:rPr>
          <w:sz w:val="20"/>
          <w:szCs w:val="20"/>
        </w:rPr>
        <w:t>no</w:t>
      </w:r>
      <w:proofErr w:type="gramEnd"/>
      <w:r>
        <w:rPr>
          <w:sz w:val="20"/>
          <w:szCs w:val="20"/>
        </w:rPr>
        <w:t>. 022307, Feb. 2014.</w:t>
      </w:r>
    </w:p>
    <w:p w:rsidR="00C5665A" w:rsidRDefault="00D92B12">
      <w:pPr>
        <w:tabs>
          <w:tab w:val="left" w:pos="540"/>
        </w:tabs>
        <w:spacing w:after="60"/>
        <w:ind w:left="540" w:hanging="540"/>
        <w:jc w:val="both"/>
      </w:pPr>
      <w:r>
        <w:rPr>
          <w:sz w:val="20"/>
          <w:szCs w:val="20"/>
        </w:rPr>
        <w:t>[6]</w:t>
      </w:r>
      <w:r>
        <w:rPr>
          <w:sz w:val="20"/>
          <w:szCs w:val="20"/>
        </w:rPr>
        <w:tab/>
        <w:t xml:space="preserve">L. </w:t>
      </w:r>
      <w:proofErr w:type="spellStart"/>
      <w:r>
        <w:rPr>
          <w:sz w:val="20"/>
          <w:szCs w:val="20"/>
        </w:rPr>
        <w:t>Garms</w:t>
      </w:r>
      <w:proofErr w:type="spellEnd"/>
      <w:r>
        <w:rPr>
          <w:sz w:val="20"/>
          <w:szCs w:val="20"/>
        </w:rPr>
        <w:t xml:space="preserve"> </w:t>
      </w:r>
      <w:r>
        <w:rPr>
          <w:i/>
          <w:iCs/>
          <w:sz w:val="20"/>
          <w:szCs w:val="20"/>
        </w:rPr>
        <w:t>et al.</w:t>
      </w:r>
      <w:r>
        <w:rPr>
          <w:sz w:val="20"/>
          <w:szCs w:val="20"/>
        </w:rPr>
        <w:t xml:space="preserve">, “Experimental integration of quantum key distribution and post-quantum cryptography in a hybrid quantum-safe cryptosystem,” </w:t>
      </w:r>
      <w:r>
        <w:rPr>
          <w:i/>
          <w:iCs/>
          <w:sz w:val="20"/>
          <w:szCs w:val="20"/>
        </w:rPr>
        <w:t>Adv. Quantum Technol.</w:t>
      </w:r>
      <w:r>
        <w:rPr>
          <w:sz w:val="20"/>
          <w:szCs w:val="20"/>
        </w:rPr>
        <w:t xml:space="preserve">, vol. 7, no. 4, Art. </w:t>
      </w:r>
      <w:proofErr w:type="gramStart"/>
      <w:r>
        <w:rPr>
          <w:sz w:val="20"/>
          <w:szCs w:val="20"/>
        </w:rPr>
        <w:t>no</w:t>
      </w:r>
      <w:proofErr w:type="gramEnd"/>
      <w:r>
        <w:rPr>
          <w:sz w:val="20"/>
          <w:szCs w:val="20"/>
        </w:rPr>
        <w:t xml:space="preserve">. 2300304, Apr. 2024, </w:t>
      </w:r>
    </w:p>
    <w:p w:rsidR="00C5665A" w:rsidRDefault="00D92B12">
      <w:pPr>
        <w:tabs>
          <w:tab w:val="left" w:pos="540"/>
        </w:tabs>
        <w:spacing w:after="60"/>
        <w:ind w:left="540" w:hanging="540"/>
        <w:jc w:val="both"/>
      </w:pPr>
      <w:r>
        <w:rPr>
          <w:sz w:val="20"/>
          <w:szCs w:val="20"/>
        </w:rPr>
        <w:t>[7]</w:t>
      </w:r>
      <w:r>
        <w:rPr>
          <w:sz w:val="20"/>
          <w:szCs w:val="20"/>
        </w:rPr>
        <w:tab/>
        <w:t xml:space="preserve">P. Zeng </w:t>
      </w:r>
      <w:r>
        <w:rPr>
          <w:i/>
          <w:iCs/>
          <w:sz w:val="20"/>
          <w:szCs w:val="20"/>
        </w:rPr>
        <w:t>et al.</w:t>
      </w:r>
      <w:r>
        <w:rPr>
          <w:sz w:val="20"/>
          <w:szCs w:val="20"/>
        </w:rPr>
        <w:t xml:space="preserve">, “Practical hybrid PQC-QKD protocols with enhanced security and performance,” 2024, </w:t>
      </w:r>
      <w:r>
        <w:rPr>
          <w:i/>
          <w:iCs/>
          <w:sz w:val="20"/>
          <w:szCs w:val="20"/>
        </w:rPr>
        <w:t>arXiv</w:t>
      </w:r>
      <w:proofErr w:type="gramStart"/>
      <w:r>
        <w:rPr>
          <w:i/>
          <w:iCs/>
          <w:sz w:val="20"/>
          <w:szCs w:val="20"/>
        </w:rPr>
        <w:t>:2411.01086</w:t>
      </w:r>
      <w:proofErr w:type="gramEnd"/>
      <w:r>
        <w:rPr>
          <w:sz w:val="20"/>
          <w:szCs w:val="20"/>
        </w:rPr>
        <w:t>.</w:t>
      </w:r>
    </w:p>
    <w:p w:rsidR="00C5665A" w:rsidRDefault="00D92B12">
      <w:pPr>
        <w:tabs>
          <w:tab w:val="left" w:pos="540"/>
        </w:tabs>
        <w:spacing w:after="60"/>
        <w:ind w:left="540" w:hanging="540"/>
        <w:jc w:val="both"/>
      </w:pPr>
      <w:r>
        <w:rPr>
          <w:sz w:val="20"/>
          <w:szCs w:val="20"/>
        </w:rPr>
        <w:t>[8]</w:t>
      </w:r>
      <w:r>
        <w:rPr>
          <w:sz w:val="20"/>
          <w:szCs w:val="20"/>
        </w:rPr>
        <w:tab/>
        <w:t xml:space="preserve">J. Son, T. </w:t>
      </w:r>
      <w:proofErr w:type="spellStart"/>
      <w:r>
        <w:rPr>
          <w:sz w:val="20"/>
          <w:szCs w:val="20"/>
        </w:rPr>
        <w:t>Tak</w:t>
      </w:r>
      <w:proofErr w:type="spellEnd"/>
      <w:r>
        <w:rPr>
          <w:sz w:val="20"/>
          <w:szCs w:val="20"/>
        </w:rPr>
        <w:t xml:space="preserve">, and I. </w:t>
      </w:r>
      <w:proofErr w:type="spellStart"/>
      <w:r>
        <w:rPr>
          <w:sz w:val="20"/>
          <w:szCs w:val="20"/>
        </w:rPr>
        <w:t>Hahm</w:t>
      </w:r>
      <w:proofErr w:type="spellEnd"/>
      <w:r>
        <w:rPr>
          <w:sz w:val="20"/>
          <w:szCs w:val="20"/>
        </w:rPr>
        <w:t xml:space="preserve">, “Modeling cryptographic algorithms validation and developing block ciphers with electronic code book for a control system at nuclear power plants,” </w:t>
      </w:r>
      <w:proofErr w:type="spellStart"/>
      <w:r>
        <w:rPr>
          <w:i/>
          <w:iCs/>
          <w:sz w:val="20"/>
          <w:szCs w:val="20"/>
        </w:rPr>
        <w:t>Nucl</w:t>
      </w:r>
      <w:proofErr w:type="spellEnd"/>
      <w:r>
        <w:rPr>
          <w:i/>
          <w:iCs/>
          <w:sz w:val="20"/>
          <w:szCs w:val="20"/>
        </w:rPr>
        <w:t>. Eng. Technol.</w:t>
      </w:r>
      <w:r>
        <w:rPr>
          <w:sz w:val="20"/>
          <w:szCs w:val="20"/>
        </w:rPr>
        <w:t>, vol. 55, no. 1, pp. 25–36, Jan. 2023.</w:t>
      </w:r>
    </w:p>
    <w:p w:rsidR="00C5665A" w:rsidRDefault="00D92B12">
      <w:pPr>
        <w:tabs>
          <w:tab w:val="left" w:pos="540"/>
        </w:tabs>
        <w:spacing w:after="60"/>
        <w:ind w:left="540" w:hanging="540"/>
        <w:jc w:val="both"/>
      </w:pPr>
      <w:r>
        <w:rPr>
          <w:sz w:val="20"/>
          <w:szCs w:val="20"/>
        </w:rPr>
        <w:t>[9]</w:t>
      </w:r>
      <w:r>
        <w:rPr>
          <w:sz w:val="20"/>
          <w:szCs w:val="20"/>
        </w:rPr>
        <w:tab/>
      </w:r>
      <w:proofErr w:type="spellStart"/>
      <w:r>
        <w:rPr>
          <w:sz w:val="20"/>
          <w:szCs w:val="20"/>
        </w:rPr>
        <w:t>Cybersecurity</w:t>
      </w:r>
      <w:proofErr w:type="spellEnd"/>
      <w:r>
        <w:rPr>
          <w:sz w:val="20"/>
          <w:szCs w:val="20"/>
        </w:rPr>
        <w:t xml:space="preserve"> and Infrastructure Security Agency, “Post-quantum considerations for operational technology,” U.S. Dept. Homeland Security, Washington, DC, USA, Oct. 2024. [Online]. Available: https://www.cisa.gov/resources-tools/resources/post-quantum-considerations-operational-technology</w:t>
      </w:r>
    </w:p>
    <w:p w:rsidR="00C5665A" w:rsidRDefault="00D92B12">
      <w:pPr>
        <w:tabs>
          <w:tab w:val="left" w:pos="540"/>
        </w:tabs>
        <w:spacing w:after="60"/>
        <w:ind w:left="540" w:hanging="540"/>
        <w:jc w:val="both"/>
      </w:pPr>
      <w:r>
        <w:rPr>
          <w:sz w:val="20"/>
          <w:szCs w:val="20"/>
        </w:rPr>
        <w:t>[10]</w:t>
      </w:r>
      <w:r>
        <w:rPr>
          <w:sz w:val="20"/>
          <w:szCs w:val="20"/>
        </w:rPr>
        <w:tab/>
        <w:t>U.S. Nuclear Regulatory Commission, “Cyber security programs for nuclear facilities,” U.S. NRC, Rockville, MD, USA, Regulatory Guide 5.71, Jan. 2010. [Online]. Available: https://www.nrc.gov/docs/ML0903/ML090340159.pdf</w:t>
      </w:r>
    </w:p>
    <w:p w:rsidR="00C5665A" w:rsidRDefault="00D92B12">
      <w:pPr>
        <w:keepNext/>
        <w:spacing w:before="180" w:after="40"/>
      </w:pPr>
      <w:r>
        <w:rPr>
          <w:b/>
          <w:bCs/>
        </w:rPr>
        <w:lastRenderedPageBreak/>
        <w:t>15. List of courses taken (Completed/registered) so far</w:t>
      </w:r>
    </w:p>
    <w:p w:rsidR="00C5665A" w:rsidRDefault="00D92B12">
      <w:pPr>
        <w:keepNext/>
        <w:spacing w:after="80"/>
        <w:jc w:val="both"/>
      </w:pPr>
      <w:r>
        <w:rPr>
          <w:i/>
          <w:iCs/>
        </w:rPr>
        <w:t>(To be verified and signed by the Course Advisor, and a Photocopy of Grade Sheets should be provided)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100"/>
        <w:gridCol w:w="3266"/>
        <w:gridCol w:w="800"/>
        <w:gridCol w:w="900"/>
        <w:gridCol w:w="1200"/>
        <w:gridCol w:w="1200"/>
      </w:tblGrid>
      <w:tr w:rsidR="00C5665A">
        <w:trPr>
          <w:tblHeader/>
        </w:trPr>
        <w:tc>
          <w:tcPr>
            <w:tcW w:w="560" w:type="dxa"/>
            <w:tcMar>
              <w:top w:w="40" w:type="dxa"/>
              <w:left w:w="80" w:type="dxa"/>
              <w:bottom w:w="40" w:type="dxa"/>
              <w:right w:w="80" w:type="dxa"/>
            </w:tcMar>
            <w:vAlign w:val="center"/>
          </w:tcPr>
          <w:p w:rsidR="00C5665A" w:rsidRDefault="00D92B12">
            <w:pPr>
              <w:jc w:val="center"/>
            </w:pPr>
            <w:r>
              <w:rPr>
                <w:b/>
                <w:bCs/>
                <w:sz w:val="20"/>
                <w:szCs w:val="20"/>
              </w:rPr>
              <w:t>Sl. No.</w:t>
            </w:r>
          </w:p>
        </w:tc>
        <w:tc>
          <w:tcPr>
            <w:tcW w:w="1100" w:type="dxa"/>
            <w:tcMar>
              <w:top w:w="40" w:type="dxa"/>
              <w:left w:w="80" w:type="dxa"/>
              <w:bottom w:w="40" w:type="dxa"/>
              <w:right w:w="80" w:type="dxa"/>
            </w:tcMar>
            <w:vAlign w:val="center"/>
          </w:tcPr>
          <w:p w:rsidR="00C5665A" w:rsidRDefault="00D92B12">
            <w:pPr>
              <w:jc w:val="center"/>
            </w:pPr>
            <w:r>
              <w:rPr>
                <w:b/>
                <w:bCs/>
                <w:sz w:val="20"/>
                <w:szCs w:val="20"/>
              </w:rPr>
              <w:t>Course No.</w:t>
            </w:r>
          </w:p>
        </w:tc>
        <w:tc>
          <w:tcPr>
            <w:tcW w:w="3266" w:type="dxa"/>
            <w:tcMar>
              <w:top w:w="40" w:type="dxa"/>
              <w:left w:w="80" w:type="dxa"/>
              <w:bottom w:w="40" w:type="dxa"/>
              <w:right w:w="80" w:type="dxa"/>
            </w:tcMar>
            <w:vAlign w:val="center"/>
          </w:tcPr>
          <w:p w:rsidR="00C5665A" w:rsidRDefault="00D92B12">
            <w:pPr>
              <w:jc w:val="center"/>
            </w:pPr>
            <w:r>
              <w:rPr>
                <w:b/>
                <w:bCs/>
                <w:sz w:val="20"/>
                <w:szCs w:val="20"/>
              </w:rPr>
              <w:t>Course Name</w:t>
            </w:r>
          </w:p>
        </w:tc>
        <w:tc>
          <w:tcPr>
            <w:tcW w:w="800" w:type="dxa"/>
            <w:tcMar>
              <w:top w:w="40" w:type="dxa"/>
              <w:left w:w="80" w:type="dxa"/>
              <w:bottom w:w="40" w:type="dxa"/>
              <w:right w:w="80" w:type="dxa"/>
            </w:tcMar>
            <w:vAlign w:val="center"/>
          </w:tcPr>
          <w:p w:rsidR="00C5665A" w:rsidRDefault="00D92B12">
            <w:pPr>
              <w:jc w:val="center"/>
            </w:pPr>
            <w:r>
              <w:rPr>
                <w:b/>
                <w:bCs/>
                <w:sz w:val="20"/>
                <w:szCs w:val="20"/>
              </w:rPr>
              <w:t>Grade</w:t>
            </w:r>
          </w:p>
        </w:tc>
        <w:tc>
          <w:tcPr>
            <w:tcW w:w="900" w:type="dxa"/>
            <w:tcMar>
              <w:top w:w="40" w:type="dxa"/>
              <w:left w:w="80" w:type="dxa"/>
              <w:bottom w:w="40" w:type="dxa"/>
              <w:right w:w="80" w:type="dxa"/>
            </w:tcMar>
            <w:vAlign w:val="center"/>
          </w:tcPr>
          <w:p w:rsidR="00C5665A" w:rsidRDefault="00D92B12">
            <w:pPr>
              <w:jc w:val="center"/>
            </w:pPr>
            <w:r>
              <w:rPr>
                <w:b/>
                <w:bCs/>
                <w:sz w:val="20"/>
                <w:szCs w:val="20"/>
              </w:rPr>
              <w:t>Credit</w:t>
            </w:r>
          </w:p>
        </w:tc>
        <w:tc>
          <w:tcPr>
            <w:tcW w:w="1200" w:type="dxa"/>
            <w:tcMar>
              <w:top w:w="40" w:type="dxa"/>
              <w:left w:w="80" w:type="dxa"/>
              <w:bottom w:w="40" w:type="dxa"/>
              <w:right w:w="80" w:type="dxa"/>
            </w:tcMar>
            <w:vAlign w:val="center"/>
          </w:tcPr>
          <w:p w:rsidR="00C5665A" w:rsidRDefault="00D92B12">
            <w:pPr>
              <w:jc w:val="center"/>
            </w:pPr>
            <w:r>
              <w:rPr>
                <w:b/>
                <w:bCs/>
                <w:sz w:val="20"/>
                <w:szCs w:val="20"/>
              </w:rPr>
              <w:t>Grade point</w:t>
            </w:r>
          </w:p>
        </w:tc>
        <w:tc>
          <w:tcPr>
            <w:tcW w:w="1200" w:type="dxa"/>
            <w:tcMar>
              <w:top w:w="40" w:type="dxa"/>
              <w:left w:w="80" w:type="dxa"/>
              <w:bottom w:w="40" w:type="dxa"/>
              <w:right w:w="80" w:type="dxa"/>
            </w:tcMar>
            <w:vAlign w:val="center"/>
          </w:tcPr>
          <w:p w:rsidR="00C5665A" w:rsidRDefault="00D92B12">
            <w:pPr>
              <w:jc w:val="center"/>
            </w:pPr>
            <w:r>
              <w:rPr>
                <w:b/>
                <w:bCs/>
                <w:sz w:val="20"/>
                <w:szCs w:val="20"/>
              </w:rPr>
              <w:t>G.P.A</w:t>
            </w:r>
          </w:p>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1</w:t>
            </w:r>
          </w:p>
        </w:tc>
        <w:tc>
          <w:tcPr>
            <w:tcW w:w="1100" w:type="dxa"/>
            <w:tcMar>
              <w:top w:w="40" w:type="dxa"/>
              <w:left w:w="80" w:type="dxa"/>
              <w:bottom w:w="40" w:type="dxa"/>
              <w:right w:w="80" w:type="dxa"/>
            </w:tcMar>
            <w:vAlign w:val="center"/>
          </w:tcPr>
          <w:p w:rsidR="00C5665A" w:rsidRDefault="00D92B12">
            <w:pPr>
              <w:jc w:val="center"/>
            </w:pPr>
            <w:r>
              <w:rPr>
                <w:sz w:val="20"/>
                <w:szCs w:val="20"/>
              </w:rPr>
              <w:t>EEE 6001</w:t>
            </w:r>
          </w:p>
        </w:tc>
        <w:tc>
          <w:tcPr>
            <w:tcW w:w="3266" w:type="dxa"/>
            <w:tcMar>
              <w:top w:w="40" w:type="dxa"/>
              <w:left w:w="80" w:type="dxa"/>
              <w:bottom w:w="40" w:type="dxa"/>
              <w:right w:w="80" w:type="dxa"/>
            </w:tcMar>
            <w:vAlign w:val="center"/>
          </w:tcPr>
          <w:p w:rsidR="00C5665A" w:rsidRDefault="00D92B12">
            <w:r>
              <w:rPr>
                <w:sz w:val="20"/>
                <w:szCs w:val="20"/>
              </w:rPr>
              <w:t>Engineering Analysis</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2</w:t>
            </w:r>
          </w:p>
        </w:tc>
        <w:tc>
          <w:tcPr>
            <w:tcW w:w="1100" w:type="dxa"/>
            <w:tcMar>
              <w:top w:w="40" w:type="dxa"/>
              <w:left w:w="80" w:type="dxa"/>
              <w:bottom w:w="40" w:type="dxa"/>
              <w:right w:w="80" w:type="dxa"/>
            </w:tcMar>
            <w:vAlign w:val="center"/>
          </w:tcPr>
          <w:p w:rsidR="00C5665A" w:rsidRDefault="00D92B12">
            <w:pPr>
              <w:jc w:val="center"/>
            </w:pPr>
            <w:r>
              <w:rPr>
                <w:sz w:val="20"/>
                <w:szCs w:val="20"/>
              </w:rPr>
              <w:t>EEE 6201</w:t>
            </w:r>
          </w:p>
        </w:tc>
        <w:tc>
          <w:tcPr>
            <w:tcW w:w="3266" w:type="dxa"/>
            <w:tcMar>
              <w:top w:w="40" w:type="dxa"/>
              <w:left w:w="80" w:type="dxa"/>
              <w:bottom w:w="40" w:type="dxa"/>
              <w:right w:w="80" w:type="dxa"/>
            </w:tcMar>
            <w:vAlign w:val="center"/>
          </w:tcPr>
          <w:p w:rsidR="00C5665A" w:rsidRDefault="00D92B12">
            <w:r>
              <w:rPr>
                <w:sz w:val="20"/>
                <w:szCs w:val="20"/>
              </w:rPr>
              <w:t>Modern Control Theory</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3</w:t>
            </w:r>
          </w:p>
        </w:tc>
        <w:tc>
          <w:tcPr>
            <w:tcW w:w="1100" w:type="dxa"/>
            <w:tcMar>
              <w:top w:w="40" w:type="dxa"/>
              <w:left w:w="80" w:type="dxa"/>
              <w:bottom w:w="40" w:type="dxa"/>
              <w:right w:w="80" w:type="dxa"/>
            </w:tcMar>
            <w:vAlign w:val="center"/>
          </w:tcPr>
          <w:p w:rsidR="00C5665A" w:rsidRDefault="00D92B12">
            <w:pPr>
              <w:jc w:val="center"/>
            </w:pPr>
            <w:r>
              <w:rPr>
                <w:sz w:val="20"/>
                <w:szCs w:val="20"/>
              </w:rPr>
              <w:t>EEE 6103</w:t>
            </w:r>
          </w:p>
        </w:tc>
        <w:tc>
          <w:tcPr>
            <w:tcW w:w="3266" w:type="dxa"/>
            <w:tcMar>
              <w:top w:w="40" w:type="dxa"/>
              <w:left w:w="80" w:type="dxa"/>
              <w:bottom w:w="40" w:type="dxa"/>
              <w:right w:w="80" w:type="dxa"/>
            </w:tcMar>
            <w:vAlign w:val="center"/>
          </w:tcPr>
          <w:p w:rsidR="00C5665A" w:rsidRDefault="00D92B12">
            <w:r>
              <w:rPr>
                <w:sz w:val="20"/>
                <w:szCs w:val="20"/>
              </w:rPr>
              <w:t>Renewable Energy</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4</w:t>
            </w:r>
          </w:p>
        </w:tc>
        <w:tc>
          <w:tcPr>
            <w:tcW w:w="1100" w:type="dxa"/>
            <w:tcMar>
              <w:top w:w="40" w:type="dxa"/>
              <w:left w:w="80" w:type="dxa"/>
              <w:bottom w:w="40" w:type="dxa"/>
              <w:right w:w="80" w:type="dxa"/>
            </w:tcMar>
            <w:vAlign w:val="center"/>
          </w:tcPr>
          <w:p w:rsidR="00C5665A" w:rsidRDefault="00D92B12">
            <w:pPr>
              <w:jc w:val="center"/>
            </w:pPr>
            <w:r>
              <w:rPr>
                <w:sz w:val="20"/>
                <w:szCs w:val="20"/>
              </w:rPr>
              <w:t>EEE 6206</w:t>
            </w:r>
          </w:p>
        </w:tc>
        <w:tc>
          <w:tcPr>
            <w:tcW w:w="3266" w:type="dxa"/>
            <w:tcMar>
              <w:top w:w="40" w:type="dxa"/>
              <w:left w:w="80" w:type="dxa"/>
              <w:bottom w:w="40" w:type="dxa"/>
              <w:right w:w="80" w:type="dxa"/>
            </w:tcMar>
            <w:vAlign w:val="center"/>
          </w:tcPr>
          <w:p w:rsidR="00C5665A" w:rsidRDefault="00D92B12">
            <w:r>
              <w:rPr>
                <w:sz w:val="20"/>
                <w:szCs w:val="20"/>
              </w:rPr>
              <w:t>Multivariable Control Systems</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5</w:t>
            </w:r>
          </w:p>
        </w:tc>
        <w:tc>
          <w:tcPr>
            <w:tcW w:w="1100" w:type="dxa"/>
            <w:tcMar>
              <w:top w:w="40" w:type="dxa"/>
              <w:left w:w="80" w:type="dxa"/>
              <w:bottom w:w="40" w:type="dxa"/>
              <w:right w:w="80" w:type="dxa"/>
            </w:tcMar>
            <w:vAlign w:val="center"/>
          </w:tcPr>
          <w:p w:rsidR="00C5665A" w:rsidRDefault="00D92B12">
            <w:pPr>
              <w:jc w:val="center"/>
            </w:pPr>
            <w:r>
              <w:rPr>
                <w:sz w:val="20"/>
                <w:szCs w:val="20"/>
              </w:rPr>
              <w:t>EEE 6609</w:t>
            </w:r>
          </w:p>
        </w:tc>
        <w:tc>
          <w:tcPr>
            <w:tcW w:w="3266" w:type="dxa"/>
            <w:tcMar>
              <w:top w:w="40" w:type="dxa"/>
              <w:left w:w="80" w:type="dxa"/>
              <w:bottom w:w="40" w:type="dxa"/>
              <w:right w:w="80" w:type="dxa"/>
            </w:tcMar>
            <w:vAlign w:val="center"/>
          </w:tcPr>
          <w:p w:rsidR="00C5665A" w:rsidRDefault="00D92B12">
            <w:r>
              <w:rPr>
                <w:sz w:val="20"/>
                <w:szCs w:val="20"/>
              </w:rPr>
              <w:t>Digital Circuit Design</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60" w:type="dxa"/>
            <w:tcMar>
              <w:top w:w="40" w:type="dxa"/>
              <w:left w:w="80" w:type="dxa"/>
              <w:bottom w:w="40" w:type="dxa"/>
              <w:right w:w="80" w:type="dxa"/>
            </w:tcMar>
            <w:vAlign w:val="center"/>
          </w:tcPr>
          <w:p w:rsidR="00C5665A" w:rsidRDefault="00D92B12">
            <w:pPr>
              <w:jc w:val="center"/>
            </w:pPr>
            <w:r>
              <w:rPr>
                <w:sz w:val="20"/>
                <w:szCs w:val="20"/>
              </w:rPr>
              <w:t>6</w:t>
            </w:r>
          </w:p>
        </w:tc>
        <w:tc>
          <w:tcPr>
            <w:tcW w:w="1100" w:type="dxa"/>
            <w:tcMar>
              <w:top w:w="40" w:type="dxa"/>
              <w:left w:w="80" w:type="dxa"/>
              <w:bottom w:w="40" w:type="dxa"/>
              <w:right w:w="80" w:type="dxa"/>
            </w:tcMar>
            <w:vAlign w:val="center"/>
          </w:tcPr>
          <w:p w:rsidR="00C5665A" w:rsidRDefault="00D92B12">
            <w:pPr>
              <w:jc w:val="center"/>
            </w:pPr>
            <w:r>
              <w:rPr>
                <w:sz w:val="20"/>
                <w:szCs w:val="20"/>
              </w:rPr>
              <w:t>EEE 6608</w:t>
            </w:r>
          </w:p>
        </w:tc>
        <w:tc>
          <w:tcPr>
            <w:tcW w:w="3266" w:type="dxa"/>
            <w:tcMar>
              <w:top w:w="40" w:type="dxa"/>
              <w:left w:w="80" w:type="dxa"/>
              <w:bottom w:w="40" w:type="dxa"/>
              <w:right w:w="80" w:type="dxa"/>
            </w:tcMar>
            <w:vAlign w:val="center"/>
          </w:tcPr>
          <w:p w:rsidR="00C5665A" w:rsidRDefault="00D92B12">
            <w:r>
              <w:rPr>
                <w:sz w:val="20"/>
                <w:szCs w:val="20"/>
              </w:rPr>
              <w:t>Digital Signal Processing</w:t>
            </w:r>
          </w:p>
        </w:tc>
        <w:tc>
          <w:tcPr>
            <w:tcW w:w="800" w:type="dxa"/>
            <w:tcMar>
              <w:top w:w="40" w:type="dxa"/>
              <w:left w:w="80" w:type="dxa"/>
              <w:bottom w:w="40" w:type="dxa"/>
              <w:right w:w="80" w:type="dxa"/>
            </w:tcMar>
            <w:vAlign w:val="center"/>
          </w:tcPr>
          <w:p w:rsidR="00C5665A" w:rsidRDefault="00D92B12">
            <w:pPr>
              <w:jc w:val="center"/>
            </w:pPr>
            <w:r>
              <w:rPr>
                <w:sz w:val="20"/>
                <w:szCs w:val="20"/>
              </w:rPr>
              <w:t>A+</w:t>
            </w:r>
          </w:p>
        </w:tc>
        <w:tc>
          <w:tcPr>
            <w:tcW w:w="900" w:type="dxa"/>
            <w:tcMar>
              <w:top w:w="40" w:type="dxa"/>
              <w:left w:w="80" w:type="dxa"/>
              <w:bottom w:w="40" w:type="dxa"/>
              <w:right w:w="80" w:type="dxa"/>
            </w:tcMar>
            <w:vAlign w:val="center"/>
          </w:tcPr>
          <w:p w:rsidR="00C5665A" w:rsidRDefault="00D92B12">
            <w:pPr>
              <w:jc w:val="center"/>
            </w:pPr>
            <w:r>
              <w:rPr>
                <w:sz w:val="20"/>
                <w:szCs w:val="20"/>
              </w:rPr>
              <w:t>3.00</w:t>
            </w:r>
          </w:p>
        </w:tc>
        <w:tc>
          <w:tcPr>
            <w:tcW w:w="1200" w:type="dxa"/>
            <w:tcMar>
              <w:top w:w="40" w:type="dxa"/>
              <w:left w:w="80" w:type="dxa"/>
              <w:bottom w:w="40" w:type="dxa"/>
              <w:right w:w="80" w:type="dxa"/>
            </w:tcMar>
            <w:vAlign w:val="center"/>
          </w:tcPr>
          <w:p w:rsidR="00C5665A" w:rsidRDefault="00D92B12">
            <w:pPr>
              <w:jc w:val="center"/>
            </w:pPr>
            <w:r>
              <w:rPr>
                <w:sz w:val="20"/>
                <w:szCs w:val="20"/>
              </w:rPr>
              <w:t>12.00</w:t>
            </w:r>
          </w:p>
        </w:tc>
        <w:tc>
          <w:tcPr>
            <w:tcW w:w="1200" w:type="dxa"/>
            <w:tcMar>
              <w:top w:w="40" w:type="dxa"/>
              <w:left w:w="80" w:type="dxa"/>
              <w:bottom w:w="40" w:type="dxa"/>
              <w:right w:w="80" w:type="dxa"/>
            </w:tcMar>
            <w:vAlign w:val="center"/>
          </w:tcPr>
          <w:p w:rsidR="00C5665A" w:rsidRDefault="00C5665A"/>
        </w:tc>
      </w:tr>
      <w:tr w:rsidR="00C5665A">
        <w:tc>
          <w:tcPr>
            <w:tcW w:w="5726" w:type="dxa"/>
            <w:gridSpan w:val="4"/>
            <w:tcMar>
              <w:top w:w="40" w:type="dxa"/>
              <w:left w:w="80" w:type="dxa"/>
              <w:bottom w:w="40" w:type="dxa"/>
              <w:right w:w="80" w:type="dxa"/>
            </w:tcMar>
          </w:tcPr>
          <w:p w:rsidR="00C5665A" w:rsidRDefault="00D92B12">
            <w:pPr>
              <w:jc w:val="right"/>
            </w:pPr>
            <w:r>
              <w:rPr>
                <w:b/>
                <w:bCs/>
                <w:sz w:val="20"/>
                <w:szCs w:val="20"/>
              </w:rPr>
              <w:t>Total</w:t>
            </w:r>
          </w:p>
        </w:tc>
        <w:tc>
          <w:tcPr>
            <w:tcW w:w="900" w:type="dxa"/>
            <w:tcMar>
              <w:top w:w="40" w:type="dxa"/>
              <w:left w:w="80" w:type="dxa"/>
              <w:bottom w:w="40" w:type="dxa"/>
              <w:right w:w="80" w:type="dxa"/>
            </w:tcMar>
            <w:vAlign w:val="center"/>
          </w:tcPr>
          <w:p w:rsidR="00C5665A" w:rsidRDefault="00D92B12">
            <w:pPr>
              <w:jc w:val="center"/>
            </w:pPr>
            <w:r>
              <w:rPr>
                <w:b/>
                <w:bCs/>
                <w:sz w:val="20"/>
                <w:szCs w:val="20"/>
              </w:rPr>
              <w:t>18.00</w:t>
            </w:r>
          </w:p>
        </w:tc>
        <w:tc>
          <w:tcPr>
            <w:tcW w:w="1200" w:type="dxa"/>
            <w:tcMar>
              <w:top w:w="40" w:type="dxa"/>
              <w:left w:w="80" w:type="dxa"/>
              <w:bottom w:w="40" w:type="dxa"/>
              <w:right w:w="80" w:type="dxa"/>
            </w:tcMar>
            <w:vAlign w:val="center"/>
          </w:tcPr>
          <w:p w:rsidR="00C5665A" w:rsidRDefault="00D92B12">
            <w:pPr>
              <w:jc w:val="center"/>
            </w:pPr>
            <w:r>
              <w:rPr>
                <w:b/>
                <w:bCs/>
                <w:sz w:val="20"/>
                <w:szCs w:val="20"/>
              </w:rPr>
              <w:t>72.00</w:t>
            </w:r>
          </w:p>
        </w:tc>
        <w:tc>
          <w:tcPr>
            <w:tcW w:w="1200" w:type="dxa"/>
            <w:tcMar>
              <w:top w:w="40" w:type="dxa"/>
              <w:left w:w="80" w:type="dxa"/>
              <w:bottom w:w="40" w:type="dxa"/>
              <w:right w:w="80" w:type="dxa"/>
            </w:tcMar>
            <w:vAlign w:val="center"/>
          </w:tcPr>
          <w:p w:rsidR="00C5665A" w:rsidRDefault="00D92B12">
            <w:pPr>
              <w:jc w:val="center"/>
            </w:pPr>
            <w:r>
              <w:rPr>
                <w:b/>
                <w:bCs/>
                <w:sz w:val="20"/>
                <w:szCs w:val="20"/>
              </w:rPr>
              <w:t>4.00</w:t>
            </w:r>
          </w:p>
        </w:tc>
      </w:tr>
    </w:tbl>
    <w:p w:rsidR="00C5665A" w:rsidRDefault="00D92B12">
      <w:pPr>
        <w:spacing w:before="160" w:after="100"/>
        <w:jc w:val="both"/>
      </w:pPr>
      <w:r>
        <w:rPr>
          <w:b/>
          <w:bCs/>
        </w:rPr>
        <w:t xml:space="preserve">Signature of the Course Advisor: </w:t>
      </w:r>
      <w:r>
        <w:t>.......................................</w:t>
      </w:r>
    </w:p>
    <w:p w:rsidR="00C5665A" w:rsidRDefault="00D92B12">
      <w:pPr>
        <w:keepNext/>
        <w:spacing w:before="180" w:after="40"/>
      </w:pPr>
      <w:r>
        <w:rPr>
          <w:b/>
          <w:bCs/>
        </w:rPr>
        <w:t>16. Cost Estimate</w:t>
      </w:r>
    </w:p>
    <w:p w:rsidR="00C5665A" w:rsidRDefault="00D92B12">
      <w:pPr>
        <w:keepNext/>
        <w:spacing w:after="80"/>
        <w:jc w:val="both"/>
      </w:pPr>
      <w:r>
        <w:rPr>
          <w:i/>
          <w:iCs/>
        </w:rPr>
        <w:t>(Invoice / Quotation must be provided for each item which costs Tk. 5,000/- and more)</w:t>
      </w:r>
    </w:p>
    <w:p w:rsidR="00C5665A" w:rsidRDefault="00D92B12">
      <w:pPr>
        <w:tabs>
          <w:tab w:val="right" w:pos="9026"/>
        </w:tabs>
        <w:spacing w:after="40"/>
      </w:pPr>
      <w:r>
        <w:t>(</w:t>
      </w:r>
      <w:proofErr w:type="gramStart"/>
      <w:r>
        <w:t>a</w:t>
      </w:r>
      <w:proofErr w:type="gramEnd"/>
      <w:r>
        <w:t>) Cost of Material</w:t>
      </w:r>
      <w:r>
        <w:tab/>
        <w:t>Tk. 0,000</w:t>
      </w:r>
    </w:p>
    <w:p w:rsidR="00C5665A" w:rsidRDefault="00D92B12">
      <w:pPr>
        <w:tabs>
          <w:tab w:val="right" w:pos="9026"/>
        </w:tabs>
        <w:spacing w:after="40"/>
      </w:pPr>
      <w:r>
        <w:t>(b) Fieldworks (if applicable)</w:t>
      </w:r>
      <w:r>
        <w:tab/>
        <w:t>Tk. 0,000</w:t>
      </w:r>
    </w:p>
    <w:p w:rsidR="00C5665A" w:rsidRDefault="00D92B12">
      <w:pPr>
        <w:tabs>
          <w:tab w:val="right" w:pos="9026"/>
        </w:tabs>
        <w:spacing w:after="40"/>
      </w:pPr>
      <w:r>
        <w:t>(c) Conveyance / Data Collection (With Breakup)</w:t>
      </w:r>
      <w:r>
        <w:tab/>
        <w:t>Tk. 10,000</w:t>
      </w:r>
    </w:p>
    <w:p w:rsidR="00C5665A" w:rsidRDefault="00D92B12">
      <w:pPr>
        <w:tabs>
          <w:tab w:val="right" w:pos="9026"/>
        </w:tabs>
        <w:spacing w:after="40"/>
      </w:pPr>
      <w:r>
        <w:t>(d) Drafting, Binding &amp; Paper, etc. (Max. 3000/-)</w:t>
      </w:r>
      <w:r>
        <w:tab/>
        <w:t>Tk. 3,000</w:t>
      </w:r>
    </w:p>
    <w:p w:rsidR="00C5665A" w:rsidRDefault="00D92B12">
      <w:pPr>
        <w:tabs>
          <w:tab w:val="right" w:pos="9026"/>
        </w:tabs>
        <w:spacing w:after="40"/>
      </w:pPr>
      <w:r>
        <w:t>(</w:t>
      </w:r>
      <w:proofErr w:type="gramStart"/>
      <w:r>
        <w:t>e</w:t>
      </w:r>
      <w:proofErr w:type="gramEnd"/>
      <w:r>
        <w:t>) Miscellaneous (compute cluster / cloud usage)</w:t>
      </w:r>
      <w:r>
        <w:tab/>
        <w:t>Tk. 7,000</w:t>
      </w:r>
    </w:p>
    <w:p w:rsidR="00C5665A" w:rsidRDefault="00D92B12">
      <w:pPr>
        <w:tabs>
          <w:tab w:val="right" w:pos="9026"/>
        </w:tabs>
        <w:spacing w:before="60" w:after="80"/>
      </w:pPr>
      <w:r>
        <w:rPr>
          <w:b/>
          <w:bCs/>
        </w:rPr>
        <w:t>Total</w:t>
      </w:r>
      <w:r>
        <w:rPr>
          <w:b/>
          <w:bCs/>
        </w:rPr>
        <w:tab/>
        <w:t>Tk. 20,000</w:t>
      </w:r>
    </w:p>
    <w:p w:rsidR="00C5665A" w:rsidRDefault="00C5665A">
      <w:pPr>
        <w:spacing w:after="100" w:line="264" w:lineRule="auto"/>
        <w:jc w:val="both"/>
      </w:pPr>
    </w:p>
    <w:p w:rsidR="00C5665A" w:rsidRDefault="00D92B12">
      <w:pPr>
        <w:keepNext/>
        <w:spacing w:before="180" w:after="40"/>
      </w:pPr>
      <w:r>
        <w:rPr>
          <w:b/>
          <w:bCs/>
        </w:rPr>
        <w:t>17. Justification of having Co-Supervisor</w:t>
      </w:r>
    </w:p>
    <w:p w:rsidR="00C5665A" w:rsidRDefault="00D92B12">
      <w:pPr>
        <w:spacing w:after="100" w:line="264" w:lineRule="auto"/>
        <w:jc w:val="both"/>
      </w:pPr>
      <w:r>
        <w:t>Co-supervisor is not encouraged in a master’s level thesis unless there is an absolute necessity. At the Ph.D. level, Co-supervisor(s) are acceptable if required. In both cases, it is necessary to justify to the supervisor that the work requires considerable knowledge of a discipline other than his field.</w:t>
      </w:r>
    </w:p>
    <w:p w:rsidR="00C5665A" w:rsidRDefault="00D92B12">
      <w:pPr>
        <w:pBdr>
          <w:top w:val="single" w:sz="6" w:space="1" w:color="000000"/>
        </w:pBdr>
        <w:spacing w:before="200" w:after="120"/>
        <w:jc w:val="center"/>
      </w:pPr>
      <w:r>
        <w:rPr>
          <w:b/>
          <w:bCs/>
        </w:rPr>
        <w:t>For Office Use Only</w:t>
      </w:r>
    </w:p>
    <w:p w:rsidR="00C5665A" w:rsidRDefault="00D92B12">
      <w:pPr>
        <w:spacing w:after="100" w:line="264" w:lineRule="auto"/>
        <w:jc w:val="both"/>
      </w:pPr>
      <w:r>
        <w:rPr>
          <w:b/>
          <w:bCs/>
        </w:rPr>
        <w:t xml:space="preserve">18. Doctoral Committee/PGAC reference: </w:t>
      </w:r>
      <w:r>
        <w:t>Meeting no.: .................... Resolution No.: ........................ Date: .................................</w:t>
      </w:r>
    </w:p>
    <w:p w:rsidR="00C5665A" w:rsidRDefault="00D92B12">
      <w:pPr>
        <w:spacing w:after="100" w:line="264" w:lineRule="auto"/>
        <w:jc w:val="both"/>
      </w:pPr>
      <w:r>
        <w:rPr>
          <w:b/>
          <w:bCs/>
        </w:rPr>
        <w:t xml:space="preserve">19. Appointment of Supervisor &amp; Co-Supervisor Approved by the CASR Meeting No. (For </w:t>
      </w:r>
      <w:proofErr w:type="spellStart"/>
      <w:r>
        <w:rPr>
          <w:b/>
          <w:bCs/>
        </w:rPr>
        <w:t>Ph.D</w:t>
      </w:r>
      <w:proofErr w:type="spellEnd"/>
      <w:r>
        <w:rPr>
          <w:b/>
          <w:bCs/>
        </w:rPr>
        <w:t xml:space="preserve">): </w:t>
      </w:r>
      <w:r>
        <w:t>Resolution No.: ......................... Date: .................................</w:t>
      </w:r>
    </w:p>
    <w:p w:rsidR="00C5665A" w:rsidRDefault="00D92B12">
      <w:pPr>
        <w:spacing w:after="100" w:line="264" w:lineRule="auto"/>
        <w:jc w:val="both"/>
      </w:pPr>
      <w:r>
        <w:rPr>
          <w:b/>
          <w:bCs/>
        </w:rPr>
        <w:t xml:space="preserve">20. Appointment of Doctoral Committee Approved by the CASR Meeting No. (For </w:t>
      </w:r>
      <w:proofErr w:type="spellStart"/>
      <w:r>
        <w:rPr>
          <w:b/>
          <w:bCs/>
        </w:rPr>
        <w:t>Ph.D</w:t>
      </w:r>
      <w:proofErr w:type="spellEnd"/>
      <w:r>
        <w:rPr>
          <w:b/>
          <w:bCs/>
        </w:rPr>
        <w:t xml:space="preserve">): </w:t>
      </w:r>
      <w:r>
        <w:t>Resolution No.: ............................... Date: .............................</w:t>
      </w:r>
    </w:p>
    <w:p w:rsidR="00C5665A" w:rsidRDefault="00D92B12">
      <w:pPr>
        <w:spacing w:after="100" w:line="264" w:lineRule="auto"/>
        <w:jc w:val="both"/>
      </w:pPr>
      <w:r>
        <w:rPr>
          <w:b/>
          <w:bCs/>
        </w:rPr>
        <w:t xml:space="preserve">21. Result of the comprehensive examination for </w:t>
      </w:r>
      <w:proofErr w:type="spellStart"/>
      <w:r>
        <w:rPr>
          <w:b/>
          <w:bCs/>
        </w:rPr>
        <w:t>Ph.D</w:t>
      </w:r>
      <w:proofErr w:type="spellEnd"/>
      <w:r>
        <w:rPr>
          <w:b/>
          <w:bCs/>
        </w:rPr>
        <w:t xml:space="preserve"> </w:t>
      </w:r>
      <w:r>
        <w:rPr>
          <w:i/>
          <w:iCs/>
        </w:rPr>
        <w:t xml:space="preserve">(Photocopy of the result should be enclosed) </w:t>
      </w:r>
      <w:r>
        <w:t>Date: .............................. Satisfactory/Unsatisfactory.</w:t>
      </w:r>
    </w:p>
    <w:p w:rsidR="00C5665A" w:rsidRDefault="00D92B12">
      <w:pPr>
        <w:spacing w:after="100" w:line="264" w:lineRule="auto"/>
        <w:jc w:val="both"/>
        <w:rPr>
          <w:b/>
          <w:bCs/>
        </w:rPr>
      </w:pPr>
      <w:r>
        <w:rPr>
          <w:b/>
          <w:bCs/>
        </w:rPr>
        <w:t xml:space="preserve">22. Number of Post-Graduate Student(s) working with the Supervisor at Present: </w:t>
      </w:r>
    </w:p>
    <w:p w:rsidR="008D1FFE" w:rsidRDefault="008D1FFE">
      <w:pPr>
        <w:spacing w:after="100" w:line="264" w:lineRule="auto"/>
        <w:jc w:val="both"/>
        <w:rPr>
          <w:b/>
          <w:bCs/>
        </w:rPr>
      </w:pPr>
    </w:p>
    <w:p w:rsidR="008D1FFE" w:rsidRDefault="008D1FFE">
      <w:pPr>
        <w:spacing w:after="100" w:line="264" w:lineRule="auto"/>
        <w:jc w:val="both"/>
        <w:rPr>
          <w:b/>
          <w:bCs/>
        </w:rPr>
      </w:pPr>
    </w:p>
    <w:p w:rsidR="008D1FFE" w:rsidRDefault="008D1FFE">
      <w:pPr>
        <w:spacing w:after="100" w:line="264" w:lineRule="auto"/>
        <w:jc w:val="both"/>
      </w:pPr>
    </w:p>
    <w:tbl>
      <w:tblPr>
        <w:tblW w:w="902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6"/>
        <w:gridCol w:w="2256"/>
        <w:gridCol w:w="2257"/>
        <w:gridCol w:w="2257"/>
      </w:tblGrid>
      <w:tr w:rsidR="00C5665A">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Student</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Supervisor</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Co-Supervisor</w:t>
            </w:r>
          </w:p>
        </w:tc>
        <w:tc>
          <w:tcPr>
            <w:tcW w:w="2256" w:type="dxa"/>
            <w:tcBorders>
              <w:top w:val="none" w:sz="0" w:space="0" w:color="FFFFFF"/>
              <w:left w:val="none" w:sz="0" w:space="0" w:color="FFFFFF"/>
              <w:bottom w:val="none" w:sz="0" w:space="0" w:color="FFFFFF"/>
              <w:right w:val="none" w:sz="0" w:space="0" w:color="FFFFFF"/>
            </w:tcBorders>
            <w:tcMar>
              <w:top w:w="500" w:type="dxa"/>
              <w:left w:w="60" w:type="dxa"/>
              <w:right w:w="60" w:type="dxa"/>
            </w:tcMar>
          </w:tcPr>
          <w:p w:rsidR="00C5665A" w:rsidRDefault="00D92B12">
            <w:pPr>
              <w:pBdr>
                <w:top w:val="single" w:sz="4" w:space="2" w:color="000000"/>
              </w:pBdr>
              <w:jc w:val="center"/>
            </w:pPr>
            <w:r>
              <w:rPr>
                <w:sz w:val="18"/>
                <w:szCs w:val="18"/>
              </w:rPr>
              <w:t>Signature of the Head of the Department</w:t>
            </w:r>
          </w:p>
        </w:tc>
      </w:tr>
    </w:tbl>
    <w:p w:rsidR="00D92B12" w:rsidRDefault="00D92B12"/>
    <w:sectPr w:rsidR="00D92B12">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252" w:rsidRDefault="00257252">
      <w:r>
        <w:separator/>
      </w:r>
    </w:p>
  </w:endnote>
  <w:endnote w:type="continuationSeparator" w:id="0">
    <w:p w:rsidR="00257252" w:rsidRDefault="00257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65A" w:rsidRDefault="00D92B12">
    <w:pPr>
      <w:jc w:val="center"/>
    </w:pPr>
    <w:r>
      <w:fldChar w:fldCharType="begin"/>
    </w:r>
    <w:r>
      <w:instrText>PAGE</w:instrText>
    </w:r>
    <w:r>
      <w:fldChar w:fldCharType="separate"/>
    </w:r>
    <w:r w:rsidR="006E1281">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252" w:rsidRDefault="00257252">
      <w:r>
        <w:separator/>
      </w:r>
    </w:p>
  </w:footnote>
  <w:footnote w:type="continuationSeparator" w:id="0">
    <w:p w:rsidR="00257252" w:rsidRDefault="002572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01AB9"/>
    <w:multiLevelType w:val="hybridMultilevel"/>
    <w:tmpl w:val="A532EB48"/>
    <w:lvl w:ilvl="0" w:tplc="B510CB30">
      <w:start w:val="1"/>
      <w:numFmt w:val="decimal"/>
      <w:lvlText w:val="%1."/>
      <w:lvlJc w:val="left"/>
      <w:pPr>
        <w:ind w:left="540" w:hanging="360"/>
      </w:pPr>
    </w:lvl>
    <w:lvl w:ilvl="1" w:tplc="AEC65B1A">
      <w:numFmt w:val="decimal"/>
      <w:lvlText w:val=""/>
      <w:lvlJc w:val="left"/>
    </w:lvl>
    <w:lvl w:ilvl="2" w:tplc="567C2C06">
      <w:numFmt w:val="decimal"/>
      <w:lvlText w:val=""/>
      <w:lvlJc w:val="left"/>
    </w:lvl>
    <w:lvl w:ilvl="3" w:tplc="619656BE">
      <w:numFmt w:val="decimal"/>
      <w:lvlText w:val=""/>
      <w:lvlJc w:val="left"/>
    </w:lvl>
    <w:lvl w:ilvl="4" w:tplc="42285738">
      <w:numFmt w:val="decimal"/>
      <w:lvlText w:val=""/>
      <w:lvlJc w:val="left"/>
    </w:lvl>
    <w:lvl w:ilvl="5" w:tplc="62D86BA0">
      <w:numFmt w:val="decimal"/>
      <w:lvlText w:val=""/>
      <w:lvlJc w:val="left"/>
    </w:lvl>
    <w:lvl w:ilvl="6" w:tplc="50DC896E">
      <w:numFmt w:val="decimal"/>
      <w:lvlText w:val=""/>
      <w:lvlJc w:val="left"/>
    </w:lvl>
    <w:lvl w:ilvl="7" w:tplc="C05038D6">
      <w:numFmt w:val="decimal"/>
      <w:lvlText w:val=""/>
      <w:lvlJc w:val="left"/>
    </w:lvl>
    <w:lvl w:ilvl="8" w:tplc="EBAA8078">
      <w:numFmt w:val="decimal"/>
      <w:lvlText w:val=""/>
      <w:lvlJc w:val="left"/>
    </w:lvl>
  </w:abstractNum>
  <w:abstractNum w:abstractNumId="1">
    <w:nsid w:val="48867AE9"/>
    <w:multiLevelType w:val="hybridMultilevel"/>
    <w:tmpl w:val="2B4E997E"/>
    <w:lvl w:ilvl="0" w:tplc="21DC6C52">
      <w:start w:val="1"/>
      <w:numFmt w:val="bullet"/>
      <w:lvlText w:val="●"/>
      <w:lvlJc w:val="left"/>
      <w:pPr>
        <w:ind w:left="720" w:hanging="360"/>
      </w:pPr>
    </w:lvl>
    <w:lvl w:ilvl="1" w:tplc="191A755E">
      <w:start w:val="1"/>
      <w:numFmt w:val="bullet"/>
      <w:lvlText w:val="○"/>
      <w:lvlJc w:val="left"/>
      <w:pPr>
        <w:ind w:left="1440" w:hanging="360"/>
      </w:pPr>
    </w:lvl>
    <w:lvl w:ilvl="2" w:tplc="20D60996">
      <w:start w:val="1"/>
      <w:numFmt w:val="bullet"/>
      <w:lvlText w:val="■"/>
      <w:lvlJc w:val="left"/>
      <w:pPr>
        <w:ind w:left="2160" w:hanging="360"/>
      </w:pPr>
    </w:lvl>
    <w:lvl w:ilvl="3" w:tplc="F9CCBF32">
      <w:start w:val="1"/>
      <w:numFmt w:val="bullet"/>
      <w:lvlText w:val="●"/>
      <w:lvlJc w:val="left"/>
      <w:pPr>
        <w:ind w:left="2880" w:hanging="360"/>
      </w:pPr>
    </w:lvl>
    <w:lvl w:ilvl="4" w:tplc="88AA8740">
      <w:start w:val="1"/>
      <w:numFmt w:val="bullet"/>
      <w:lvlText w:val="○"/>
      <w:lvlJc w:val="left"/>
      <w:pPr>
        <w:ind w:left="3600" w:hanging="360"/>
      </w:pPr>
    </w:lvl>
    <w:lvl w:ilvl="5" w:tplc="3AEE2E54">
      <w:start w:val="1"/>
      <w:numFmt w:val="bullet"/>
      <w:lvlText w:val="■"/>
      <w:lvlJc w:val="left"/>
      <w:pPr>
        <w:ind w:left="4320" w:hanging="360"/>
      </w:pPr>
    </w:lvl>
    <w:lvl w:ilvl="6" w:tplc="A20662FE">
      <w:start w:val="1"/>
      <w:numFmt w:val="bullet"/>
      <w:lvlText w:val="●"/>
      <w:lvlJc w:val="left"/>
      <w:pPr>
        <w:ind w:left="5040" w:hanging="360"/>
      </w:pPr>
    </w:lvl>
    <w:lvl w:ilvl="7" w:tplc="39D6233E">
      <w:start w:val="1"/>
      <w:numFmt w:val="bullet"/>
      <w:lvlText w:val="●"/>
      <w:lvlJc w:val="left"/>
      <w:pPr>
        <w:ind w:left="5760" w:hanging="360"/>
      </w:pPr>
    </w:lvl>
    <w:lvl w:ilvl="8" w:tplc="67B2A52C">
      <w:start w:val="1"/>
      <w:numFmt w:val="bullet"/>
      <w:lvlText w:val="●"/>
      <w:lvlJc w:val="left"/>
      <w:pPr>
        <w:ind w:left="6480" w:hanging="360"/>
      </w:pPr>
    </w:lvl>
  </w:abstractNum>
  <w:abstractNum w:abstractNumId="2">
    <w:nsid w:val="57937169"/>
    <w:multiLevelType w:val="multilevel"/>
    <w:tmpl w:val="2E0E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9E826E8"/>
    <w:multiLevelType w:val="multilevel"/>
    <w:tmpl w:val="98B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467CCF"/>
    <w:multiLevelType w:val="hybridMultilevel"/>
    <w:tmpl w:val="B9AECC12"/>
    <w:lvl w:ilvl="0" w:tplc="615218B0">
      <w:start w:val="1"/>
      <w:numFmt w:val="decimal"/>
      <w:lvlText w:val="%1."/>
      <w:lvlJc w:val="left"/>
      <w:pPr>
        <w:ind w:left="540" w:hanging="360"/>
      </w:pPr>
    </w:lvl>
    <w:lvl w:ilvl="1" w:tplc="5CA48940">
      <w:numFmt w:val="decimal"/>
      <w:lvlText w:val=""/>
      <w:lvlJc w:val="left"/>
    </w:lvl>
    <w:lvl w:ilvl="2" w:tplc="C9C89EB2">
      <w:numFmt w:val="decimal"/>
      <w:lvlText w:val=""/>
      <w:lvlJc w:val="left"/>
    </w:lvl>
    <w:lvl w:ilvl="3" w:tplc="8D743C2A">
      <w:numFmt w:val="decimal"/>
      <w:lvlText w:val=""/>
      <w:lvlJc w:val="left"/>
    </w:lvl>
    <w:lvl w:ilvl="4" w:tplc="7DD26800">
      <w:numFmt w:val="decimal"/>
      <w:lvlText w:val=""/>
      <w:lvlJc w:val="left"/>
    </w:lvl>
    <w:lvl w:ilvl="5" w:tplc="2A405FE6">
      <w:numFmt w:val="decimal"/>
      <w:lvlText w:val=""/>
      <w:lvlJc w:val="left"/>
    </w:lvl>
    <w:lvl w:ilvl="6" w:tplc="833AB738">
      <w:numFmt w:val="decimal"/>
      <w:lvlText w:val=""/>
      <w:lvlJc w:val="left"/>
    </w:lvl>
    <w:lvl w:ilvl="7" w:tplc="5B425528">
      <w:numFmt w:val="decimal"/>
      <w:lvlText w:val=""/>
      <w:lvlJc w:val="left"/>
    </w:lvl>
    <w:lvl w:ilvl="8" w:tplc="3C260E7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65A"/>
    <w:rsid w:val="00050E8E"/>
    <w:rsid w:val="00065B17"/>
    <w:rsid w:val="0007735F"/>
    <w:rsid w:val="000E1FAC"/>
    <w:rsid w:val="001D1698"/>
    <w:rsid w:val="00215A7C"/>
    <w:rsid w:val="00257252"/>
    <w:rsid w:val="002B2679"/>
    <w:rsid w:val="002D4C78"/>
    <w:rsid w:val="002D570F"/>
    <w:rsid w:val="002F1F50"/>
    <w:rsid w:val="002F5B51"/>
    <w:rsid w:val="00330D5C"/>
    <w:rsid w:val="003E6063"/>
    <w:rsid w:val="003F3FEE"/>
    <w:rsid w:val="00452829"/>
    <w:rsid w:val="005454FC"/>
    <w:rsid w:val="005D125F"/>
    <w:rsid w:val="005D3D4D"/>
    <w:rsid w:val="005F7E33"/>
    <w:rsid w:val="00647470"/>
    <w:rsid w:val="0067347D"/>
    <w:rsid w:val="00690592"/>
    <w:rsid w:val="006E0CF8"/>
    <w:rsid w:val="006E1281"/>
    <w:rsid w:val="0070660F"/>
    <w:rsid w:val="007D558E"/>
    <w:rsid w:val="007F7025"/>
    <w:rsid w:val="008D1FFE"/>
    <w:rsid w:val="00927F48"/>
    <w:rsid w:val="009B20E6"/>
    <w:rsid w:val="009E6FEF"/>
    <w:rsid w:val="00A23EAF"/>
    <w:rsid w:val="00A91B41"/>
    <w:rsid w:val="00A93758"/>
    <w:rsid w:val="00AA276D"/>
    <w:rsid w:val="00AD4060"/>
    <w:rsid w:val="00B0211D"/>
    <w:rsid w:val="00B113F6"/>
    <w:rsid w:val="00BF5396"/>
    <w:rsid w:val="00C22C6B"/>
    <w:rsid w:val="00C423A6"/>
    <w:rsid w:val="00C430B1"/>
    <w:rsid w:val="00C5665A"/>
    <w:rsid w:val="00CD0BD3"/>
    <w:rsid w:val="00CD7B9C"/>
    <w:rsid w:val="00D3517F"/>
    <w:rsid w:val="00D92B12"/>
    <w:rsid w:val="00DA011B"/>
    <w:rsid w:val="00DC0F7C"/>
    <w:rsid w:val="00ED7AB4"/>
    <w:rsid w:val="00F26BFD"/>
    <w:rsid w:val="00FB3CB3"/>
    <w:rsid w:val="00FC2C98"/>
    <w:rsid w:val="00FD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DFB27A-7850-499C-9D51-BFE14431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15A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8824">
      <w:bodyDiv w:val="1"/>
      <w:marLeft w:val="0"/>
      <w:marRight w:val="0"/>
      <w:marTop w:val="0"/>
      <w:marBottom w:val="0"/>
      <w:divBdr>
        <w:top w:val="none" w:sz="0" w:space="0" w:color="auto"/>
        <w:left w:val="none" w:sz="0" w:space="0" w:color="auto"/>
        <w:bottom w:val="none" w:sz="0" w:space="0" w:color="auto"/>
        <w:right w:val="none" w:sz="0" w:space="0" w:color="auto"/>
      </w:divBdr>
    </w:div>
    <w:div w:id="753284645">
      <w:bodyDiv w:val="1"/>
      <w:marLeft w:val="0"/>
      <w:marRight w:val="0"/>
      <w:marTop w:val="0"/>
      <w:marBottom w:val="0"/>
      <w:divBdr>
        <w:top w:val="none" w:sz="0" w:space="0" w:color="auto"/>
        <w:left w:val="none" w:sz="0" w:space="0" w:color="auto"/>
        <w:bottom w:val="none" w:sz="0" w:space="0" w:color="auto"/>
        <w:right w:val="none" w:sz="0" w:space="0" w:color="auto"/>
      </w:divBdr>
    </w:div>
    <w:div w:id="9564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39</cp:revision>
  <dcterms:created xsi:type="dcterms:W3CDTF">2026-09-28T03:59:00Z</dcterms:created>
  <dcterms:modified xsi:type="dcterms:W3CDTF">2026-10-11T10:12:00Z</dcterms:modified>
</cp:coreProperties>
</file>