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color w:val="06364D"/>
          <w:sz w:val="36"/>
        </w:rPr>
        <w:t>Diseño e implementación de una tienda web transaccional para la gestión de productos y servicios de piscinas</w:t>
      </w:r>
    </w:p>
    <w:p>
      <w:pPr>
        <w:spacing w:after="40"/>
        <w:jc w:val="center"/>
      </w:pPr>
      <w:r>
        <w:rPr>
          <w:rFonts w:ascii="Times New Roman" w:hAnsi="Times New Roman"/>
          <w:b w:val="0"/>
          <w:i w:val="0"/>
          <w:color w:val="000000"/>
          <w:sz w:val="21"/>
        </w:rPr>
        <w:t>Samuel [apellidos] · [Nombre del segundo integrante]</w:t>
      </w:r>
    </w:p>
    <w:p>
      <w:pPr>
        <w:spacing w:after="200"/>
        <w:jc w:val="center"/>
      </w:pPr>
      <w:r>
        <w:rPr>
          <w:rFonts w:ascii="Times New Roman" w:hAnsi="Times New Roman"/>
          <w:b w:val="0"/>
          <w:i/>
          <w:color w:val="555555"/>
          <w:sz w:val="18"/>
        </w:rPr>
        <w:t>Desarrollo de Aplicaciones Web y Patrones · [Universidad] · Costa Rica</w:t>
        <w:br/>
        <w:t>[correo institucional 1] · [correo institucional 2]</w:t>
      </w:r>
    </w:p>
    <w:p>
      <w:pPr>
        <w:spacing w:after="100"/>
        <w:ind w:left="504" w:right="504"/>
      </w:pPr>
      <w:r>
        <w:rPr>
          <w:rFonts w:ascii="Times New Roman" w:hAnsi="Times New Roman"/>
          <w:b/>
          <w:i w:val="0"/>
          <w:color w:val="000000"/>
          <w:sz w:val="18"/>
        </w:rPr>
        <w:t>Resumen—</w:t>
      </w:r>
      <w:r>
        <w:rPr>
          <w:rFonts w:ascii="Times New Roman" w:hAnsi="Times New Roman"/>
          <w:b w:val="0"/>
          <w:i w:val="0"/>
          <w:color w:val="000000"/>
          <w:sz w:val="18"/>
        </w:rPr>
        <w:t>Este trabajo presenta el diseño y el avance de implementación de Tienda Piscinas Santamaría, una aplicación web orientada a centralizar la consulta de productos, equipos y servicios para el mantenimiento de piscinas en Costa Rica. La solución adopta una arquitectura Modelo-Vista-Controlador sobre Java y Spring Boot, vistas dinámicas con Thymeleaf y persistencia relacional mediante Jakarta Persistence. El primer incremento implementado comprende una interfaz adaptable, un catálogo consultado desde la base de datos, un esquema reproducible de diez tablas y pruebas automatizadas del contexto y del recorrido MVC. La validación técnica ejecutó dos pruebas sin fallos y confirmó la recuperación y presentación de ocho productos de demostración. Los resultados son preliminares: autenticación, autorización, operaciones CRUD completas, internacionalización y cierre transaccional del pedido pertenecen al siguiente incremento. El aporte principal de esta fase es una base trazable y verificable que reduce el riesgo de integrar posteriormente seguridad y comercio electrónico.</w:t>
      </w:r>
    </w:p>
    <w:p>
      <w:pPr>
        <w:spacing w:after="200"/>
        <w:ind w:left="504" w:right="504"/>
      </w:pPr>
      <w:r>
        <w:rPr>
          <w:rFonts w:ascii="Times New Roman" w:hAnsi="Times New Roman"/>
          <w:b/>
          <w:i w:val="0"/>
          <w:color w:val="000000"/>
          <w:sz w:val="18"/>
        </w:rPr>
        <w:t>Palabras clave—</w:t>
      </w:r>
      <w:r>
        <w:rPr>
          <w:rFonts w:ascii="Times New Roman" w:hAnsi="Times New Roman"/>
          <w:b w:val="0"/>
          <w:i w:val="0"/>
          <w:color w:val="000000"/>
          <w:sz w:val="18"/>
        </w:rPr>
        <w:t>aplicación web, Spring Boot, MVC, Thymeleaf, JPA, comercio electrónico, piscinas.</w:t>
      </w:r>
    </w:p>
    <w:p>
      <w:pPr>
        <w:spacing w:after="80"/>
        <w:jc w:val="center"/>
      </w:pPr>
      <w:r>
        <w:rPr>
          <w:rFonts w:ascii="Times New Roman" w:hAnsi="Times New Roman"/>
          <w:b/>
          <w:i w:val="0"/>
          <w:color w:val="06364D"/>
          <w:sz w:val="16"/>
        </w:rPr>
        <w:t>TABLA I. ESTADO VERIFICABLE DEL PRIMER INCREMENTO</w:t>
      </w:r>
    </w:p>
    <w:tbl>
      <w:tblPr>
        <w:tblW w:type="dxa" w:w="8320"/>
        <w:jc w:val="center"/>
        <w:tblLayout w:type="fixed"/>
        <w:tblLook w:firstColumn="1" w:firstRow="1" w:lastColumn="0" w:lastRow="0" w:noHBand="0" w:noVBand="1" w:val="04A0"/>
        <w:tblInd w:w="100" w:type="dxa"/>
      </w:tblPr>
      <w:tblGrid>
        <w:gridCol w:w="2050"/>
        <w:gridCol w:w="4320"/>
        <w:gridCol w:w="1950"/>
      </w:tblGrid>
      <w:tr>
        <w:trPr>
          <w:tblHeader w:val="true"/>
        </w:trPr>
        <w:tc>
          <w:tcPr>
            <w:tcW w:type="dxa" w:w="2050"/>
            <w:tcMar>
              <w:top w:w="80" w:type="dxa"/>
              <w:start w:w="100" w:type="dxa"/>
              <w:bottom w:w="80" w:type="dxa"/>
              <w:end w:w="100" w:type="dxa"/>
            </w:tcMar>
            <w:shd w:fill="06364D"/>
            <w:vAlign w:val="center"/>
          </w:tcPr>
          <w:p>
            <w:pPr>
              <w:jc w:val="center"/>
            </w:pPr>
            <w:r>
              <w:rPr>
                <w:rFonts w:ascii="Arial" w:hAnsi="Arial"/>
                <w:b/>
                <w:i w:val="0"/>
                <w:color w:val="FFFFFF"/>
                <w:sz w:val="16"/>
              </w:rPr>
              <w:t>Componente</w:t>
            </w:r>
          </w:p>
        </w:tc>
        <w:tc>
          <w:tcPr>
            <w:tcW w:type="dxa" w:w="4320"/>
            <w:tcMar>
              <w:top w:w="80" w:type="dxa"/>
              <w:start w:w="100" w:type="dxa"/>
              <w:bottom w:w="80" w:type="dxa"/>
              <w:end w:w="100" w:type="dxa"/>
            </w:tcMar>
            <w:shd w:fill="06364D"/>
            <w:vAlign w:val="center"/>
          </w:tcPr>
          <w:p>
            <w:pPr>
              <w:jc w:val="center"/>
            </w:pPr>
            <w:r>
              <w:rPr>
                <w:rFonts w:ascii="Arial" w:hAnsi="Arial"/>
                <w:b/>
                <w:i w:val="0"/>
                <w:color w:val="FFFFFF"/>
                <w:sz w:val="16"/>
              </w:rPr>
              <w:t>Evidencia implementada</w:t>
            </w:r>
          </w:p>
        </w:tc>
        <w:tc>
          <w:tcPr>
            <w:tcW w:type="dxa" w:w="1950"/>
            <w:tcMar>
              <w:top w:w="80" w:type="dxa"/>
              <w:start w:w="100" w:type="dxa"/>
              <w:bottom w:w="80" w:type="dxa"/>
              <w:end w:w="100" w:type="dxa"/>
            </w:tcMar>
            <w:shd w:fill="06364D"/>
            <w:vAlign w:val="center"/>
          </w:tcPr>
          <w:p>
            <w:pPr>
              <w:jc w:val="center"/>
            </w:pPr>
            <w:r>
              <w:rPr>
                <w:rFonts w:ascii="Arial" w:hAnsi="Arial"/>
                <w:b/>
                <w:i w:val="0"/>
                <w:color w:val="FFFFFF"/>
                <w:sz w:val="16"/>
              </w:rPr>
              <w:t>Estado</w:t>
            </w:r>
          </w:p>
        </w:tc>
      </w:tr>
      <w:tr>
        <w:tc>
          <w:tcPr>
            <w:tcW w:type="dxa" w:w="2050"/>
            <w:vAlign w:val="center"/>
          </w:tcPr>
          <w:p>
            <w:pPr>
              <w:spacing w:after="0"/>
            </w:pPr>
            <w:r>
              <w:rPr>
                <w:rFonts w:ascii="Arial" w:hAnsi="Arial"/>
                <w:b w:val="0"/>
                <w:i w:val="0"/>
                <w:color w:val="000000"/>
                <w:sz w:val="16"/>
              </w:rPr>
              <w:t>Presentación</w:t>
            </w:r>
          </w:p>
        </w:tc>
        <w:tc>
          <w:tcPr>
            <w:tcW w:type="dxa" w:w="4320"/>
            <w:vAlign w:val="center"/>
          </w:tcPr>
          <w:p>
            <w:pPr>
              <w:spacing w:after="0"/>
            </w:pPr>
            <w:r>
              <w:rPr>
                <w:rFonts w:ascii="Arial" w:hAnsi="Arial"/>
                <w:b w:val="0"/>
                <w:i w:val="0"/>
                <w:color w:val="000000"/>
                <w:sz w:val="16"/>
              </w:rPr>
              <w:t>Portada adaptable, navegación, categorías, productos, servicios y contacto.</w:t>
            </w:r>
          </w:p>
        </w:tc>
        <w:tc>
          <w:tcPr>
            <w:tcW w:type="dxa" w:w="1950"/>
            <w:vAlign w:val="center"/>
          </w:tcPr>
          <w:p>
            <w:pPr>
              <w:spacing w:after="0"/>
            </w:pPr>
            <w:r>
              <w:rPr>
                <w:rFonts w:ascii="Arial" w:hAnsi="Arial"/>
                <w:b w:val="0"/>
                <w:i w:val="0"/>
                <w:color w:val="000000"/>
                <w:sz w:val="16"/>
              </w:rPr>
              <w:t>Implementado</w:t>
            </w:r>
          </w:p>
        </w:tc>
      </w:tr>
      <w:tr>
        <w:tc>
          <w:tcPr>
            <w:tcW w:type="dxa" w:w="2050"/>
            <w:shd w:fill="E8F8FA"/>
            <w:vAlign w:val="center"/>
          </w:tcPr>
          <w:p>
            <w:pPr>
              <w:spacing w:after="0"/>
            </w:pPr>
            <w:r>
              <w:rPr>
                <w:rFonts w:ascii="Arial" w:hAnsi="Arial"/>
                <w:b w:val="0"/>
                <w:i w:val="0"/>
                <w:color w:val="000000"/>
                <w:sz w:val="16"/>
              </w:rPr>
              <w:t>Persistencia</w:t>
            </w:r>
          </w:p>
        </w:tc>
        <w:tc>
          <w:tcPr>
            <w:tcW w:type="dxa" w:w="4320"/>
            <w:shd w:fill="E8F8FA"/>
            <w:vAlign w:val="center"/>
          </w:tcPr>
          <w:p>
            <w:pPr>
              <w:spacing w:after="0"/>
            </w:pPr>
            <w:r>
              <w:rPr>
                <w:rFonts w:ascii="Arial" w:hAnsi="Arial"/>
                <w:b w:val="0"/>
                <w:i w:val="0"/>
                <w:color w:val="000000"/>
                <w:sz w:val="16"/>
              </w:rPr>
              <w:t>10 tablas, relaciones, índices, catálogo JPA y datos de prueba.</w:t>
            </w:r>
          </w:p>
        </w:tc>
        <w:tc>
          <w:tcPr>
            <w:tcW w:type="dxa" w:w="1950"/>
            <w:shd w:fill="E8F8FA"/>
            <w:vAlign w:val="center"/>
          </w:tcPr>
          <w:p>
            <w:pPr>
              <w:spacing w:after="0"/>
            </w:pPr>
            <w:r>
              <w:rPr>
                <w:rFonts w:ascii="Arial" w:hAnsi="Arial"/>
                <w:b w:val="0"/>
                <w:i w:val="0"/>
                <w:color w:val="000000"/>
                <w:sz w:val="16"/>
              </w:rPr>
              <w:t>Implementado</w:t>
            </w:r>
          </w:p>
        </w:tc>
      </w:tr>
      <w:tr>
        <w:tc>
          <w:tcPr>
            <w:tcW w:type="dxa" w:w="2050"/>
            <w:vAlign w:val="center"/>
          </w:tcPr>
          <w:p>
            <w:pPr>
              <w:spacing w:after="0"/>
            </w:pPr>
            <w:r>
              <w:rPr>
                <w:rFonts w:ascii="Arial" w:hAnsi="Arial"/>
                <w:b w:val="0"/>
                <w:i w:val="0"/>
                <w:color w:val="000000"/>
                <w:sz w:val="16"/>
              </w:rPr>
              <w:t>Transacción</w:t>
            </w:r>
          </w:p>
        </w:tc>
        <w:tc>
          <w:tcPr>
            <w:tcW w:type="dxa" w:w="4320"/>
            <w:vAlign w:val="center"/>
          </w:tcPr>
          <w:p>
            <w:pPr>
              <w:spacing w:after="0"/>
            </w:pPr>
            <w:r>
              <w:rPr>
                <w:rFonts w:ascii="Arial" w:hAnsi="Arial"/>
                <w:b w:val="0"/>
                <w:i w:val="0"/>
                <w:color w:val="000000"/>
                <w:sz w:val="16"/>
              </w:rPr>
              <w:t>Pedido y detalle de demostración en el esquema.</w:t>
            </w:r>
          </w:p>
        </w:tc>
        <w:tc>
          <w:tcPr>
            <w:tcW w:type="dxa" w:w="1950"/>
            <w:vAlign w:val="center"/>
          </w:tcPr>
          <w:p>
            <w:pPr>
              <w:spacing w:after="0"/>
            </w:pPr>
            <w:r>
              <w:rPr>
                <w:rFonts w:ascii="Arial" w:hAnsi="Arial"/>
                <w:b w:val="0"/>
                <w:i w:val="0"/>
                <w:color w:val="000000"/>
                <w:sz w:val="16"/>
              </w:rPr>
              <w:t>Diseño inicial</w:t>
            </w:r>
          </w:p>
        </w:tc>
      </w:tr>
      <w:tr>
        <w:tc>
          <w:tcPr>
            <w:tcW w:type="dxa" w:w="2050"/>
            <w:shd w:fill="E8F8FA"/>
            <w:vAlign w:val="center"/>
          </w:tcPr>
          <w:p>
            <w:pPr>
              <w:spacing w:after="0"/>
            </w:pPr>
            <w:r>
              <w:rPr>
                <w:rFonts w:ascii="Arial" w:hAnsi="Arial"/>
                <w:b w:val="0"/>
                <w:i w:val="0"/>
                <w:color w:val="000000"/>
                <w:sz w:val="16"/>
              </w:rPr>
              <w:t>Calidad</w:t>
            </w:r>
          </w:p>
        </w:tc>
        <w:tc>
          <w:tcPr>
            <w:tcW w:type="dxa" w:w="4320"/>
            <w:shd w:fill="E8F8FA"/>
            <w:vAlign w:val="center"/>
          </w:tcPr>
          <w:p>
            <w:pPr>
              <w:spacing w:after="0"/>
            </w:pPr>
            <w:r>
              <w:rPr>
                <w:rFonts w:ascii="Arial" w:hAnsi="Arial"/>
                <w:b w:val="0"/>
                <w:i w:val="0"/>
                <w:color w:val="000000"/>
                <w:sz w:val="16"/>
              </w:rPr>
              <w:t>2 pruebas automatizadas aprobadas; respuesta HTTP 200 verificada.</w:t>
            </w:r>
          </w:p>
        </w:tc>
        <w:tc>
          <w:tcPr>
            <w:tcW w:type="dxa" w:w="1950"/>
            <w:shd w:fill="E8F8FA"/>
            <w:vAlign w:val="center"/>
          </w:tcPr>
          <w:p>
            <w:pPr>
              <w:spacing w:after="0"/>
            </w:pPr>
            <w:r>
              <w:rPr>
                <w:rFonts w:ascii="Arial" w:hAnsi="Arial"/>
                <w:b w:val="0"/>
                <w:i w:val="0"/>
                <w:color w:val="000000"/>
                <w:sz w:val="16"/>
              </w:rPr>
              <w:t>Implementado</w:t>
            </w:r>
          </w:p>
        </w:tc>
      </w:tr>
      <w:tr>
        <w:tc>
          <w:tcPr>
            <w:tcW w:type="dxa" w:w="2050"/>
            <w:vAlign w:val="center"/>
          </w:tcPr>
          <w:p>
            <w:pPr>
              <w:spacing w:after="0"/>
            </w:pPr>
            <w:r>
              <w:rPr>
                <w:rFonts w:ascii="Arial" w:hAnsi="Arial"/>
                <w:b w:val="0"/>
                <w:i w:val="0"/>
                <w:color w:val="000000"/>
                <w:sz w:val="16"/>
              </w:rPr>
              <w:t>Seguridad e i18n</w:t>
            </w:r>
          </w:p>
        </w:tc>
        <w:tc>
          <w:tcPr>
            <w:tcW w:type="dxa" w:w="4320"/>
            <w:vAlign w:val="center"/>
          </w:tcPr>
          <w:p>
            <w:pPr>
              <w:spacing w:after="0"/>
            </w:pPr>
            <w:r>
              <w:rPr>
                <w:rFonts w:ascii="Arial" w:hAnsi="Arial"/>
                <w:b w:val="0"/>
                <w:i w:val="0"/>
                <w:color w:val="000000"/>
                <w:sz w:val="16"/>
              </w:rPr>
              <w:t>Autenticación, roles efectivos y selector de idioma.</w:t>
            </w:r>
          </w:p>
        </w:tc>
        <w:tc>
          <w:tcPr>
            <w:tcW w:type="dxa" w:w="1950"/>
            <w:vAlign w:val="center"/>
          </w:tcPr>
          <w:p>
            <w:pPr>
              <w:spacing w:after="0"/>
            </w:pPr>
            <w:r>
              <w:rPr>
                <w:rFonts w:ascii="Arial" w:hAnsi="Arial"/>
                <w:b w:val="0"/>
                <w:i w:val="0"/>
                <w:color w:val="000000"/>
                <w:sz w:val="16"/>
              </w:rPr>
              <w:t>Siguiente fase</w:t>
            </w:r>
          </w:p>
        </w:tc>
      </w:tr>
    </w:tbl>
    <w:p>
      <w:pPr>
        <w:sectPr>
          <w:headerReference w:type="default" r:id="rId9"/>
          <w:footerReference w:type="default" r:id="rId10"/>
          <w:pgSz w:w="12240" w:h="15840"/>
          <w:pgMar w:top="1008" w:right="1037" w:bottom="1008" w:left="1037" w:header="432" w:footer="504" w:gutter="0"/>
          <w:cols w:space="720"/>
          <w:docGrid w:linePitch="360"/>
        </w:sectPr>
      </w:pPr>
    </w:p>
    <w:p>
      <w:pPr>
        <w:pStyle w:val="Heading1"/>
        <w:keepNext/>
      </w:pPr>
      <w:r>
        <w:rPr>
          <w:rFonts w:ascii="Times New Roman" w:hAnsi="Times New Roman"/>
          <w:b/>
          <w:i w:val="0"/>
          <w:color w:val="06364D"/>
          <w:sz w:val="20"/>
        </w:rPr>
        <w:t>I. INTRODUCCIÓN</w:t>
      </w:r>
    </w:p>
    <w:p>
      <w:pPr>
        <w:spacing w:before="0" w:after="60" w:line="240" w:lineRule="auto"/>
        <w:ind w:firstLine="216"/>
        <w:jc w:val="both"/>
      </w:pPr>
      <w:r>
        <w:rPr>
          <w:rFonts w:ascii="Times New Roman" w:hAnsi="Times New Roman"/>
          <w:b w:val="0"/>
          <w:i w:val="0"/>
          <w:color w:val="000000"/>
          <w:sz w:val="20"/>
        </w:rPr>
        <w:t>Las pequeñas empresas especializadas en mantenimiento de piscinas requieren canales digitales capaces de presentar inventario, orientar la selección de tratamientos y registrar solicitudes comerciales. Cuando la información permanece distribuida entre mensajes, llamadas y listados manuales, el cliente carece de una vista consistente de la oferta y el negocio pierde trazabilidad sobre productos, disponibilidad y transacciones. A partir de esta necesidad se planteó Tienda Piscinas Santamaría como una aplicación web que concentre productos químicos, equipos, accesorios y servicios técnicos.</w:t>
      </w:r>
    </w:p>
    <w:p>
      <w:pPr>
        <w:spacing w:before="0" w:after="60" w:line="240" w:lineRule="auto"/>
        <w:ind w:firstLine="216"/>
        <w:jc w:val="both"/>
      </w:pPr>
      <w:r>
        <w:rPr>
          <w:rFonts w:ascii="Times New Roman" w:hAnsi="Times New Roman"/>
          <w:b w:val="0"/>
          <w:i w:val="0"/>
          <w:color w:val="000000"/>
          <w:sz w:val="20"/>
        </w:rPr>
        <w:t>El problema de investigación aplicado se formula así: ¿cómo construir una base web mantenible y verificable que permita evolucionar desde un escaparate digital hacia una tienda transaccional con persistencia, seguridad y colaboración demostrable? La propuesta emplea Spring Boot para estructurar la aplicación y simplificar su ejecución [1]; Spring MVC para separar solicitudes, modelo y vistas [2]; Thymeleaf para renderizar HTML del lado del servidor [3]; y Jakarta Persistence para mapear objetos del dominio a una base relacional [4]. Bootstrap y estilos propios apoyan el comportamiento adaptable de la interfaz [5].</w:t>
      </w:r>
    </w:p>
    <w:p>
      <w:pPr>
        <w:spacing w:before="0" w:after="60" w:line="240" w:lineRule="auto"/>
        <w:ind w:firstLine="216"/>
        <w:jc w:val="both"/>
      </w:pPr>
      <w:r>
        <w:rPr>
          <w:rFonts w:ascii="Times New Roman" w:hAnsi="Times New Roman"/>
          <w:b w:val="0"/>
          <w:i w:val="0"/>
          <w:color w:val="000000"/>
          <w:sz w:val="20"/>
        </w:rPr>
        <w:t>El objetivo general es desarrollar una aplicación web transaccional para gestionar la oferta de Piscinas Santamaría y facilitar la interacción con clientes potenciales. En este corte, el objetivo específico es implementar y comprobar la base arquitectónica, visual y persistente correspondiente al primer 50 % del proyecto. El alcance incluye catálogo dinámico, esquema relacional, datos reproducibles, pruebas automatizadas y documentación; excluye temporalmente autenticación efectiva, CRUD administrativo completo, carrito definitivo, internacionalización y despliegue productivo.</w:t>
      </w:r>
    </w:p>
    <w:p>
      <w:pPr>
        <w:spacing w:before="0" w:after="60" w:line="240" w:lineRule="auto"/>
        <w:ind w:firstLine="216"/>
        <w:jc w:val="both"/>
      </w:pPr>
      <w:r>
        <w:rPr>
          <w:rFonts w:ascii="Times New Roman" w:hAnsi="Times New Roman"/>
          <w:b w:val="0"/>
          <w:i w:val="0"/>
          <w:color w:val="000000"/>
          <w:sz w:val="20"/>
        </w:rPr>
        <w:t>La relevancia académica reside en integrar contenidos del curso mediante un caso coherente: HTML5/CSS, Bootstrap, Spring Boot, MVC, Thymeleaf, JPA, SQL, pruebas y control de versiones. La relevancia práctica consiste en ofrecer un punto de partida que pueda validarse con un cliente potencial y extenderse sin reemplazar la arquitectura inicial.</w:t>
      </w:r>
    </w:p>
    <w:p>
      <w:pPr>
        <w:pStyle w:val="Heading1"/>
        <w:keepNext/>
      </w:pPr>
      <w:r>
        <w:rPr>
          <w:rFonts w:ascii="Times New Roman" w:hAnsi="Times New Roman"/>
          <w:b/>
          <w:i w:val="0"/>
          <w:color w:val="06364D"/>
          <w:sz w:val="20"/>
        </w:rPr>
        <w:t>II. METODOLOGÍA</w:t>
      </w:r>
    </w:p>
    <w:p>
      <w:pPr>
        <w:pStyle w:val="Heading2"/>
        <w:keepNext/>
      </w:pPr>
      <w:r>
        <w:rPr>
          <w:rFonts w:ascii="Times New Roman" w:hAnsi="Times New Roman"/>
          <w:b/>
          <w:i w:val="0"/>
          <w:color w:val="06364D"/>
          <w:sz w:val="19"/>
        </w:rPr>
        <w:t>A. Enfoque incremental y división del trabajo</w:t>
      </w:r>
    </w:p>
    <w:p>
      <w:pPr>
        <w:spacing w:before="0" w:after="60" w:line="240" w:lineRule="auto"/>
        <w:ind w:firstLine="216"/>
        <w:jc w:val="both"/>
      </w:pPr>
      <w:r>
        <w:rPr>
          <w:rFonts w:ascii="Times New Roman" w:hAnsi="Times New Roman"/>
          <w:b w:val="0"/>
          <w:i w:val="0"/>
          <w:color w:val="000000"/>
          <w:sz w:val="20"/>
        </w:rPr>
        <w:t>Se adoptó un proceso incremental basado en ramas Git. El primer integrante trabajó en la rama samuel y produjo un corte vertical funcional: la solicitud HTTP llega al controlador, el repositorio recupera entidades desde la base de datos y Thymeleaf presenta los resultados. El uso de ramas permite aislar cambios y preparar revisiones mediante pull requests, práctica recomendada para el desarrollo colaborativo [10]. La segunda fase se asignó explícitamente al otro integrante para generar contribuciones distintas y auditables.</w:t>
      </w:r>
    </w:p>
    <w:p>
      <w:pPr>
        <w:spacing w:before="0" w:after="60" w:line="240" w:lineRule="auto"/>
        <w:ind w:firstLine="216"/>
        <w:jc w:val="both"/>
      </w:pPr>
      <w:r>
        <w:rPr>
          <w:rFonts w:ascii="Times New Roman" w:hAnsi="Times New Roman"/>
          <w:b w:val="0"/>
          <w:i w:val="0"/>
          <w:color w:val="000000"/>
          <w:sz w:val="20"/>
        </w:rPr>
        <w:t>Cada incremento sigue cuatro actividades: análisis del criterio de rúbrica, implementación, verificación automatizada y documentación. Los commits describen propósito y alcance; las decisiones técnicas registran alternativas, consecuencias y trabajo futuro. Este procedimiento facilita reconstruir la evolución del sistema durante la defensa.</w:t>
      </w:r>
    </w:p>
    <w:p>
      <w:pPr>
        <w:pStyle w:val="Heading2"/>
        <w:keepNext/>
      </w:pPr>
      <w:r>
        <w:rPr>
          <w:rFonts w:ascii="Times New Roman" w:hAnsi="Times New Roman"/>
          <w:b/>
          <w:i w:val="0"/>
          <w:color w:val="06364D"/>
          <w:sz w:val="19"/>
        </w:rPr>
        <w:t>B. Arquitectura de software</w:t>
      </w:r>
    </w:p>
    <w:p>
      <w:pPr>
        <w:spacing w:before="0" w:after="60" w:line="240" w:lineRule="auto"/>
        <w:ind w:firstLine="216"/>
        <w:jc w:val="both"/>
      </w:pPr>
      <w:r>
        <w:rPr>
          <w:rFonts w:ascii="Times New Roman" w:hAnsi="Times New Roman"/>
          <w:b w:val="0"/>
          <w:i w:val="0"/>
          <w:color w:val="000000"/>
          <w:sz w:val="20"/>
        </w:rPr>
        <w:t>La solución utiliza Java 21 y Spring Boot 3.5.4. InicioController atiende la ruta raíz y solicita al ProductoRepository los productos activos. Las clases Producto y Categoria representan el dominio; la relación muchos-a-uno vincula cada producto con una categoría. Una anotación EntityGraph carga de manera explícita la categoría requerida por la vista. Esta decisión mantiene desactivado Open Session in View, evita consultas tardías durante el renderizado y delimita el acceso a datos conforme al ciclo de vida definido por Jakarta Persistence [4].</w:t>
      </w:r>
    </w:p>
    <w:p>
      <w:pPr>
        <w:spacing w:before="0" w:after="60" w:line="240" w:lineRule="auto"/>
        <w:ind w:firstLine="216"/>
        <w:jc w:val="both"/>
      </w:pPr>
      <w:r>
        <w:rPr>
          <w:rFonts w:ascii="Times New Roman" w:hAnsi="Times New Roman"/>
          <w:b w:val="0"/>
          <w:i w:val="0"/>
          <w:color w:val="000000"/>
          <w:sz w:val="20"/>
        </w:rPr>
        <w:t>La capa de presentación usa fragmentos Thymeleaf para encabezado y pie de página. La plantilla principal itera sobre la colección de productos y aplica expresiones para nombre, categoría, descripción y precio. Thymeleaf facilita esta integración con controladores y expresiones Spring EL [3]. Bootstrap 5.3 y una hoja de estilos propia implementan cuadrículas adaptables, navegación móvil, jerarquía visual y la paleta azul, celeste, blanco y turquesa [5].</w:t>
      </w:r>
    </w:p>
    <w:p>
      <w:pPr>
        <w:pStyle w:val="Heading2"/>
        <w:keepNext/>
      </w:pPr>
      <w:r>
        <w:rPr>
          <w:rFonts w:ascii="Times New Roman" w:hAnsi="Times New Roman"/>
          <w:b/>
          <w:i w:val="0"/>
          <w:color w:val="06364D"/>
          <w:sz w:val="19"/>
        </w:rPr>
        <w:t>C. Modelo y estrategia de datos</w:t>
      </w:r>
    </w:p>
    <w:p>
      <w:pPr>
        <w:spacing w:before="0" w:after="60" w:line="240" w:lineRule="auto"/>
        <w:ind w:firstLine="216"/>
        <w:jc w:val="both"/>
      </w:pPr>
      <w:r>
        <w:rPr>
          <w:rFonts w:ascii="Times New Roman" w:hAnsi="Times New Roman"/>
          <w:b w:val="0"/>
          <w:i w:val="0"/>
          <w:color w:val="000000"/>
          <w:sz w:val="20"/>
        </w:rPr>
        <w:t>El script schema.sql crea diez tablas: roles, usuarios, usuarios_roles, clientes, categorias, productos, servicios, solicitudes_servicio, pedidos y detalles_pedido. Las claves foráneas conectan identidad, catálogo, solicitudes y compras. Pedidos funciona como cabecera transaccional, mientras detalles_pedido conserva producto, cantidad, precio unitario y subtotal. El modelo responde al estándar objeto-relacional de Jakarta Persistence [4] y prevé MySQL como motor productivo [7].</w:t>
      </w:r>
    </w:p>
    <w:p>
      <w:pPr>
        <w:spacing w:before="0" w:after="60" w:line="240" w:lineRule="auto"/>
        <w:ind w:firstLine="216"/>
        <w:jc w:val="both"/>
      </w:pPr>
      <w:r>
        <w:rPr>
          <w:rFonts w:ascii="Times New Roman" w:hAnsi="Times New Roman"/>
          <w:b w:val="0"/>
          <w:i w:val="0"/>
          <w:color w:val="000000"/>
          <w:sz w:val="20"/>
        </w:rPr>
        <w:t>Para asegurar reproducibilidad sin exigir infraestructura externa, el perfil de desarrollo utiliza H2 en memoria y ejecuta automáticamente schema.sql y data.sql [6]. Los datos iniciales incluyen cuatro categorías, ocho productos, tres servicios, dos roles, un cliente y un pedido de demostración. La contraseña de demostración se conserva deliberadamente inválida hasta que el segundo incremento incorpore BCrypt y Spring Security; por tanto, no se presenta como credencial funcional.</w:t>
      </w:r>
    </w:p>
    <w:p>
      <w:pPr>
        <w:pStyle w:val="Heading2"/>
        <w:keepNext/>
      </w:pPr>
      <w:r>
        <w:rPr>
          <w:rFonts w:ascii="Times New Roman" w:hAnsi="Times New Roman"/>
          <w:b/>
          <w:i w:val="0"/>
          <w:color w:val="06364D"/>
          <w:sz w:val="19"/>
        </w:rPr>
        <w:t>D. Verificación</w:t>
      </w:r>
    </w:p>
    <w:p>
      <w:pPr>
        <w:spacing w:before="0" w:after="60" w:line="240" w:lineRule="auto"/>
        <w:ind w:firstLine="216"/>
        <w:jc w:val="both"/>
      </w:pPr>
      <w:r>
        <w:rPr>
          <w:rFonts w:ascii="Times New Roman" w:hAnsi="Times New Roman"/>
          <w:b w:val="0"/>
          <w:i w:val="0"/>
          <w:color w:val="000000"/>
          <w:sz w:val="20"/>
        </w:rPr>
        <w:t>La verificación se realizó con Maven y pruebas JUnit integradas en Spring Boot. La primera prueba comprueba que el contexto de aplicación se construya. La segunda ejecuta una solicitud simulada a la ruta raíz, exige estado satisfactorio, vista index, colección de ocho productos y presencia del producto Cloro granulado premium en el HTML generado. Además, se inició el servidor Tomcat embebido y se comprobó una respuesta HTTP 200 en localhost:8080.</w:t>
      </w:r>
    </w:p>
    <w:p>
      <w:pPr>
        <w:pStyle w:val="Heading1"/>
        <w:keepNext/>
      </w:pPr>
      <w:r>
        <w:rPr>
          <w:rFonts w:ascii="Times New Roman" w:hAnsi="Times New Roman"/>
          <w:b/>
          <w:i w:val="0"/>
          <w:color w:val="06364D"/>
          <w:sz w:val="20"/>
        </w:rPr>
        <w:t>III. RESULTADOS PRELIMINARES</w:t>
      </w:r>
    </w:p>
    <w:p>
      <w:pPr>
        <w:pStyle w:val="Heading2"/>
        <w:keepNext/>
      </w:pPr>
      <w:r>
        <w:rPr>
          <w:rFonts w:ascii="Times New Roman" w:hAnsi="Times New Roman"/>
          <w:b/>
          <w:i w:val="0"/>
          <w:color w:val="06364D"/>
          <w:sz w:val="19"/>
        </w:rPr>
        <w:t>A. Resultado funcional</w:t>
      </w:r>
    </w:p>
    <w:p>
      <w:pPr>
        <w:spacing w:before="0" w:after="60" w:line="240" w:lineRule="auto"/>
        <w:ind w:firstLine="216"/>
        <w:jc w:val="both"/>
      </w:pPr>
      <w:r>
        <w:rPr>
          <w:rFonts w:ascii="Times New Roman" w:hAnsi="Times New Roman"/>
          <w:b w:val="0"/>
          <w:i w:val="0"/>
          <w:color w:val="000000"/>
          <w:sz w:val="20"/>
        </w:rPr>
        <w:t>El incremento produce una página navegable con propuesta de valor, indicadores demostrativos, categorías, catálogo, servicios, testimonios marcados como contenido provisional, formulario de contacto y acceso a WhatsApp. La interfaz se adapta mediante puntos de ruptura para escritorio, tableta y móvil. El catálogo no está codificado como contenido estático: cada tarjeta se genera a partir de entidades consultadas por el repositorio JPA, lo que demuestra un uso visible de la persistencia.</w:t>
      </w:r>
    </w:p>
    <w:p>
      <w:pPr>
        <w:spacing w:before="0" w:after="60" w:line="240" w:lineRule="auto"/>
        <w:ind w:firstLine="216"/>
        <w:jc w:val="both"/>
      </w:pPr>
      <w:r>
        <w:rPr>
          <w:rFonts w:ascii="Times New Roman" w:hAnsi="Times New Roman"/>
          <w:b w:val="0"/>
          <w:i w:val="0"/>
          <w:color w:val="000000"/>
          <w:sz w:val="20"/>
        </w:rPr>
        <w:t>La ejecución de la suite final reportó: Tests run: 2, Failures: 0, Errors: 0, Skipped: 0. Durante la primera ejecución, la prueba de integración reveló una LazyInitializationException al acceder a producto.categoria.nombre con la sesión cerrada. La corrección añadió una carga explícita mediante EntityGraph. Este hallazgo evidencia el valor de probar el recorrido completo y no solamente el arranque del contexto.</w:t>
      </w:r>
    </w:p>
    <w:p>
      <w:pPr>
        <w:pStyle w:val="Heading2"/>
        <w:keepNext/>
      </w:pPr>
      <w:r>
        <w:rPr>
          <w:rFonts w:ascii="Times New Roman" w:hAnsi="Times New Roman"/>
          <w:b/>
          <w:i w:val="0"/>
          <w:color w:val="06364D"/>
          <w:sz w:val="19"/>
        </w:rPr>
        <w:t>B. Resultado estructural</w:t>
      </w:r>
    </w:p>
    <w:p>
      <w:pPr>
        <w:spacing w:before="0" w:after="60" w:line="240" w:lineRule="auto"/>
        <w:ind w:firstLine="216"/>
        <w:jc w:val="both"/>
      </w:pPr>
      <w:r>
        <w:rPr>
          <w:rFonts w:ascii="Times New Roman" w:hAnsi="Times New Roman"/>
          <w:b w:val="0"/>
          <w:i w:val="0"/>
          <w:color w:val="000000"/>
          <w:sz w:val="20"/>
        </w:rPr>
        <w:t>El esquema supera el mínimo de ocho tablas e incorpora una transacción representativa. Sin embargo, la existencia de tablas no equivale todavía a un flujo comercial completo. El resultado estratégico se alcanzará cuando una operación de negocio valide existencias, calcule importes en servidor, cree pedido y detalles en una transacción atómica y descuente inventario. Por ello, el presente artículo distingue entre estructura implementada y comportamiento pendiente.</w:t>
      </w:r>
    </w:p>
    <w:p>
      <w:pPr>
        <w:pStyle w:val="Heading2"/>
        <w:keepNext/>
      </w:pPr>
      <w:r>
        <w:rPr>
          <w:rFonts w:ascii="Times New Roman" w:hAnsi="Times New Roman"/>
          <w:b/>
          <w:i w:val="0"/>
          <w:color w:val="06364D"/>
          <w:sz w:val="19"/>
        </w:rPr>
        <w:t>C. Resultado de trazabilidad</w:t>
      </w:r>
    </w:p>
    <w:p>
      <w:pPr>
        <w:spacing w:before="0" w:after="60" w:line="240" w:lineRule="auto"/>
        <w:ind w:firstLine="216"/>
        <w:jc w:val="both"/>
      </w:pPr>
      <w:r>
        <w:rPr>
          <w:rFonts w:ascii="Times New Roman" w:hAnsi="Times New Roman"/>
          <w:b w:val="0"/>
          <w:i w:val="0"/>
          <w:color w:val="000000"/>
          <w:sz w:val="20"/>
        </w:rPr>
        <w:t>El repositorio contiene README, instrucciones de ejecución, scripts SQL, informe del avance, lista de tareas del segundo integrante y registro de decisiones. La rama samuel conserva commits descriptivos y puede revisarse antes de integrar. Esta documentación conecta artefactos con criterios de almacenamiento, diseño, uso de tecnologías y colaboración.</w:t>
      </w:r>
    </w:p>
    <w:p>
      <w:pPr>
        <w:pStyle w:val="Heading1"/>
        <w:keepNext/>
      </w:pPr>
      <w:r>
        <w:rPr>
          <w:rFonts w:ascii="Times New Roman" w:hAnsi="Times New Roman"/>
          <w:b/>
          <w:i w:val="0"/>
          <w:color w:val="06364D"/>
          <w:sz w:val="20"/>
        </w:rPr>
        <w:t>IV. DISCUSIÓN</w:t>
      </w:r>
    </w:p>
    <w:p>
      <w:pPr>
        <w:spacing w:before="0" w:after="60" w:line="240" w:lineRule="auto"/>
        <w:ind w:firstLine="216"/>
        <w:jc w:val="both"/>
      </w:pPr>
      <w:r>
        <w:rPr>
          <w:rFonts w:ascii="Times New Roman" w:hAnsi="Times New Roman"/>
          <w:b w:val="0"/>
          <w:i w:val="0"/>
          <w:color w:val="000000"/>
          <w:sz w:val="20"/>
        </w:rPr>
        <w:t>Los resultados respaldan la viabilidad de una arquitectura Spring MVC para el dominio planteado. El recorrido persistente del catálogo disminuye el riesgo de que la base de datos sea decorativa, mientras el esquema relacional prepara relaciones y consultas posteriores. La decisión de mantener open-in-view desactivado hace visibles los límites de la capa de persistencia y obligó a definir la información necesaria en la consulta. Aunque esta política requiere mayor disciplina, evita que la vista active accesos implícitos difíciles de medir.</w:t>
      </w:r>
    </w:p>
    <w:p>
      <w:pPr>
        <w:spacing w:before="0" w:after="60" w:line="240" w:lineRule="auto"/>
        <w:ind w:firstLine="216"/>
        <w:jc w:val="both"/>
      </w:pPr>
      <w:r>
        <w:rPr>
          <w:rFonts w:ascii="Times New Roman" w:hAnsi="Times New Roman"/>
          <w:b w:val="0"/>
          <w:i w:val="0"/>
          <w:color w:val="000000"/>
          <w:sz w:val="20"/>
        </w:rPr>
        <w:t>H2 aporta reproducibilidad para pruebas y MySQL se reserva para el entorno final. Esta combinación presenta una amenaza de compatibilidad: pequeñas diferencias de tipos, funciones SQL o restricciones pueden aparecer al migrar. La mitigación propuesta es ejecutar las mismas pruebas con un perfil MySQL antes del despliegue y, en una versión posterior, adoptar migraciones versionadas.</w:t>
      </w:r>
    </w:p>
    <w:p>
      <w:pPr>
        <w:spacing w:before="0" w:after="60" w:line="240" w:lineRule="auto"/>
        <w:ind w:firstLine="216"/>
        <w:jc w:val="both"/>
      </w:pPr>
      <w:r>
        <w:rPr>
          <w:rFonts w:ascii="Times New Roman" w:hAnsi="Times New Roman"/>
          <w:b w:val="0"/>
          <w:i w:val="0"/>
          <w:color w:val="000000"/>
          <w:sz w:val="20"/>
        </w:rPr>
        <w:t>La interfaz sigue un enfoque responsive coherente con Bootstrap [5], pero no se afirma conformidad formal con WCAG. Las pautas WCAG 2.2 organizan la accesibilidad en los principios perceptible, operable, comprensible y robusto [8]. Una auditoría de contraste, foco, navegación por teclado, nombres accesibles y mensajes de error debe formar parte del segundo incremento.</w:t>
      </w:r>
    </w:p>
    <w:p>
      <w:pPr>
        <w:spacing w:before="0" w:after="60" w:line="240" w:lineRule="auto"/>
        <w:ind w:firstLine="216"/>
        <w:jc w:val="both"/>
      </w:pPr>
      <w:r>
        <w:rPr>
          <w:rFonts w:ascii="Times New Roman" w:hAnsi="Times New Roman"/>
          <w:b w:val="0"/>
          <w:i w:val="0"/>
          <w:color w:val="000000"/>
          <w:sz w:val="20"/>
        </w:rPr>
        <w:t>La principal limitación metodológica es la ausencia, hasta este corte, de evaluación con usuarios o evidencia directa del cliente. Las cifras de experiencia y los testimonios de la maqueta son contenido demostrativo y no resultados empíricos. Antes de la entrega deben sustituirse o respaldarse con una entrevista, encuesta o análisis de mercado. También están pendientes controles de autenticación y autorización; OWASP recomienda verificar estos mecanismos sistemáticamente antes de considerar segura una aplicación [9].</w:t>
      </w:r>
    </w:p>
    <w:p>
      <w:pPr>
        <w:pStyle w:val="Heading1"/>
        <w:keepNext/>
      </w:pPr>
      <w:r>
        <w:rPr>
          <w:rFonts w:ascii="Times New Roman" w:hAnsi="Times New Roman"/>
          <w:b/>
          <w:i w:val="0"/>
          <w:color w:val="06364D"/>
          <w:sz w:val="20"/>
        </w:rPr>
        <w:t>V. CONCLUSIONES PARCIALES Y TRABAJO FUTURO</w:t>
      </w:r>
    </w:p>
    <w:p>
      <w:pPr>
        <w:spacing w:before="0" w:after="60" w:line="240" w:lineRule="auto"/>
        <w:ind w:firstLine="216"/>
        <w:jc w:val="both"/>
      </w:pPr>
      <w:r>
        <w:rPr>
          <w:rFonts w:ascii="Times New Roman" w:hAnsi="Times New Roman"/>
          <w:b w:val="0"/>
          <w:i w:val="0"/>
          <w:color w:val="000000"/>
          <w:sz w:val="20"/>
        </w:rPr>
        <w:t>El primer incremento demuestra que Tienda Piscinas Santamaría puede consultar y presentar un catálogo persistente mediante una arquitectura MVC reproducible. Se implementaron una interfaz adaptable, diez tablas relacionadas, datos de demostración y dos pruebas automatizadas satisfactorias. La detección y corrección del problema de carga perezosa confirma que la estrategia de pruebas aporta evidencia técnica útil para la defensa.</w:t>
      </w:r>
    </w:p>
    <w:p>
      <w:pPr>
        <w:spacing w:before="0" w:after="60" w:line="240" w:lineRule="auto"/>
        <w:ind w:firstLine="216"/>
        <w:jc w:val="both"/>
      </w:pPr>
      <w:r>
        <w:rPr>
          <w:rFonts w:ascii="Times New Roman" w:hAnsi="Times New Roman"/>
          <w:b w:val="0"/>
          <w:i w:val="0"/>
          <w:color w:val="000000"/>
          <w:sz w:val="20"/>
        </w:rPr>
        <w:t>No se considera concluida la aplicación transaccional. El siguiente incremento debe implementar Spring Security con roles, CRUD de categorías y productos, solicitudes de servicio, carrito y creación atómica de pedidos, validación de inventario, internacionalización español/inglés, pruebas de autorización, configuración MySQL y despliegue. También debe recopilar evidencia de cliente potencial y ejecutar una evaluación básica de usabilidad y accesibilidad. Las conclusiones finales del artículo se actualizarán únicamente después de medir esas funciones.</w:t>
      </w:r>
    </w:p>
    <w:p>
      <w:pPr>
        <w:pStyle w:val="Heading1"/>
        <w:keepNext/>
      </w:pPr>
      <w:r>
        <w:rPr>
          <w:rFonts w:ascii="Times New Roman" w:hAnsi="Times New Roman"/>
          <w:b/>
          <w:i w:val="0"/>
          <w:color w:val="06364D"/>
          <w:sz w:val="20"/>
        </w:rPr>
        <w:t>REFERENCIAS</w:t>
      </w:r>
    </w:p>
    <w:p>
      <w:pPr>
        <w:spacing w:after="40" w:line="240" w:lineRule="auto"/>
        <w:ind w:left="259" w:hanging="259"/>
      </w:pPr>
      <w:r>
        <w:rPr>
          <w:rFonts w:ascii="Times New Roman" w:hAnsi="Times New Roman"/>
          <w:b w:val="0"/>
          <w:i w:val="0"/>
          <w:color w:val="000000"/>
          <w:sz w:val="16"/>
        </w:rPr>
        <w:t>[1] Spring, “Spring Boot 3.5 Reference Documentation,” 2026. [En línea]. Disponible: https://docs.spring.io/spring-boot/3.5/reference/index.html. [Accedido: 17-ago-2026].</w:t>
      </w:r>
    </w:p>
    <w:p>
      <w:pPr>
        <w:spacing w:after="40" w:line="240" w:lineRule="auto"/>
        <w:ind w:left="259" w:hanging="259"/>
      </w:pPr>
      <w:r>
        <w:rPr>
          <w:rFonts w:ascii="Times New Roman" w:hAnsi="Times New Roman"/>
          <w:b w:val="0"/>
          <w:i w:val="0"/>
          <w:color w:val="000000"/>
          <w:sz w:val="16"/>
        </w:rPr>
        <w:t>[2] Spring, “Spring Web MVC,” Spring Framework Reference. [En línea]. Disponible: https://docs.spring.io/spring-framework/reference/web/webmvc.html. [Accedido: 17-ago-2026].</w:t>
      </w:r>
    </w:p>
    <w:p>
      <w:pPr>
        <w:spacing w:after="40" w:line="240" w:lineRule="auto"/>
        <w:ind w:left="259" w:hanging="259"/>
      </w:pPr>
      <w:r>
        <w:rPr>
          <w:rFonts w:ascii="Times New Roman" w:hAnsi="Times New Roman"/>
          <w:b w:val="0"/>
          <w:i w:val="0"/>
          <w:color w:val="000000"/>
          <w:sz w:val="16"/>
        </w:rPr>
        <w:t>[3] The Thymeleaf Team, “Tutorial: Thymeleaf + Spring,” versión 3.1, 2026. [En línea]. Disponible: https://www.thymeleaf.org/doc/tutorials/3.1/thymeleafspring.html. [Accedido: 17-ago-2026].</w:t>
      </w:r>
    </w:p>
    <w:p>
      <w:pPr>
        <w:spacing w:after="40" w:line="240" w:lineRule="auto"/>
        <w:ind w:left="259" w:hanging="259"/>
      </w:pPr>
      <w:r>
        <w:rPr>
          <w:rFonts w:ascii="Times New Roman" w:hAnsi="Times New Roman"/>
          <w:b w:val="0"/>
          <w:i w:val="0"/>
          <w:color w:val="000000"/>
          <w:sz w:val="16"/>
        </w:rPr>
        <w:t>[4] Eclipse Foundation, “Jakarta Persistence 3.1 Specification,” mar. 2022. [En línea]. Disponible: https://jakarta.ee/specifications/persistence/3.1/. [Accedido: 17-ago-2026].</w:t>
      </w:r>
    </w:p>
    <w:p>
      <w:pPr>
        <w:spacing w:after="40" w:line="240" w:lineRule="auto"/>
        <w:ind w:left="259" w:hanging="259"/>
      </w:pPr>
      <w:r>
        <w:rPr>
          <w:rFonts w:ascii="Times New Roman" w:hAnsi="Times New Roman"/>
          <w:b w:val="0"/>
          <w:i w:val="0"/>
          <w:color w:val="000000"/>
          <w:sz w:val="16"/>
        </w:rPr>
        <w:t>[5] Bootstrap Team, “Get started with Bootstrap v5.3,” 2026. [En línea]. Disponible: https://getbootstrap.com/docs/5.3/getting-started/introduction/. [Accedido: 17-ago-2026].</w:t>
      </w:r>
    </w:p>
    <w:p>
      <w:pPr>
        <w:spacing w:after="40" w:line="240" w:lineRule="auto"/>
        <w:ind w:left="259" w:hanging="259"/>
      </w:pPr>
      <w:r>
        <w:rPr>
          <w:rFonts w:ascii="Times New Roman" w:hAnsi="Times New Roman"/>
          <w:b w:val="0"/>
          <w:i w:val="0"/>
          <w:color w:val="000000"/>
          <w:sz w:val="16"/>
        </w:rPr>
        <w:t>[6] H2 Group, “H2 Database Engine Features.” [En línea]. Disponible: https://www.h2database.com/html/features.html. [Accedido: 17-ago-2026].</w:t>
      </w:r>
    </w:p>
    <w:p>
      <w:pPr>
        <w:spacing w:after="40" w:line="240" w:lineRule="auto"/>
        <w:ind w:left="259" w:hanging="259"/>
      </w:pPr>
      <w:r>
        <w:rPr>
          <w:rFonts w:ascii="Times New Roman" w:hAnsi="Times New Roman"/>
          <w:b w:val="0"/>
          <w:i w:val="0"/>
          <w:color w:val="000000"/>
          <w:sz w:val="16"/>
        </w:rPr>
        <w:t>[7] Oracle, “MySQL 8.4 Reference Manual.” [En línea]. Disponible: https://dev.mysql.com/doc/refman/8.4/en/. [Accedido: 17-ago-2026].</w:t>
      </w:r>
    </w:p>
    <w:p>
      <w:pPr>
        <w:spacing w:after="40" w:line="240" w:lineRule="auto"/>
        <w:ind w:left="259" w:hanging="259"/>
      </w:pPr>
      <w:r>
        <w:rPr>
          <w:rFonts w:ascii="Times New Roman" w:hAnsi="Times New Roman"/>
          <w:b w:val="0"/>
          <w:i w:val="0"/>
          <w:color w:val="000000"/>
          <w:sz w:val="16"/>
        </w:rPr>
        <w:t>[8] W3C Web Accessibility Initiative, “Web Content Accessibility Guidelines (WCAG) 2 Overview,” 2026. [En línea]. Disponible: https://www.w3.org/WAI/standards-guidelines/wcag/. [Accedido: 17-ago-2026].</w:t>
      </w:r>
    </w:p>
    <w:p>
      <w:pPr>
        <w:spacing w:after="40" w:line="240" w:lineRule="auto"/>
        <w:ind w:left="259" w:hanging="259"/>
      </w:pPr>
      <w:r>
        <w:rPr>
          <w:rFonts w:ascii="Times New Roman" w:hAnsi="Times New Roman"/>
          <w:b w:val="0"/>
          <w:i w:val="0"/>
          <w:color w:val="000000"/>
          <w:sz w:val="16"/>
        </w:rPr>
        <w:t>[9] OWASP Foundation, “Application Security Verification Standard.” [En línea]. Disponible: https://owasp.org/www-project-application-security-verification-standard/. [Accedido: 17-ago-2026].</w:t>
      </w:r>
    </w:p>
    <w:p>
      <w:pPr>
        <w:spacing w:after="40" w:line="240" w:lineRule="auto"/>
        <w:ind w:left="259" w:hanging="259"/>
      </w:pPr>
      <w:r>
        <w:rPr>
          <w:rFonts w:ascii="Times New Roman" w:hAnsi="Times New Roman"/>
          <w:b w:val="0"/>
          <w:i w:val="0"/>
          <w:color w:val="000000"/>
          <w:sz w:val="16"/>
        </w:rPr>
        <w:t>[10] GitHub, “Writing code for a project,” GitHub Docs, 2026. [En línea]. Disponible: https://docs.github.com/en/pull-requests/concepts/writing-code-for-a-project. [Accedido: 17-ago-2026].</w:t>
      </w:r>
    </w:p>
    <w:p>
      <w:pPr>
        <w:spacing w:after="40" w:line="240" w:lineRule="auto"/>
        <w:ind w:left="259" w:hanging="259"/>
      </w:pPr>
      <w:r>
        <w:rPr>
          <w:rFonts w:ascii="Times New Roman" w:hAnsi="Times New Roman"/>
          <w:b w:val="0"/>
          <w:i w:val="0"/>
          <w:color w:val="000000"/>
          <w:sz w:val="16"/>
        </w:rPr>
        <w:t>[11] Spring, “Spring Data JPA Reference Documentation.” [En línea]. Disponible: https://docs.spring.io/spring-data/jpa/reference/. [Accedido: 17-ago-2026].</w:t>
      </w:r>
    </w:p>
    <w:p>
      <w:pPr>
        <w:pStyle w:val="Heading1"/>
        <w:keepNext/>
      </w:pPr>
      <w:r>
        <w:rPr>
          <w:rFonts w:ascii="Times New Roman" w:hAnsi="Times New Roman"/>
          <w:b/>
          <w:i w:val="0"/>
          <w:color w:val="06364D"/>
          <w:sz w:val="20"/>
        </w:rPr>
        <w:t>NOTA DE CONTROL DEL BORRADOR</w:t>
      </w:r>
    </w:p>
    <w:p>
      <w:pPr>
        <w:spacing w:before="0" w:after="60" w:line="240" w:lineRule="auto"/>
        <w:jc w:val="both"/>
      </w:pPr>
      <w:r>
        <w:rPr>
          <w:rFonts w:ascii="Times New Roman" w:hAnsi="Times New Roman"/>
          <w:b w:val="0"/>
          <w:i w:val="0"/>
          <w:color w:val="000000"/>
          <w:sz w:val="20"/>
        </w:rPr>
        <w:t>Este documento constituye un avance basado exclusivamente en el primer 50 % implementado. Antes de la entrega final deben reemplazarse los campos entre corchetes, insertar capturas numeradas del sistema, incorporar evidencia del segundo integrante, actualizar resultados y discusión, y revisar cada referencia conforme a la plantilla IEEE suministrada por el docente.</w:t>
      </w:r>
    </w:p>
    <w:sectPr w:rsidR="00FC693F" w:rsidRPr="0006063C" w:rsidSect="00034616">
      <w:type w:val="continuous"/>
      <w:pgSz w:w="12240" w:h="15840"/>
      <w:pgMar w:top="1008" w:right="1037" w:bottom="1008" w:left="1037" w:header="432" w:footer="504"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55555"/>
        <w:sz w:val="15"/>
      </w:rPr>
      <w:t>Borrador académico · 17 de agosto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val="0"/>
        <w:i w:val="0"/>
        <w:color w:val="555555"/>
        <w:sz w:val="15"/>
      </w:rPr>
      <w:t>AVANCE DE ARTÍCULO CIENTÍFICO · TIENDA PISCINAS SANTAMARÍA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b/>
      <w:bCs/>
      <w:color w:val="06364D"/>
      <w:sz w:val="2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b/>
      <w:bCs/>
      <w:color w:val="06364D"/>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del artículo científico - Tienda Piscinas Santamaría</dc:title>
  <dc:subject>Primer 50 % del proyecto de Desarrollo de Aplicaciones Web y Patrones</dc:subject>
  <dc:creator>Equipo Tienda Piscinas Santamaría</dc:creator>
  <cp:keywords>Spring Boot, MVC, Thymeleaf, JPA, tienda web</cp:keywords>
  <dc:description>generated by python-docx</dc:description>
  <cp:lastModifiedBy/>
  <cp:revision>1</cp:revision>
  <dcterms:created xsi:type="dcterms:W3CDTF">2013-12-23T23:15:00Z</dcterms:created>
  <dcterms:modified xsi:type="dcterms:W3CDTF">2013-12-23T23:15:00Z</dcterms:modified>
  <cp:category/>
</cp:coreProperties>
</file>