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Liberation Sans" w:hAnsi="Liberation Sans"/>
          <w:b/>
          <w:color w:val="4A5560"/>
          <w:sz w:val="16"/>
        </w:rPr>
        <w:t>DOC-01</w:t>
      </w:r>
    </w:p>
    <w:p>
      <w:pPr>
        <w:spacing w:after="40"/>
      </w:pPr>
      <w:r>
        <w:rPr>
          <w:rFonts w:ascii="Liberation Sans" w:hAnsi="Liberation Sans"/>
          <w:b/>
          <w:color w:val="14365C"/>
          <w:sz w:val="30"/>
        </w:rPr>
        <w:t>NOTA TÉCNICA DE ENQUADRAMENTO</w:t>
      </w:r>
    </w:p>
    <w:p>
      <w:pPr>
        <w:spacing w:after="200"/>
      </w:pPr>
      <w:r>
        <w:rPr>
          <w:rFonts w:ascii="Liberation Sans" w:hAnsi="Liberation Sans"/>
          <w:color w:val="4A5560"/>
          <w:sz w:val="20"/>
        </w:rPr>
        <w:t>Avaliação de porte e de tratamento de alto risco — art. 3º e art. 4º do Anexo I da Resolução CD/ANPD nº 2/2022</w:t>
      </w:r>
    </w:p>
    <w:p>
      <w:pPr>
        <w:pBdr>
          <w:bottom w:val="single" w:sz="6" w:space="1" w:color="C9D1DA"/>
        </w:pBd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4F7FA"/>
            <w:tcBorders>
              <w:left w:val="single" w:sz="18" w:color="14365C"/>
              <w:top w:val="nil" w:sz="0" w:color="14365C"/>
              <w:bottom w:val="nil" w:sz="0" w:color="14365C"/>
              <w:right w:val="nil" w:sz="0" w:color="14365C"/>
            </w:tcBorders>
          </w:tcPr>
          <w:p>
            <w:pPr>
              <w:jc w:val="both"/>
            </w:pPr>
            <w:r>
              <w:rPr>
                <w:rFonts w:ascii="Liberation Sans" w:hAnsi="Liberation Sans"/>
                <w:b/>
                <w:color w:val="14365C"/>
                <w:sz w:val="17"/>
              </w:rPr>
              <w:t xml:space="preserve">FINALIDADE DESTE DOCUMENTO  </w:t>
            </w:r>
            <w:r>
              <w:rPr>
                <w:sz w:val="19"/>
              </w:rPr>
              <w:t>Registrar, com data e responsável, se o escritório se enquadra como agente de tratamento de pequeno porte (ATPP) e se realiza tratamento de alto risco. O art. 5º do Anexo I da Resolução CD/ANPD nº 2/2022 obriga o agente a comprovar o enquadramento à ANPD em até quinze dias quando solicitado — por isso a avaliação precisa estar registrada ANTES do pedido, e não ser produzida em resposta a ele.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1. Identificação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255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520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Conteúdo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sz w:val="18"/>
              </w:rPr>
              <w:t>Razão social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sz w:val="18"/>
              </w:rPr>
              <w:t>[RAZÃO SOCIAL DO ESCRITÓRIO]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sz w:val="18"/>
              </w:rPr>
              <w:t>CNPJ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sz w:val="18"/>
              </w:rPr>
              <w:t>[CNPJ]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sz w:val="18"/>
              </w:rPr>
              <w:t>Endereço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sz w:val="18"/>
              </w:rPr>
              <w:t>[ENDEREÇO COMPLETO]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sz w:val="18"/>
              </w:rPr>
              <w:t>Natureza jurídica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sz w:val="18"/>
              </w:rPr>
              <w:t>Sociedade Limitada (LTDA)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sz w:val="18"/>
              </w:rPr>
              <w:t>Regime tributário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sz w:val="18"/>
              </w:rPr>
              <w:t>Optante pelo Simples Nacional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sz w:val="18"/>
              </w:rPr>
              <w:t>Porte na Receita Federal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sz w:val="18"/>
              </w:rPr>
              <w:t>Demais (não enquadrado como ME/EPP)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sz w:val="18"/>
              </w:rPr>
              <w:t>Atividade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sz w:val="18"/>
              </w:rPr>
              <w:t>Serviços de contabilidade, escrituração, folha de pagamento e obrigações acessórias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sz w:val="18"/>
              </w:rPr>
              <w:t>Data desta avaliação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sz w:val="18"/>
              </w:rPr>
              <w:t>____/____/______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sz w:val="18"/>
              </w:rPr>
              <w:t>Responsável pela avaliação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sz w:val="18"/>
              </w:rPr>
              <w:t>Pedro [SOBRENOME COMPLETO] — Encarregado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sz w:val="18"/>
              </w:rPr>
              <w:t>Aprovação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sz w:val="18"/>
              </w:rPr>
              <w:t>Rogers [SOBRENOME COMPLETO] — sócio-administrador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2. Dimensionamento do tratamento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2835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170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Quantidade</w:t>
            </w:r>
          </w:p>
        </w:tc>
        <w:tc>
          <w:tcPr>
            <w:tcW w:type="dxa" w:w="4535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Observação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Colaboradores do escritório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  <w:t>18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8"/>
              </w:rPr>
              <w:t>Titulares sob controladoria direta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Clientes pessoa jurídica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  <w:t>120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8"/>
              </w:rPr>
              <w:t>Escritório atua como operador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Clientes pessoa física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  <w:t>45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8"/>
              </w:rPr>
              <w:t>Escritório atua como controlador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Titulares estimados no total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  <w:t>Até 500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8"/>
              </w:rPr>
              <w:t>Empregados dos clientes + clientes PF + colaboradores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3. Critério de porte — art. 3º, II e III</w:t>
      </w:r>
    </w:p>
    <w:p>
      <w:pPr>
        <w:jc w:val="both"/>
      </w:pPr>
      <w:r>
        <w:rPr>
          <w:i w:val="0"/>
          <w:sz w:val="21"/>
        </w:rPr>
        <w:t>O art. 2º, I, do Anexo I da Resolução CD/ANPD nº 2/2022 define como agentes de tratamento de pequeno porte as microempresas, empresas de pequeno porte, startups, pessoas jurídicas de direito privado e entes despersonalizados que realizem tratamento assumindo obrigações típicas de controlador ou de operador. O art. 3º, porém, exclui do tratamento diferenciado o agente que realize tratamento de alto risco, que aufira receita bruta superior ao limite da Lei Complementar nº 123/2006 ou que pertença a grupo econômico cuja receita global ultrapasse esse limite.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4309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Teste</w:t>
            </w:r>
          </w:p>
        </w:tc>
        <w:tc>
          <w:tcPr>
            <w:tcW w:type="dxa" w:w="1928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Resposta</w:t>
            </w:r>
          </w:p>
        </w:tc>
        <w:tc>
          <w:tcPr>
            <w:tcW w:type="dxa" w:w="2835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Efeito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8"/>
              </w:rPr>
              <w:t>Receita bruta anual dentro do limite da LC 123/2006?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Sim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Não exclui por receita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8"/>
              </w:rPr>
              <w:t>Integra grupo econômico cuja receita global ultrapassa o limite?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Não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Não exclui por grupo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8"/>
              </w:rPr>
              <w:t>Realiza tratamento de alto risco (art. 4º)?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SIM — ver item 4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EXCLUI do regime (art. 3º, I)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4. Teste de alto risco — art. 4º do Anexo I</w:t>
      </w:r>
    </w:p>
    <w:p>
      <w:pPr>
        <w:jc w:val="both"/>
      </w:pPr>
      <w:r>
        <w:rPr>
          <w:i w:val="0"/>
          <w:sz w:val="21"/>
        </w:rPr>
        <w:t>O art. 4º exige a presença cumulativa de pelo menos um critério geral E pelo menos um critério específico. A avaliação abaixo foi feita operação por operação, conforme o registro das operações de tratamento (DOC-ROPA).</w:t>
      </w:r>
    </w:p>
    <w:p>
      <w:pPr>
        <w:spacing w:before="160" w:after="40"/>
      </w:pPr>
      <w:r>
        <w:rPr>
          <w:rFonts w:ascii="Liberation Sans" w:hAnsi="Liberation Sans"/>
          <w:b/>
          <w:color w:val="4A5560"/>
          <w:sz w:val="19"/>
        </w:rPr>
        <w:t>4.1 Critérios gerais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306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Critério geral</w:t>
            </w:r>
          </w:p>
        </w:tc>
        <w:tc>
          <w:tcPr>
            <w:tcW w:type="dxa" w:w="1247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Presente?</w:t>
            </w:r>
          </w:p>
        </w:tc>
        <w:tc>
          <w:tcPr>
            <w:tcW w:type="dxa" w:w="4762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Fundamentação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G1 — Tratamento em larga escala (§ 1º: número significativo de titulares, volume, duração, frequência e extensão geográfica)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8"/>
              </w:rPr>
              <w:t>Não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8"/>
              </w:rPr>
              <w:t>Até 500 titulares, atuação regional, sem volume que caracterize larga escala segundo os parâmetros do § 1º. Reavaliar se a carteira crescer.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G2 — Tratamento que possa afetar significativamente interesses e direitos fundamentais (§ 2º)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8"/>
              </w:rPr>
              <w:t>SIM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8"/>
              </w:rPr>
              <w:t>O tratamento de folha de pagamento, atestados e exames ocupacionais condiciona o recebimento de salário, benefícios previdenciários e a própria manutenção do vínculo de emprego. Erro ou vazamento pode impedir o exercício de direitos e causar dano material e moral ao titular.</w:t>
            </w:r>
          </w:p>
        </w:tc>
      </w:tr>
    </w:tbl>
    <w:p>
      <w:pPr>
        <w:spacing w:after="60"/>
      </w:pPr>
    </w:p>
    <w:p>
      <w:pPr>
        <w:spacing w:before="160" w:after="40"/>
      </w:pPr>
      <w:r>
        <w:rPr>
          <w:rFonts w:ascii="Liberation Sans" w:hAnsi="Liberation Sans"/>
          <w:b/>
          <w:color w:val="4A5560"/>
          <w:sz w:val="19"/>
        </w:rPr>
        <w:t>4.2 Critérios específicos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306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Critério específico</w:t>
            </w:r>
          </w:p>
        </w:tc>
        <w:tc>
          <w:tcPr>
            <w:tcW w:type="dxa" w:w="1247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Presente?</w:t>
            </w:r>
          </w:p>
        </w:tc>
        <w:tc>
          <w:tcPr>
            <w:tcW w:type="dxa" w:w="4762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Fundamentação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E1 — Tecnologias emergentes ou inovadoras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8"/>
              </w:rPr>
              <w:t>Não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8"/>
              </w:rPr>
              <w:t>Não há uso de inteligência artificial ou tecnologia nova sobre dados de clientes.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E2 — Vigilância ou controle de zonas acessíveis ao público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8"/>
              </w:rPr>
              <w:t>Não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8"/>
              </w:rPr>
              <w:t>Não há monitoramento sistemático por câmeras, rastreamento, e-mail ou tela.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E3 — Decisões unicamente automatizadas (perfil, crédito, consumo)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8"/>
              </w:rPr>
              <w:t>Não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8"/>
              </w:rPr>
              <w:t>Não há decisão automatizada com efeito relevante sobre pessoas.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E4 — Dados sensíveis ou de crianças, adolescentes e idosos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8"/>
              </w:rPr>
              <w:t>SIM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8"/>
              </w:rPr>
              <w:t>São tratados: (a) dados de saúde — atestados médicos e ASO de exames admissionais, periódicos e demissionais; (b) dado biométrico — registro de ponto por biometria; (c) dados de adolescentes — menor aprendiz e dependentes.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4F7FA"/>
            <w:tcBorders>
              <w:left w:val="single" w:sz="18" w:color="A62121"/>
              <w:top w:val="nil" w:sz="0" w:color="A62121"/>
              <w:bottom w:val="nil" w:sz="0" w:color="A62121"/>
              <w:right w:val="nil" w:sz="0" w:color="A62121"/>
            </w:tcBorders>
          </w:tcPr>
          <w:p>
            <w:pPr>
              <w:jc w:val="both"/>
            </w:pPr>
            <w:r>
              <w:rPr>
                <w:rFonts w:ascii="Liberation Sans" w:hAnsi="Liberation Sans"/>
                <w:b/>
                <w:color w:val="A62121"/>
                <w:sz w:val="17"/>
              </w:rPr>
              <w:t xml:space="preserve">CONCLUSÃO DO TESTE DE ALTO RISCO  </w:t>
            </w:r>
            <w:r>
              <w:rPr>
                <w:sz w:val="19"/>
              </w:rPr>
              <w:t>Presentes o critério geral G2 e o critério específico E4. O requisito cumulativo do art. 4º está satisfeito: o escritório REALIZA TRATAMENTO DE ALTO RISCO.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5. Enquadramento adotado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4F7FA"/>
            <w:tcBorders>
              <w:left w:val="single" w:sz="18" w:color="A62121"/>
              <w:top w:val="nil" w:sz="0" w:color="A62121"/>
              <w:bottom w:val="nil" w:sz="0" w:color="A62121"/>
              <w:right w:val="nil" w:sz="0" w:color="A62121"/>
            </w:tcBorders>
          </w:tcPr>
          <w:p>
            <w:pPr>
              <w:jc w:val="both"/>
            </w:pPr>
            <w:r>
              <w:rPr>
                <w:rFonts w:ascii="Liberation Sans" w:hAnsi="Liberation Sans"/>
                <w:b/>
                <w:color w:val="A62121"/>
                <w:sz w:val="17"/>
              </w:rPr>
              <w:t xml:space="preserve">DECISÃO  </w:t>
            </w:r>
            <w:r>
              <w:rPr>
                <w:sz w:val="19"/>
              </w:rPr>
              <w:t>O escritório está FORA DO REGIME DE AGENTE DE TRATAMENTO DE PEQUENO PORTE, por força do art. 3º, I, do Anexo I da Resolução CD/ANPD nº 2/2022 (tratamento de alto risco), ainda que a receita bruta esteja dentro do limite da LC 123/2006. Consequências diretas:</w:t>
            </w:r>
          </w:p>
        </w:tc>
      </w:tr>
    </w:tbl>
    <w:p>
      <w:pPr>
        <w:spacing w:after="60"/>
      </w:pPr>
    </w:p>
    <w:p>
      <w:pPr>
        <w:pStyle w:val="ListBullet"/>
        <w:spacing w:after="40"/>
        <w:jc w:val="both"/>
      </w:pPr>
      <w:r>
        <w:rPr>
          <w:sz w:val="21"/>
        </w:rPr>
        <w:t>NÃO se aplica a dispensa de indicação de encarregado do art. 11 — a indicação é obrigatória nos termos do art. 41 da LGPD (ver DOC-02).</w:t>
      </w:r>
    </w:p>
    <w:p>
      <w:pPr>
        <w:pStyle w:val="ListBullet"/>
        <w:spacing w:after="40"/>
        <w:jc w:val="both"/>
      </w:pPr>
      <w:r>
        <w:rPr>
          <w:sz w:val="21"/>
        </w:rPr>
        <w:t>NÃO se aplica o registro simplificado das operações do art. 9º — o registro do art. 37 da LGPD deve ser mantido em forma completa.</w:t>
      </w:r>
    </w:p>
    <w:p>
      <w:pPr>
        <w:pStyle w:val="ListBullet"/>
        <w:spacing w:after="40"/>
        <w:jc w:val="both"/>
      </w:pPr>
      <w:r>
        <w:rPr>
          <w:sz w:val="21"/>
        </w:rPr>
        <w:t>NÃO se aplica a política simplificada de segurança dos arts. 12 e 13.</w:t>
      </w:r>
    </w:p>
    <w:p>
      <w:pPr>
        <w:pStyle w:val="ListBullet"/>
        <w:spacing w:after="40"/>
        <w:jc w:val="both"/>
      </w:pPr>
      <w:r>
        <w:rPr>
          <w:sz w:val="21"/>
        </w:rPr>
        <w:t>NÃO se aplica a contagem em dobro dos prazos de comunicação de incidente: o prazo é de 3 (três) dias úteis, nos termos do art. 6º do Anexo da Resolução CD/ANPD nº 15/2024.</w:t>
      </w: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6. Registro adicional — exigência contratual de cliente</w:t>
      </w:r>
    </w:p>
    <w:p>
      <w:pPr>
        <w:jc w:val="both"/>
      </w:pPr>
      <w:r>
        <w:rPr>
          <w:i w:val="0"/>
          <w:sz w:val="21"/>
        </w:rPr>
        <w:t>Independentemente do enquadramento legal, há cliente que exige contratualmente a existência de encarregado. A obrigação contratual subsiste por si e deve constar da matriz de papéis (DOC-03) e do controle de cláusulas contratuais.</w:t>
      </w: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7. Reavaliação</w:t>
      </w:r>
    </w:p>
    <w:p>
      <w:pPr>
        <w:jc w:val="both"/>
      </w:pPr>
      <w:r>
        <w:rPr>
          <w:i w:val="0"/>
          <w:sz w:val="21"/>
        </w:rPr>
        <w:t>Esta nota deve ser reavaliada anualmente e, extraordinariamente, quando houver: alteração de receita bruta ou de composição de grupo econômico; início de tratamento com nova tecnologia, vigilância sistemática ou decisão automatizada; crescimento da carteira que torne o volume compatível com larga escala; ou alteração da Resolução CD/ANPD nº 2/2022.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4F7FA"/>
            <w:tcBorders>
              <w:left w:val="single" w:sz="18" w:color="B3610E"/>
              <w:top w:val="nil" w:sz="0" w:color="B3610E"/>
              <w:bottom w:val="nil" w:sz="0" w:color="B3610E"/>
              <w:right w:val="nil" w:sz="0" w:color="B3610E"/>
            </w:tcBorders>
          </w:tcPr>
          <w:p>
            <w:pPr>
              <w:jc w:val="both"/>
            </w:pPr>
            <w:r>
              <w:rPr>
                <w:rFonts w:ascii="Liberation Sans" w:hAnsi="Liberation Sans"/>
                <w:b/>
                <w:color w:val="B3610E"/>
                <w:sz w:val="17"/>
              </w:rPr>
              <w:t xml:space="preserve">LIMITE DESTA NOTA  </w:t>
            </w:r>
            <w:r>
              <w:rPr>
                <w:sz w:val="19"/>
              </w:rPr>
              <w:t>Esta avaliação aplica os critérios normativos aos fatos declarados pelo escritório na data indicada. As faixas de volume usadas para aferir larga escala são internas e não constam da lei. Se o escritório atua como operador dos dados dos clientes, a obrigação do art. 41 quanto àqueles dados é do controlador — recomenda-se validação jurídica da divisão de responsabilidades com advogado.</w:t>
            </w:r>
          </w:p>
        </w:tc>
      </w:tr>
    </w:tbl>
    <w:p>
      <w:pPr>
        <w:spacing w:after="60"/>
      </w:pPr>
    </w:p>
    <w:p>
      <w:pPr>
        <w:spacing w:before="280"/>
      </w:pPr>
      <w:r>
        <w:rPr>
          <w:sz w:val="21"/>
        </w:rPr>
        <w:t>[CIDADE] / [UF], _____ de _________________ de 20____.</w:t>
      </w:r>
    </w:p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4734"/>
          </w:tcPr>
          <w:p>
            <w:pPr>
              <w:jc w:val="center"/>
            </w:pPr>
            <w:r/>
            <w:r>
              <w:rPr>
                <w:sz w:val="20"/>
              </w:rPr>
              <w:t>__________________________________</w:t>
            </w:r>
          </w:p>
        </w:tc>
        <w:tc>
          <w:tcPr>
            <w:tcW w:type="dxa" w:w="4734"/>
          </w:tcPr>
          <w:p>
            <w:pPr>
              <w:jc w:val="center"/>
            </w:pPr>
            <w:r/>
            <w:r>
              <w:rPr>
                <w:sz w:val="20"/>
              </w:rPr>
              <w:t>__________________________________</w:t>
            </w:r>
          </w:p>
        </w:tc>
      </w:tr>
      <w:tr>
        <w:tc>
          <w:tcPr>
            <w:tcW w:type="dxa" w:w="4734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sz w:val="18"/>
              </w:rPr>
              <w:t>Pedro [SOBRENOME COMPLETO]</w:t>
            </w:r>
          </w:p>
          <w:p>
            <w:pPr>
              <w:jc w:val="center"/>
            </w:pPr>
            <w:r>
              <w:rPr>
                <w:rFonts w:ascii="Liberation Sans" w:hAnsi="Liberation Sans"/>
                <w:color w:val="4A5560"/>
                <w:sz w:val="17"/>
              </w:rPr>
              <w:t>Encarregado — Analista de TI</w:t>
            </w:r>
          </w:p>
        </w:tc>
        <w:tc>
          <w:tcPr>
            <w:tcW w:type="dxa" w:w="4734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sz w:val="18"/>
              </w:rPr>
              <w:t>Rogers [SOBRENOME COMPLETO]</w:t>
            </w:r>
          </w:p>
          <w:p>
            <w:pPr>
              <w:jc w:val="center"/>
            </w:pPr>
            <w:r>
              <w:rPr>
                <w:rFonts w:ascii="Liberation Sans" w:hAnsi="Liberation Sans"/>
                <w:color w:val="4A5560"/>
                <w:sz w:val="17"/>
              </w:rPr>
              <w:t>Sócio-administrador — Controlador</w:t>
            </w:r>
          </w:p>
        </w:tc>
      </w:tr>
    </w:tbl>
    <w:p>
      <w:pPr>
        <w:pBdr>
          <w:bottom w:val="single" w:sz="6" w:space="1" w:color="C9D1DA"/>
        </w:pBdr>
        <w:spacing w:after="160"/>
      </w:pPr>
    </w:p>
    <w:p>
      <w:pPr>
        <w:jc w:val="both"/>
      </w:pPr>
      <w:r>
        <w:rPr>
          <w:rFonts w:ascii="Liberation Sans" w:hAnsi="Liberation Sans"/>
          <w:color w:val="4A5560"/>
          <w:sz w:val="15"/>
        </w:rPr>
        <w:t>Controle de versão — Versão 1.0  |  Aprovado em: ____/____/______  |  Revisão anual  |  Próxima revisão: ____/____/______  |  Responsável pela guarda: Encarregado.  Documento de uso interno; disponibilizar à ANPD mediante requisição.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4A5560"/>
        <w:sz w:val="15"/>
      </w:rPr>
      <w:t xml:space="preserve">DOC-01   </w:t>
    </w:r>
    <w:fldSimple w:instr="PAGE">
      <w:r>
        <w:rPr>
          <w:sz w:val="15"/>
        </w:rPr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4A5560"/>
        <w:sz w:val="15"/>
      </w:rPr>
      <w:t>[RAZÃO SOCIAL DO ESCRITÓRIO] — Programa de Governança em Privacidade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erif" w:hAnsi="Liberation Serif" w:eastAsia="Liberation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