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Liberation Sans" w:hAnsi="Liberation Sans"/>
          <w:b/>
          <w:color w:val="4A5560"/>
          <w:sz w:val="16"/>
        </w:rPr>
        <w:t>DOC-14</w:t>
      </w:r>
    </w:p>
    <w:p>
      <w:pPr>
        <w:spacing w:after="40"/>
      </w:pPr>
      <w:r>
        <w:rPr>
          <w:rFonts w:ascii="Liberation Sans" w:hAnsi="Liberation Sans"/>
          <w:b/>
          <w:color w:val="14365C"/>
          <w:sz w:val="30"/>
        </w:rPr>
        <w:t>CLÁUSULAS CONTRATUAIS DE PROTEÇÃO DE DADOS E GESTÃO DE OPERADORES</w:t>
      </w:r>
    </w:p>
    <w:p>
      <w:pPr>
        <w:spacing w:after="200"/>
      </w:pPr>
      <w:r>
        <w:rPr>
          <w:rFonts w:ascii="Liberation Sans" w:hAnsi="Liberation Sans"/>
          <w:color w:val="4A5560"/>
          <w:sz w:val="20"/>
        </w:rPr>
        <w:t>Arts. 39, 42 e 44 da Lei nº 13.709/2018</w:t>
      </w:r>
    </w:p>
    <w:p>
      <w:pPr>
        <w:pBdr>
          <w:bottom w:val="single" w:sz="6" w:space="1" w:color="C9D1DA"/>
        </w:pBdr>
        <w:spacing w:after="160"/>
      </w:pPr>
    </w:p>
    <w:tbl>
      <w:tblPr>
        <w:tblW w:type="auto" w:w="0"/>
        <w:jc w:val="center"/>
        <w:tblLook w:firstColumn="1" w:firstRow="1" w:lastColumn="0" w:lastRow="0" w:noHBand="0" w:noVBand="1" w:val="04A0"/>
      </w:tblPr>
      <w:tblGrid>
        <w:gridCol w:w="9468"/>
      </w:tblGrid>
      <w:tr>
        <w:tc>
          <w:tcPr>
            <w:tcW w:type="dxa" w:w="9468"/>
            <w:shd w:fill="F4F7FA"/>
            <w:tcBorders>
              <w:left w:val="single" w:sz="18" w:color="A62121"/>
              <w:top w:val="nil" w:sz="0" w:color="A62121"/>
              <w:bottom w:val="nil" w:sz="0" w:color="A62121"/>
              <w:right w:val="nil" w:sz="0" w:color="A62121"/>
            </w:tcBorders>
          </w:tcPr>
          <w:p>
            <w:pPr>
              <w:jc w:val="both"/>
            </w:pPr>
            <w:r>
              <w:rPr>
                <w:rFonts w:ascii="Liberation Sans" w:hAnsi="Liberation Sans"/>
                <w:b/>
                <w:color w:val="A62121"/>
                <w:sz w:val="17"/>
              </w:rPr>
              <w:t xml:space="preserve">O PONTO MAIS FRÁGIL DE UM ESCRITÓRIO CONTÁBIL  </w:t>
            </w:r>
            <w:r>
              <w:rPr>
                <w:sz w:val="19"/>
              </w:rPr>
              <w:t>O escritório ocupa as duas pontas da relação: é OPERADOR dos 120 clientes e é CONTROLADOR perante seus próprios fornecedores de sistema e nuvem. O art. 42, § 1º, II, torna o operador solidariamente responsável quando descumpre a legislação ou não segue as instruções lícitas do controlador — e o art. 39 o obriga a realizar o tratamento segundo essas instruções. Sem cláusula escrita, não existe instrução demonstrável, e a defesa de 'eu apenas executei o que o cliente pediu' não tem prova.</w:t>
            </w:r>
          </w:p>
        </w:tc>
      </w:tr>
    </w:tbl>
    <w:p>
      <w:pPr>
        <w:spacing w:after="60"/>
      </w:pPr>
    </w:p>
    <w:p>
      <w:pPr>
        <w:spacing w:before="240" w:after="80"/>
      </w:pPr>
      <w:r>
        <w:rPr>
          <w:rFonts w:ascii="Liberation Sans" w:hAnsi="Liberation Sans"/>
          <w:b/>
          <w:color w:val="14365C"/>
          <w:sz w:val="23"/>
        </w:rPr>
        <w:t>Parte A — Cláusulas para o contrato com o CLIENTE (escritório como operador)</w:t>
      </w:r>
    </w:p>
    <w:p>
      <w:pPr>
        <w:jc w:val="both"/>
      </w:pPr>
      <w:r>
        <w:rPr>
          <w:i/>
          <w:sz w:val="21"/>
        </w:rPr>
        <w:t>Incluir como anexo ou capítulo do contrato de prestação de serviços contábeis. Texto-base para adaptação pelo jurídico.</w:t>
      </w:r>
    </w:p>
    <w:p>
      <w:pPr>
        <w:spacing w:before="160" w:after="40"/>
      </w:pPr>
      <w:r>
        <w:rPr>
          <w:rFonts w:ascii="Liberation Sans" w:hAnsi="Liberation Sans"/>
          <w:b/>
          <w:color w:val="4A5560"/>
          <w:sz w:val="19"/>
        </w:rPr>
        <w:t>Cláusula 1 — Qualificação das partes</w:t>
      </w:r>
    </w:p>
    <w:p>
      <w:pPr>
        <w:jc w:val="both"/>
      </w:pPr>
      <w:r>
        <w:rPr>
          <w:i w:val="0"/>
          <w:sz w:val="21"/>
        </w:rPr>
        <w:t>Para os fins da Lei nº 13.709/2018, a CONTRATANTE atua como CONTROLADORA dos dados pessoais de seus empregados, sócios, dependentes, clientes e fornecedores, cabendo-lhe as decisões referentes ao tratamento, e a CONTRATADA atua como OPERADORA, realizando o tratamento em nome e segundo as instruções da CONTRATANTE. A CONTRATADA atua como CONTROLADORA apenas quanto aos dados de representantes e contatos da CONTRATANTE utilizados para a gestão da própria relação contratual, para faturamento e para o cumprimento de suas obrigações legais próprias.</w:t>
      </w:r>
    </w:p>
    <w:p>
      <w:pPr>
        <w:spacing w:before="160" w:after="40"/>
      </w:pPr>
      <w:r>
        <w:rPr>
          <w:rFonts w:ascii="Liberation Sans" w:hAnsi="Liberation Sans"/>
          <w:b/>
          <w:color w:val="4A5560"/>
          <w:sz w:val="19"/>
        </w:rPr>
        <w:t>Cláusula 2 — Objeto e limites do tratamento</w:t>
      </w:r>
    </w:p>
    <w:p>
      <w:pPr>
        <w:jc w:val="both"/>
      </w:pPr>
      <w:r>
        <w:rPr>
          <w:i w:val="0"/>
          <w:sz w:val="21"/>
        </w:rPr>
        <w:t>A CONTRATADA tratará os dados pessoais exclusivamente para a execução dos serviços contratados — [descrever: escrituração contábil e fiscal, folha de pagamento, obrigações acessórias, eSocial] — e para o cumprimento de obrigações legais a ela aplicáveis. É vedado à CONTRATADA tratar os dados para finalidade própria, comercializá-los, cedê-los a terceiros ou utilizá-los para prospecção, salvo instrução escrita da CONTRATANTE ou determinação legal.</w:t>
      </w:r>
    </w:p>
    <w:p>
      <w:pPr>
        <w:spacing w:before="160" w:after="40"/>
      </w:pPr>
      <w:r>
        <w:rPr>
          <w:rFonts w:ascii="Liberation Sans" w:hAnsi="Liberation Sans"/>
          <w:b/>
          <w:color w:val="4A5560"/>
          <w:sz w:val="19"/>
        </w:rPr>
        <w:t>Cláusula 3 — Instruções</w:t>
      </w:r>
    </w:p>
    <w:p>
      <w:pPr>
        <w:jc w:val="both"/>
      </w:pPr>
      <w:r>
        <w:rPr>
          <w:i w:val="0"/>
          <w:sz w:val="21"/>
        </w:rPr>
        <w:t>As instruções da CONTRATANTE serão formalizadas por escrito. A CONTRATADA comunicará à CONTRATANTE, de imediato, qualquer instrução que entenda contrária à legislação de proteção de dados, podendo suspender seu cumprimento até esclarecimento. A ausência de manifestação da CONTRATADA não a exime da responsabilidade prevista no art. 42, § 1º, II, da LGPD.</w:t>
      </w:r>
    </w:p>
    <w:p>
      <w:pPr>
        <w:spacing w:before="160" w:after="40"/>
      </w:pPr>
      <w:r>
        <w:rPr>
          <w:rFonts w:ascii="Liberation Sans" w:hAnsi="Liberation Sans"/>
          <w:b/>
          <w:color w:val="4A5560"/>
          <w:sz w:val="19"/>
        </w:rPr>
        <w:t>Cláusula 4 — Registro das operações</w:t>
      </w:r>
    </w:p>
    <w:p>
      <w:pPr>
        <w:jc w:val="both"/>
      </w:pPr>
      <w:r>
        <w:rPr>
          <w:i w:val="0"/>
          <w:sz w:val="21"/>
        </w:rPr>
        <w:t>A CONTRATADA manterá registro das operações de tratamento que realizar, nos termos do art. 37 da LGPD, e o disponibilizará à CONTRATANTE mediante solicitação, bem como à ANPD quando requerido.</w:t>
      </w:r>
    </w:p>
    <w:p>
      <w:pPr>
        <w:spacing w:before="160" w:after="40"/>
      </w:pPr>
      <w:r>
        <w:rPr>
          <w:rFonts w:ascii="Liberation Sans" w:hAnsi="Liberation Sans"/>
          <w:b/>
          <w:color w:val="4A5560"/>
          <w:sz w:val="19"/>
        </w:rPr>
        <w:t>Cláusula 5 — Segurança</w:t>
      </w:r>
    </w:p>
    <w:p>
      <w:pPr>
        <w:jc w:val="both"/>
      </w:pPr>
      <w:r>
        <w:rPr>
          <w:i w:val="0"/>
          <w:sz w:val="21"/>
        </w:rPr>
        <w:t>A CONTRATADA adotará as medidas técnicas e administrativas do art. 46 da LGPD, proporcionais ao risco, incluindo controle de acesso individual por função, autenticação com segundo fator, criptografia em trânsito, cifragem de dispositivos móveis, cópias de segurança com teste de restauração, registro de acessos, segregação de acesso a dados sensíveis e treinamento periódico de sua equipe.</w:t>
      </w:r>
    </w:p>
    <w:p>
      <w:pPr>
        <w:spacing w:before="160" w:after="40"/>
      </w:pPr>
      <w:r>
        <w:rPr>
          <w:rFonts w:ascii="Liberation Sans" w:hAnsi="Liberation Sans"/>
          <w:b/>
          <w:color w:val="4A5560"/>
          <w:sz w:val="19"/>
        </w:rPr>
        <w:t>Cláusula 6 — Confidencialidade</w:t>
      </w:r>
    </w:p>
    <w:p>
      <w:pPr>
        <w:jc w:val="both"/>
      </w:pPr>
      <w:r>
        <w:rPr>
          <w:i w:val="0"/>
          <w:sz w:val="21"/>
        </w:rPr>
        <w:t>A CONTRATADA obriga-se, por si e por seus empregados, prepostos e subcontratados, a manter sigilo sobre os dados pessoais, obrigação que subsiste após o término do contrato, nos termos do art. 47 da LGPD.</w:t>
      </w:r>
    </w:p>
    <w:p>
      <w:pPr>
        <w:spacing w:before="160" w:after="40"/>
      </w:pPr>
      <w:r>
        <w:rPr>
          <w:rFonts w:ascii="Liberation Sans" w:hAnsi="Liberation Sans"/>
          <w:b/>
          <w:color w:val="4A5560"/>
          <w:sz w:val="19"/>
        </w:rPr>
        <w:t>Cláusula 7 — Incidentes de segurança</w:t>
      </w:r>
    </w:p>
    <w:p>
      <w:pPr>
        <w:jc w:val="both"/>
      </w:pPr>
      <w:r>
        <w:rPr>
          <w:i w:val="0"/>
          <w:sz w:val="21"/>
        </w:rPr>
        <w:t>A CONTRATADA comunicará à CONTRATANTE qualquer incidente de segurança com dados pessoais objeto deste contrato em até 24 (vinte e quatro) horas do seu conhecimento, com as informações necessárias ao cumprimento, pela CONTRATANTE, do prazo de 3 (três) dias úteis previsto no Regulamento aprovado pela Resolução CD/ANPD nº 15/2024, e prestará toda a cooperação na apuração e na mitigação.</w:t>
      </w:r>
    </w:p>
    <w:tbl>
      <w:tblPr>
        <w:tblW w:type="auto" w:w="0"/>
        <w:jc w:val="center"/>
        <w:tblLook w:firstColumn="1" w:firstRow="1" w:lastColumn="0" w:lastRow="0" w:noHBand="0" w:noVBand="1" w:val="04A0"/>
      </w:tblPr>
      <w:tblGrid>
        <w:gridCol w:w="9468"/>
      </w:tblGrid>
      <w:tr>
        <w:tc>
          <w:tcPr>
            <w:tcW w:type="dxa" w:w="9468"/>
            <w:shd w:fill="F4F7FA"/>
            <w:tcBorders>
              <w:left w:val="single" w:sz="18" w:color="B3610E"/>
              <w:top w:val="nil" w:sz="0" w:color="B3610E"/>
              <w:bottom w:val="nil" w:sz="0" w:color="B3610E"/>
              <w:right w:val="nil" w:sz="0" w:color="B3610E"/>
            </w:tcBorders>
          </w:tcPr>
          <w:p>
            <w:pPr>
              <w:jc w:val="both"/>
            </w:pPr>
            <w:r>
              <w:rPr>
                <w:rFonts w:ascii="Liberation Sans" w:hAnsi="Liberation Sans"/>
                <w:b/>
                <w:color w:val="B3610E"/>
                <w:sz w:val="17"/>
              </w:rPr>
              <w:t xml:space="preserve">POR QUE 24 HORAS E NÃO 'IMEDIATAMENTE'  </w:t>
            </w:r>
            <w:r>
              <w:rPr>
                <w:sz w:val="19"/>
              </w:rPr>
              <w:t>'Imediatamente' não é prazo verificável. O prazo do controlador é de 3 dias úteis do SEU conhecimento; se o operador demora a avisar, o controlador perde o prazo sem jamais ter tido a informação. Prazo numérico curto é o que permite demonstrar quem atrasou.</w:t>
            </w:r>
          </w:p>
        </w:tc>
      </w:tr>
    </w:tbl>
    <w:p>
      <w:pPr>
        <w:spacing w:after="60"/>
      </w:pPr>
    </w:p>
    <w:p>
      <w:pPr>
        <w:spacing w:before="160" w:after="40"/>
      </w:pPr>
      <w:r>
        <w:rPr>
          <w:rFonts w:ascii="Liberation Sans" w:hAnsi="Liberation Sans"/>
          <w:b/>
          <w:color w:val="4A5560"/>
          <w:sz w:val="19"/>
        </w:rPr>
        <w:t>Cláusula 8 — Direitos dos titulares</w:t>
      </w:r>
    </w:p>
    <w:p>
      <w:pPr>
        <w:jc w:val="both"/>
      </w:pPr>
      <w:r>
        <w:rPr>
          <w:i w:val="0"/>
          <w:sz w:val="21"/>
        </w:rPr>
        <w:t>Recebendo pedido de titular relativo a dados tratados por conta e ordem da CONTRATANTE, a CONTRATADA o encaminhará em até 2 (dois) dias úteis e auxiliará a CONTRATANTE no atendimento, nos termos do art. 18, § 4º, I, da LGPD, sem responder diretamente ao titular quanto ao mérito, salvo instrução em sentido contrário.</w:t>
      </w:r>
    </w:p>
    <w:p>
      <w:pPr>
        <w:spacing w:before="160" w:after="40"/>
      </w:pPr>
      <w:r>
        <w:rPr>
          <w:rFonts w:ascii="Liberation Sans" w:hAnsi="Liberation Sans"/>
          <w:b/>
          <w:color w:val="4A5560"/>
          <w:sz w:val="19"/>
        </w:rPr>
        <w:t>Cláusula 9 — Subcontratação</w:t>
      </w:r>
    </w:p>
    <w:p>
      <w:pPr>
        <w:jc w:val="both"/>
      </w:pPr>
      <w:r>
        <w:rPr>
          <w:i w:val="0"/>
          <w:sz w:val="21"/>
        </w:rPr>
        <w:t>A CONTRATADA poderá utilizar subcontratados — provedores de sistema contábil, de folha, de armazenamento em nuvem e de certificação digital — obrigando-se a impor-lhes, por contrato, obrigações de proteção de dados não menos rigorosas que as deste instrumento, e a informar a CONTRATANTE da relação de subcontratados mediante solicitação. A CONTRATADA permanece responsável perante a CONTRATANTE pelos atos de seus subcontratados.</w:t>
      </w:r>
    </w:p>
    <w:p>
      <w:pPr>
        <w:spacing w:before="160" w:after="40"/>
      </w:pPr>
      <w:r>
        <w:rPr>
          <w:rFonts w:ascii="Liberation Sans" w:hAnsi="Liberation Sans"/>
          <w:b/>
          <w:color w:val="4A5560"/>
          <w:sz w:val="19"/>
        </w:rPr>
        <w:t>Cláusula 10 — Transferência internacional</w:t>
      </w:r>
    </w:p>
    <w:p>
      <w:pPr>
        <w:jc w:val="both"/>
      </w:pPr>
      <w:r>
        <w:rPr>
          <w:i w:val="0"/>
          <w:sz w:val="21"/>
        </w:rPr>
        <w:t>[PREENCHER CONFORME A REALIDADE.] A CONTRATADA declara que o tratamento ocorre [integralmente em território nacional] OU [envolve transferência internacional para (países), por meio de (mecanismo do art. 33, tipicamente cláusulas-padrão contratuais da Resolução CD/ANPD nº 19/2024)], comprometendo-se a informar previamente qualquer alteração.</w:t>
      </w:r>
    </w:p>
    <w:p>
      <w:pPr>
        <w:spacing w:before="160" w:after="40"/>
      </w:pPr>
      <w:r>
        <w:rPr>
          <w:rFonts w:ascii="Liberation Sans" w:hAnsi="Liberation Sans"/>
          <w:b/>
          <w:color w:val="4A5560"/>
          <w:sz w:val="19"/>
        </w:rPr>
        <w:t>Cláusula 11 — Término do contrato</w:t>
      </w:r>
    </w:p>
    <w:p>
      <w:pPr>
        <w:jc w:val="both"/>
      </w:pPr>
      <w:r>
        <w:rPr>
          <w:i w:val="0"/>
          <w:sz w:val="21"/>
        </w:rPr>
        <w:t>Ao término, a CONTRATADA, conforme instrução escrita da CONTRATANTE, devolverá os dados em formato estruturado e de uso comum ou os eliminará, emitindo termo correspondente em até [prazo]. A CONTRATADA poderá conservar os dados estritamente necessários ao cumprimento de obrigação legal ou regulatória própria e ao exercício regular de direitos, nos termos do art. 16 da LGPD, informando quais e com qual fundamento.</w:t>
      </w:r>
    </w:p>
    <w:p>
      <w:pPr>
        <w:spacing w:before="160" w:after="40"/>
      </w:pPr>
      <w:r>
        <w:rPr>
          <w:rFonts w:ascii="Liberation Sans" w:hAnsi="Liberation Sans"/>
          <w:b/>
          <w:color w:val="4A5560"/>
          <w:sz w:val="19"/>
        </w:rPr>
        <w:t>Cláusula 12 — Auditoria e demonstração de conformidade</w:t>
      </w:r>
    </w:p>
    <w:p>
      <w:pPr>
        <w:jc w:val="both"/>
      </w:pPr>
      <w:r>
        <w:rPr>
          <w:i w:val="0"/>
          <w:sz w:val="21"/>
        </w:rPr>
        <w:t>A CONTRATADA disponibilizará à CONTRATANTE, mediante solicitação com antecedência razoável e sem prejuízo do sigilo de dados de terceiros, informações e documentos que demonstrem o cumprimento deste anexo, admitida a apresentação de relatórios e certificações em substituição a auditoria presencial.</w:t>
      </w:r>
    </w:p>
    <w:p>
      <w:pPr>
        <w:spacing w:before="160" w:after="40"/>
      </w:pPr>
      <w:r>
        <w:rPr>
          <w:rFonts w:ascii="Liberation Sans" w:hAnsi="Liberation Sans"/>
          <w:b/>
          <w:color w:val="4A5560"/>
          <w:sz w:val="19"/>
        </w:rPr>
        <w:t>Cláusula 13 — Responsabilidade</w:t>
      </w:r>
    </w:p>
    <w:p>
      <w:pPr>
        <w:jc w:val="both"/>
      </w:pPr>
      <w:r>
        <w:rPr>
          <w:i w:val="0"/>
          <w:sz w:val="21"/>
        </w:rPr>
        <w:t>Cada parte responde pelos danos decorrentes do descumprimento das obrigações que lhe cabem. A CONTRATADA responde nos termos do art. 42, § 1º, II, da LGPD quando descumprir a legislação de proteção de dados ou deixar de seguir instruções lícitas da CONTROLADORA, hipótese em que lhe será assegurado o direito de regresso previsto no art. 42, § 4º.</w:t>
      </w:r>
    </w:p>
    <w:p>
      <w:pPr>
        <w:spacing w:before="160" w:after="40"/>
      </w:pPr>
      <w:r>
        <w:rPr>
          <w:rFonts w:ascii="Liberation Sans" w:hAnsi="Liberation Sans"/>
          <w:b/>
          <w:color w:val="4A5560"/>
          <w:sz w:val="19"/>
        </w:rPr>
        <w:t>Cláusula 14 — Encarregados</w:t>
      </w:r>
    </w:p>
    <w:p>
      <w:pPr>
        <w:jc w:val="both"/>
      </w:pPr>
      <w:r>
        <w:rPr>
          <w:i w:val="0"/>
          <w:sz w:val="21"/>
        </w:rPr>
        <w:t>As partes indicam seus encarregados e canais de contato, obrigando-se a comunicar alterações: CONTRATANTE — [nome e canal]; CONTRATADA — Pedro [SOBRENOME COMPLETO], [canal].</w:t>
      </w:r>
    </w:p>
    <w:p>
      <w:r>
        <w:br w:type="page"/>
      </w:r>
    </w:p>
    <w:p>
      <w:pPr>
        <w:spacing w:before="240" w:after="80"/>
      </w:pPr>
      <w:r>
        <w:rPr>
          <w:rFonts w:ascii="Liberation Sans" w:hAnsi="Liberation Sans"/>
          <w:b/>
          <w:color w:val="14365C"/>
          <w:sz w:val="23"/>
        </w:rPr>
        <w:t>Parte B — Cláusulas para o contrato com FORNECEDOR (escritório como controlador)</w:t>
      </w:r>
    </w:p>
    <w:p>
      <w:pPr>
        <w:jc w:val="both"/>
      </w:pPr>
      <w:r>
        <w:rPr>
          <w:i/>
          <w:sz w:val="21"/>
        </w:rPr>
        <w:t>Aplicável a fornecedores de sistema contábil, sistema de folha, armazenamento em nuvem, e-mail corporativo, backup, certificação digital, suporte de TI terceirizado, clínica de medicina do trabalho e serviço de digitalização.</w:t>
      </w:r>
    </w:p>
    <w:tbl>
      <w:tblPr>
        <w:tblStyle w:val="TableGrid"/>
        <w:tblW w:type="auto" w:w="0"/>
        <w:jc w:val="center"/>
        <w:tblLook w:firstColumn="1" w:firstRow="1" w:lastColumn="0" w:lastRow="0" w:noHBand="0" w:noVBand="1" w:val="04A0"/>
      </w:tblPr>
      <w:tblGrid>
        <w:gridCol w:w="4734"/>
        <w:gridCol w:w="4734"/>
      </w:tblGrid>
      <w:tr>
        <w:tc>
          <w:tcPr>
            <w:tcW w:type="dxa" w:w="4535"/>
            <w:shd w:fill="14365C"/>
          </w:tcPr>
          <w:p>
            <w:r/>
            <w:r>
              <w:rPr>
                <w:rFonts w:ascii="Liberation Sans" w:hAnsi="Liberation Sans"/>
                <w:b/>
                <w:color w:val="FFFFFF"/>
                <w:sz w:val="16"/>
              </w:rPr>
              <w:t>Obrigação a impor ao fornecedor</w:t>
            </w:r>
          </w:p>
        </w:tc>
        <w:tc>
          <w:tcPr>
            <w:tcW w:type="dxa" w:w="4535"/>
            <w:shd w:fill="14365C"/>
          </w:tcPr>
          <w:p>
            <w:r/>
            <w:r>
              <w:rPr>
                <w:rFonts w:ascii="Liberation Sans" w:hAnsi="Liberation Sans"/>
                <w:b/>
                <w:color w:val="FFFFFF"/>
                <w:sz w:val="16"/>
              </w:rPr>
              <w:t>Por que é necessária</w:t>
            </w:r>
          </w:p>
        </w:tc>
      </w:tr>
      <w:tr>
        <w:tc>
          <w:tcPr>
            <w:tcW w:type="dxa" w:w="4535"/>
          </w:tcPr>
          <w:p>
            <w:pPr>
              <w:spacing w:after="20"/>
            </w:pPr>
            <w:r/>
            <w:r>
              <w:rPr>
                <w:sz w:val="17"/>
              </w:rPr>
              <w:t>Tratar dados apenas conforme instruções do escritório e para a finalidade contratada</w:t>
            </w:r>
          </w:p>
        </w:tc>
        <w:tc>
          <w:tcPr>
            <w:tcW w:type="dxa" w:w="4535"/>
          </w:tcPr>
          <w:p>
            <w:pPr>
              <w:spacing w:after="20"/>
            </w:pPr>
            <w:r/>
            <w:r>
              <w:rPr>
                <w:sz w:val="17"/>
              </w:rPr>
              <w:t>Art. 39 — define o fornecedor como operador e limita o uso</w:t>
            </w:r>
          </w:p>
        </w:tc>
      </w:tr>
      <w:tr>
        <w:tc>
          <w:tcPr>
            <w:tcW w:type="dxa" w:w="4535"/>
          </w:tcPr>
          <w:p>
            <w:pPr>
              <w:spacing w:after="20"/>
            </w:pPr>
            <w:r/>
            <w:r>
              <w:rPr>
                <w:sz w:val="17"/>
              </w:rPr>
              <w:t>Notificar incidente de segurança em até 24 horas, com informações suficientes</w:t>
            </w:r>
          </w:p>
        </w:tc>
        <w:tc>
          <w:tcPr>
            <w:tcW w:type="dxa" w:w="4535"/>
          </w:tcPr>
          <w:p>
            <w:pPr>
              <w:spacing w:after="20"/>
            </w:pPr>
            <w:r/>
            <w:r>
              <w:rPr>
                <w:sz w:val="17"/>
              </w:rPr>
              <w:t>Permite ao escritório cumprir os 3 dias úteis da Res. 15/2024</w:t>
            </w:r>
          </w:p>
        </w:tc>
      </w:tr>
      <w:tr>
        <w:tc>
          <w:tcPr>
            <w:tcW w:type="dxa" w:w="4535"/>
          </w:tcPr>
          <w:p>
            <w:pPr>
              <w:spacing w:after="20"/>
            </w:pPr>
            <w:r/>
            <w:r>
              <w:rPr>
                <w:sz w:val="17"/>
              </w:rPr>
              <w:t>Manter medidas de segurança do art. 46, descritas no contrato ou em anexo técnico</w:t>
            </w:r>
          </w:p>
        </w:tc>
        <w:tc>
          <w:tcPr>
            <w:tcW w:type="dxa" w:w="4535"/>
          </w:tcPr>
          <w:p>
            <w:pPr>
              <w:spacing w:after="20"/>
            </w:pPr>
            <w:r/>
            <w:r>
              <w:rPr>
                <w:sz w:val="17"/>
              </w:rPr>
              <w:t>Transfere o requisito ao elo mais frágil da cadeia</w:t>
            </w:r>
          </w:p>
        </w:tc>
      </w:tr>
      <w:tr>
        <w:tc>
          <w:tcPr>
            <w:tcW w:type="dxa" w:w="4535"/>
          </w:tcPr>
          <w:p>
            <w:pPr>
              <w:spacing w:after="20"/>
            </w:pPr>
            <w:r/>
            <w:r>
              <w:rPr>
                <w:sz w:val="17"/>
              </w:rPr>
              <w:t>Declarar onde os dados são armazenados e se há transferência internacional, com o mecanismo do art. 33</w:t>
            </w:r>
          </w:p>
        </w:tc>
        <w:tc>
          <w:tcPr>
            <w:tcW w:type="dxa" w:w="4535"/>
          </w:tcPr>
          <w:p>
            <w:pPr>
              <w:spacing w:after="20"/>
            </w:pPr>
            <w:r/>
            <w:r>
              <w:rPr>
                <w:sz w:val="17"/>
              </w:rPr>
              <w:t>Nuvem no exterior é a causa mais comum de transferência internacional não declarada</w:t>
            </w:r>
          </w:p>
        </w:tc>
      </w:tr>
      <w:tr>
        <w:tc>
          <w:tcPr>
            <w:tcW w:type="dxa" w:w="4535"/>
          </w:tcPr>
          <w:p>
            <w:pPr>
              <w:spacing w:after="20"/>
            </w:pPr>
            <w:r/>
            <w:r>
              <w:rPr>
                <w:sz w:val="17"/>
              </w:rPr>
              <w:t>Informar e obter anuência para subcontratação relevante</w:t>
            </w:r>
          </w:p>
        </w:tc>
        <w:tc>
          <w:tcPr>
            <w:tcW w:type="dxa" w:w="4535"/>
          </w:tcPr>
          <w:p>
            <w:pPr>
              <w:spacing w:after="20"/>
            </w:pPr>
            <w:r/>
            <w:r>
              <w:rPr>
                <w:sz w:val="17"/>
              </w:rPr>
              <w:t>Evita cadeia de operadores desconhecida</w:t>
            </w:r>
          </w:p>
        </w:tc>
      </w:tr>
      <w:tr>
        <w:tc>
          <w:tcPr>
            <w:tcW w:type="dxa" w:w="4535"/>
          </w:tcPr>
          <w:p>
            <w:pPr>
              <w:spacing w:after="20"/>
            </w:pPr>
            <w:r/>
            <w:r>
              <w:rPr>
                <w:sz w:val="17"/>
              </w:rPr>
              <w:t>Auxiliar no atendimento a pedidos de titulares e a requisições da ANPD</w:t>
            </w:r>
          </w:p>
        </w:tc>
        <w:tc>
          <w:tcPr>
            <w:tcW w:type="dxa" w:w="4535"/>
          </w:tcPr>
          <w:p>
            <w:pPr>
              <w:spacing w:after="20"/>
            </w:pPr>
            <w:r/>
            <w:r>
              <w:rPr>
                <w:sz w:val="17"/>
              </w:rPr>
              <w:t>Arts. 18 e 39</w:t>
            </w:r>
          </w:p>
        </w:tc>
      </w:tr>
      <w:tr>
        <w:tc>
          <w:tcPr>
            <w:tcW w:type="dxa" w:w="4535"/>
          </w:tcPr>
          <w:p>
            <w:pPr>
              <w:spacing w:after="20"/>
            </w:pPr>
            <w:r/>
            <w:r>
              <w:rPr>
                <w:sz w:val="17"/>
              </w:rPr>
              <w:t>Devolver ou eliminar os dados ao término, com termo comprobatório</w:t>
            </w:r>
          </w:p>
        </w:tc>
        <w:tc>
          <w:tcPr>
            <w:tcW w:type="dxa" w:w="4535"/>
          </w:tcPr>
          <w:p>
            <w:pPr>
              <w:spacing w:after="20"/>
            </w:pPr>
            <w:r/>
            <w:r>
              <w:rPr>
                <w:sz w:val="17"/>
              </w:rPr>
              <w:t>Art. 16 — sem isso a eliminação não é demonstrável</w:t>
            </w:r>
          </w:p>
        </w:tc>
      </w:tr>
      <w:tr>
        <w:tc>
          <w:tcPr>
            <w:tcW w:type="dxa" w:w="4535"/>
          </w:tcPr>
          <w:p>
            <w:pPr>
              <w:spacing w:after="20"/>
            </w:pPr>
            <w:r/>
            <w:r>
              <w:rPr>
                <w:sz w:val="17"/>
              </w:rPr>
              <w:t>Manter confidencialidade após o término do contrato</w:t>
            </w:r>
          </w:p>
        </w:tc>
        <w:tc>
          <w:tcPr>
            <w:tcW w:type="dxa" w:w="4535"/>
          </w:tcPr>
          <w:p>
            <w:pPr>
              <w:spacing w:after="20"/>
            </w:pPr>
            <w:r/>
            <w:r>
              <w:rPr>
                <w:sz w:val="17"/>
              </w:rPr>
              <w:t>Art. 47</w:t>
            </w:r>
          </w:p>
        </w:tc>
      </w:tr>
      <w:tr>
        <w:tc>
          <w:tcPr>
            <w:tcW w:type="dxa" w:w="4535"/>
          </w:tcPr>
          <w:p>
            <w:pPr>
              <w:spacing w:after="20"/>
            </w:pPr>
            <w:r/>
            <w:r>
              <w:rPr>
                <w:sz w:val="17"/>
              </w:rPr>
              <w:t>Permitir verificação de conformidade (relatório, certificação ou auditoria)</w:t>
            </w:r>
          </w:p>
        </w:tc>
        <w:tc>
          <w:tcPr>
            <w:tcW w:type="dxa" w:w="4535"/>
          </w:tcPr>
          <w:p>
            <w:pPr>
              <w:spacing w:after="20"/>
            </w:pPr>
            <w:r/>
            <w:r>
              <w:rPr>
                <w:sz w:val="17"/>
              </w:rPr>
              <w:t>Art. 6º, X — prestação de contas</w:t>
            </w:r>
          </w:p>
        </w:tc>
      </w:tr>
      <w:tr>
        <w:tc>
          <w:tcPr>
            <w:tcW w:type="dxa" w:w="4535"/>
          </w:tcPr>
          <w:p>
            <w:pPr>
              <w:spacing w:after="20"/>
            </w:pPr>
            <w:r/>
            <w:r>
              <w:rPr>
                <w:sz w:val="17"/>
              </w:rPr>
              <w:t>Comunicar previamente alterações relevantes em subprocessadores, localização ou medidas de segurança</w:t>
            </w:r>
          </w:p>
        </w:tc>
        <w:tc>
          <w:tcPr>
            <w:tcW w:type="dxa" w:w="4535"/>
          </w:tcPr>
          <w:p>
            <w:pPr>
              <w:spacing w:after="20"/>
            </w:pPr>
            <w:r/>
            <w:r>
              <w:rPr>
                <w:sz w:val="17"/>
              </w:rPr>
              <w:t>Mantém o ROPA atualizado</w:t>
            </w:r>
          </w:p>
        </w:tc>
      </w:tr>
    </w:tbl>
    <w:p>
      <w:pPr>
        <w:spacing w:after="60"/>
      </w:pPr>
    </w:p>
    <w:p>
      <w:pPr>
        <w:spacing w:before="240" w:after="80"/>
      </w:pPr>
      <w:r>
        <w:rPr>
          <w:rFonts w:ascii="Liberation Sans" w:hAnsi="Liberation Sans"/>
          <w:b/>
          <w:color w:val="14365C"/>
          <w:sz w:val="23"/>
        </w:rPr>
        <w:t>Due diligence de operador — questionário de avaliação</w:t>
      </w:r>
    </w:p>
    <w:p>
      <w:pPr>
        <w:jc w:val="both"/>
      </w:pPr>
      <w:r>
        <w:rPr>
          <w:i/>
          <w:sz w:val="21"/>
        </w:rPr>
        <w:t>Aplicar antes da contratação e na renovação. Arquivar as respostas: elas compõem a evidência de que o escritório escolheu seus operadores com diligência.</w:t>
      </w:r>
    </w:p>
    <w:tbl>
      <w:tblPr>
        <w:tblStyle w:val="TableGrid"/>
        <w:tblW w:type="auto" w:w="0"/>
        <w:jc w:val="center"/>
        <w:tblLook w:firstColumn="1" w:firstRow="1" w:lastColumn="0" w:lastRow="0" w:noHBand="0" w:noVBand="1" w:val="04A0"/>
      </w:tblPr>
      <w:tblGrid>
        <w:gridCol w:w="2367"/>
        <w:gridCol w:w="2367"/>
        <w:gridCol w:w="2367"/>
        <w:gridCol w:w="2367"/>
      </w:tblGrid>
      <w:tr>
        <w:tc>
          <w:tcPr>
            <w:tcW w:type="dxa" w:w="567"/>
            <w:shd w:fill="14365C"/>
          </w:tcPr>
          <w:p>
            <w:r/>
            <w:r>
              <w:rPr>
                <w:rFonts w:ascii="Liberation Sans" w:hAnsi="Liberation Sans"/>
                <w:b/>
                <w:color w:val="FFFFFF"/>
                <w:sz w:val="15"/>
              </w:rPr>
              <w:t>#</w:t>
            </w:r>
          </w:p>
        </w:tc>
        <w:tc>
          <w:tcPr>
            <w:tcW w:type="dxa" w:w="4649"/>
            <w:shd w:fill="14365C"/>
          </w:tcPr>
          <w:p>
            <w:r/>
            <w:r>
              <w:rPr>
                <w:rFonts w:ascii="Liberation Sans" w:hAnsi="Liberation Sans"/>
                <w:b/>
                <w:color w:val="FFFFFF"/>
                <w:sz w:val="15"/>
              </w:rPr>
              <w:t>Pergunta</w:t>
            </w:r>
          </w:p>
        </w:tc>
        <w:tc>
          <w:tcPr>
            <w:tcW w:type="dxa" w:w="1928"/>
            <w:shd w:fill="14365C"/>
          </w:tcPr>
          <w:p>
            <w:r/>
            <w:r>
              <w:rPr>
                <w:rFonts w:ascii="Liberation Sans" w:hAnsi="Liberation Sans"/>
                <w:b/>
                <w:color w:val="FFFFFF"/>
                <w:sz w:val="15"/>
              </w:rPr>
              <w:t>Resposta</w:t>
            </w:r>
          </w:p>
        </w:tc>
        <w:tc>
          <w:tcPr>
            <w:tcW w:type="dxa" w:w="1928"/>
            <w:shd w:fill="14365C"/>
          </w:tcPr>
          <w:p>
            <w:r/>
            <w:r>
              <w:rPr>
                <w:rFonts w:ascii="Liberation Sans" w:hAnsi="Liberation Sans"/>
                <w:b/>
                <w:color w:val="FFFFFF"/>
                <w:sz w:val="15"/>
              </w:rPr>
              <w:t>Documento recebido</w:t>
            </w:r>
          </w:p>
        </w:tc>
      </w:tr>
      <w:tr>
        <w:tc>
          <w:tcPr>
            <w:tcW w:type="dxa" w:w="567"/>
          </w:tcPr>
          <w:p>
            <w:pPr>
              <w:spacing w:after="20"/>
            </w:pPr>
            <w:r/>
            <w:r>
              <w:rPr>
                <w:sz w:val="16"/>
              </w:rPr>
              <w:t>1</w:t>
            </w:r>
          </w:p>
        </w:tc>
        <w:tc>
          <w:tcPr>
            <w:tcW w:type="dxa" w:w="4649"/>
          </w:tcPr>
          <w:p>
            <w:pPr>
              <w:spacing w:after="20"/>
            </w:pPr>
            <w:r/>
            <w:r>
              <w:rPr>
                <w:sz w:val="16"/>
              </w:rPr>
              <w:t>O fornecedor indicou encarregado e canal de contato?</w:t>
            </w:r>
          </w:p>
        </w:tc>
        <w:tc>
          <w:tcPr>
            <w:tcW w:type="dxa" w:w="1928"/>
          </w:tcPr>
          <w:p>
            <w:pPr>
              <w:spacing w:after="20"/>
            </w:pPr>
            <w:r/>
            <w:r>
              <w:rPr>
                <w:sz w:val="16"/>
              </w:rPr>
            </w:r>
          </w:p>
        </w:tc>
        <w:tc>
          <w:tcPr>
            <w:tcW w:type="dxa" w:w="1928"/>
          </w:tcPr>
          <w:p>
            <w:pPr>
              <w:spacing w:after="20"/>
            </w:pPr>
            <w:r/>
            <w:r>
              <w:rPr>
                <w:sz w:val="16"/>
              </w:rPr>
            </w:r>
          </w:p>
        </w:tc>
      </w:tr>
      <w:tr>
        <w:tc>
          <w:tcPr>
            <w:tcW w:type="dxa" w:w="567"/>
          </w:tcPr>
          <w:p>
            <w:pPr>
              <w:spacing w:after="20"/>
            </w:pPr>
            <w:r/>
            <w:r>
              <w:rPr>
                <w:sz w:val="16"/>
              </w:rPr>
              <w:t>2</w:t>
            </w:r>
          </w:p>
        </w:tc>
        <w:tc>
          <w:tcPr>
            <w:tcW w:type="dxa" w:w="4649"/>
          </w:tcPr>
          <w:p>
            <w:pPr>
              <w:spacing w:after="20"/>
            </w:pPr>
            <w:r/>
            <w:r>
              <w:rPr>
                <w:sz w:val="16"/>
              </w:rPr>
              <w:t>Possui política de segurança da informação documentada?</w:t>
            </w:r>
          </w:p>
        </w:tc>
        <w:tc>
          <w:tcPr>
            <w:tcW w:type="dxa" w:w="1928"/>
          </w:tcPr>
          <w:p>
            <w:pPr>
              <w:spacing w:after="20"/>
            </w:pPr>
            <w:r/>
            <w:r>
              <w:rPr>
                <w:sz w:val="16"/>
              </w:rPr>
            </w:r>
          </w:p>
        </w:tc>
        <w:tc>
          <w:tcPr>
            <w:tcW w:type="dxa" w:w="1928"/>
          </w:tcPr>
          <w:p>
            <w:pPr>
              <w:spacing w:after="20"/>
            </w:pPr>
            <w:r/>
            <w:r>
              <w:rPr>
                <w:sz w:val="16"/>
              </w:rPr>
            </w:r>
          </w:p>
        </w:tc>
      </w:tr>
      <w:tr>
        <w:tc>
          <w:tcPr>
            <w:tcW w:type="dxa" w:w="567"/>
          </w:tcPr>
          <w:p>
            <w:pPr>
              <w:spacing w:after="20"/>
            </w:pPr>
            <w:r/>
            <w:r>
              <w:rPr>
                <w:sz w:val="16"/>
              </w:rPr>
              <w:t>3</w:t>
            </w:r>
          </w:p>
        </w:tc>
        <w:tc>
          <w:tcPr>
            <w:tcW w:type="dxa" w:w="4649"/>
          </w:tcPr>
          <w:p>
            <w:pPr>
              <w:spacing w:after="20"/>
            </w:pPr>
            <w:r/>
            <w:r>
              <w:rPr>
                <w:sz w:val="16"/>
              </w:rPr>
              <w:t>Onde os dados são armazenados (país e provedor)?</w:t>
            </w:r>
          </w:p>
        </w:tc>
        <w:tc>
          <w:tcPr>
            <w:tcW w:type="dxa" w:w="1928"/>
          </w:tcPr>
          <w:p>
            <w:pPr>
              <w:spacing w:after="20"/>
            </w:pPr>
            <w:r/>
            <w:r>
              <w:rPr>
                <w:sz w:val="16"/>
              </w:rPr>
            </w:r>
          </w:p>
        </w:tc>
        <w:tc>
          <w:tcPr>
            <w:tcW w:type="dxa" w:w="1928"/>
          </w:tcPr>
          <w:p>
            <w:pPr>
              <w:spacing w:after="20"/>
            </w:pPr>
            <w:r/>
            <w:r>
              <w:rPr>
                <w:sz w:val="16"/>
              </w:rPr>
            </w:r>
          </w:p>
        </w:tc>
      </w:tr>
      <w:tr>
        <w:tc>
          <w:tcPr>
            <w:tcW w:type="dxa" w:w="567"/>
          </w:tcPr>
          <w:p>
            <w:pPr>
              <w:spacing w:after="20"/>
            </w:pPr>
            <w:r/>
            <w:r>
              <w:rPr>
                <w:sz w:val="16"/>
              </w:rPr>
              <w:t>4</w:t>
            </w:r>
          </w:p>
        </w:tc>
        <w:tc>
          <w:tcPr>
            <w:tcW w:type="dxa" w:w="4649"/>
          </w:tcPr>
          <w:p>
            <w:pPr>
              <w:spacing w:after="20"/>
            </w:pPr>
            <w:r/>
            <w:r>
              <w:rPr>
                <w:sz w:val="16"/>
              </w:rPr>
              <w:t>Há transferência internacional? Qual mecanismo do art. 33?</w:t>
            </w:r>
          </w:p>
        </w:tc>
        <w:tc>
          <w:tcPr>
            <w:tcW w:type="dxa" w:w="1928"/>
          </w:tcPr>
          <w:p>
            <w:pPr>
              <w:spacing w:after="20"/>
            </w:pPr>
            <w:r/>
            <w:r>
              <w:rPr>
                <w:sz w:val="16"/>
              </w:rPr>
            </w:r>
          </w:p>
        </w:tc>
        <w:tc>
          <w:tcPr>
            <w:tcW w:type="dxa" w:w="1928"/>
          </w:tcPr>
          <w:p>
            <w:pPr>
              <w:spacing w:after="20"/>
            </w:pPr>
            <w:r/>
            <w:r>
              <w:rPr>
                <w:sz w:val="16"/>
              </w:rPr>
            </w:r>
          </w:p>
        </w:tc>
      </w:tr>
      <w:tr>
        <w:tc>
          <w:tcPr>
            <w:tcW w:type="dxa" w:w="567"/>
          </w:tcPr>
          <w:p>
            <w:pPr>
              <w:spacing w:after="20"/>
            </w:pPr>
            <w:r/>
            <w:r>
              <w:rPr>
                <w:sz w:val="16"/>
              </w:rPr>
              <w:t>5</w:t>
            </w:r>
          </w:p>
        </w:tc>
        <w:tc>
          <w:tcPr>
            <w:tcW w:type="dxa" w:w="4649"/>
          </w:tcPr>
          <w:p>
            <w:pPr>
              <w:spacing w:after="20"/>
            </w:pPr>
            <w:r/>
            <w:r>
              <w:rPr>
                <w:sz w:val="16"/>
              </w:rPr>
              <w:t>Quais subcontratados têm acesso aos dados?</w:t>
            </w:r>
          </w:p>
        </w:tc>
        <w:tc>
          <w:tcPr>
            <w:tcW w:type="dxa" w:w="1928"/>
          </w:tcPr>
          <w:p>
            <w:pPr>
              <w:spacing w:after="20"/>
            </w:pPr>
            <w:r/>
            <w:r>
              <w:rPr>
                <w:sz w:val="16"/>
              </w:rPr>
            </w:r>
          </w:p>
        </w:tc>
        <w:tc>
          <w:tcPr>
            <w:tcW w:type="dxa" w:w="1928"/>
          </w:tcPr>
          <w:p>
            <w:pPr>
              <w:spacing w:after="20"/>
            </w:pPr>
            <w:r/>
            <w:r>
              <w:rPr>
                <w:sz w:val="16"/>
              </w:rPr>
            </w:r>
          </w:p>
        </w:tc>
      </w:tr>
      <w:tr>
        <w:tc>
          <w:tcPr>
            <w:tcW w:type="dxa" w:w="567"/>
          </w:tcPr>
          <w:p>
            <w:pPr>
              <w:spacing w:after="20"/>
            </w:pPr>
            <w:r/>
            <w:r>
              <w:rPr>
                <w:sz w:val="16"/>
              </w:rPr>
              <w:t>6</w:t>
            </w:r>
          </w:p>
        </w:tc>
        <w:tc>
          <w:tcPr>
            <w:tcW w:type="dxa" w:w="4649"/>
          </w:tcPr>
          <w:p>
            <w:pPr>
              <w:spacing w:after="20"/>
            </w:pPr>
            <w:r/>
            <w:r>
              <w:rPr>
                <w:sz w:val="16"/>
              </w:rPr>
              <w:t>Qual o prazo contratual de notificação de incidente?</w:t>
            </w:r>
          </w:p>
        </w:tc>
        <w:tc>
          <w:tcPr>
            <w:tcW w:type="dxa" w:w="1928"/>
          </w:tcPr>
          <w:p>
            <w:pPr>
              <w:spacing w:after="20"/>
            </w:pPr>
            <w:r/>
            <w:r>
              <w:rPr>
                <w:sz w:val="16"/>
              </w:rPr>
            </w:r>
          </w:p>
        </w:tc>
        <w:tc>
          <w:tcPr>
            <w:tcW w:type="dxa" w:w="1928"/>
          </w:tcPr>
          <w:p>
            <w:pPr>
              <w:spacing w:after="20"/>
            </w:pPr>
            <w:r/>
            <w:r>
              <w:rPr>
                <w:sz w:val="16"/>
              </w:rPr>
            </w:r>
          </w:p>
        </w:tc>
      </w:tr>
      <w:tr>
        <w:tc>
          <w:tcPr>
            <w:tcW w:type="dxa" w:w="567"/>
          </w:tcPr>
          <w:p>
            <w:pPr>
              <w:spacing w:after="20"/>
            </w:pPr>
            <w:r/>
            <w:r>
              <w:rPr>
                <w:sz w:val="16"/>
              </w:rPr>
              <w:t>7</w:t>
            </w:r>
          </w:p>
        </w:tc>
        <w:tc>
          <w:tcPr>
            <w:tcW w:type="dxa" w:w="4649"/>
          </w:tcPr>
          <w:p>
            <w:pPr>
              <w:spacing w:after="20"/>
            </w:pPr>
            <w:r/>
            <w:r>
              <w:rPr>
                <w:sz w:val="16"/>
              </w:rPr>
              <w:t>Houve incidente de segurança nos últimos 24 meses? Qual o desfecho?</w:t>
            </w:r>
          </w:p>
        </w:tc>
        <w:tc>
          <w:tcPr>
            <w:tcW w:type="dxa" w:w="1928"/>
          </w:tcPr>
          <w:p>
            <w:pPr>
              <w:spacing w:after="20"/>
            </w:pPr>
            <w:r/>
            <w:r>
              <w:rPr>
                <w:sz w:val="16"/>
              </w:rPr>
            </w:r>
          </w:p>
        </w:tc>
        <w:tc>
          <w:tcPr>
            <w:tcW w:type="dxa" w:w="1928"/>
          </w:tcPr>
          <w:p>
            <w:pPr>
              <w:spacing w:after="20"/>
            </w:pPr>
            <w:r/>
            <w:r>
              <w:rPr>
                <w:sz w:val="16"/>
              </w:rPr>
            </w:r>
          </w:p>
        </w:tc>
      </w:tr>
      <w:tr>
        <w:tc>
          <w:tcPr>
            <w:tcW w:type="dxa" w:w="567"/>
          </w:tcPr>
          <w:p>
            <w:pPr>
              <w:spacing w:after="20"/>
            </w:pPr>
            <w:r/>
            <w:r>
              <w:rPr>
                <w:sz w:val="16"/>
              </w:rPr>
              <w:t>8</w:t>
            </w:r>
          </w:p>
        </w:tc>
        <w:tc>
          <w:tcPr>
            <w:tcW w:type="dxa" w:w="4649"/>
          </w:tcPr>
          <w:p>
            <w:pPr>
              <w:spacing w:after="20"/>
            </w:pPr>
            <w:r/>
            <w:r>
              <w:rPr>
                <w:sz w:val="16"/>
              </w:rPr>
              <w:t>Possui certificação de segurança ou relatório de auditoria independente?</w:t>
            </w:r>
          </w:p>
        </w:tc>
        <w:tc>
          <w:tcPr>
            <w:tcW w:type="dxa" w:w="1928"/>
          </w:tcPr>
          <w:p>
            <w:pPr>
              <w:spacing w:after="20"/>
            </w:pPr>
            <w:r/>
            <w:r>
              <w:rPr>
                <w:sz w:val="16"/>
              </w:rPr>
            </w:r>
          </w:p>
        </w:tc>
        <w:tc>
          <w:tcPr>
            <w:tcW w:type="dxa" w:w="1928"/>
          </w:tcPr>
          <w:p>
            <w:pPr>
              <w:spacing w:after="20"/>
            </w:pPr>
            <w:r/>
            <w:r>
              <w:rPr>
                <w:sz w:val="16"/>
              </w:rPr>
            </w:r>
          </w:p>
        </w:tc>
      </w:tr>
      <w:tr>
        <w:tc>
          <w:tcPr>
            <w:tcW w:type="dxa" w:w="567"/>
          </w:tcPr>
          <w:p>
            <w:pPr>
              <w:spacing w:after="20"/>
            </w:pPr>
            <w:r/>
            <w:r>
              <w:rPr>
                <w:sz w:val="16"/>
              </w:rPr>
              <w:t>9</w:t>
            </w:r>
          </w:p>
        </w:tc>
        <w:tc>
          <w:tcPr>
            <w:tcW w:type="dxa" w:w="4649"/>
          </w:tcPr>
          <w:p>
            <w:pPr>
              <w:spacing w:after="20"/>
            </w:pPr>
            <w:r/>
            <w:r>
              <w:rPr>
                <w:sz w:val="16"/>
              </w:rPr>
              <w:t>Como é feito o controle de acesso da equipe do fornecedor aos nossos dados?</w:t>
            </w:r>
          </w:p>
        </w:tc>
        <w:tc>
          <w:tcPr>
            <w:tcW w:type="dxa" w:w="1928"/>
          </w:tcPr>
          <w:p>
            <w:pPr>
              <w:spacing w:after="20"/>
            </w:pPr>
            <w:r/>
            <w:r>
              <w:rPr>
                <w:sz w:val="16"/>
              </w:rPr>
            </w:r>
          </w:p>
        </w:tc>
        <w:tc>
          <w:tcPr>
            <w:tcW w:type="dxa" w:w="1928"/>
          </w:tcPr>
          <w:p>
            <w:pPr>
              <w:spacing w:after="20"/>
            </w:pPr>
            <w:r/>
            <w:r>
              <w:rPr>
                <w:sz w:val="16"/>
              </w:rPr>
            </w:r>
          </w:p>
        </w:tc>
      </w:tr>
      <w:tr>
        <w:tc>
          <w:tcPr>
            <w:tcW w:type="dxa" w:w="567"/>
          </w:tcPr>
          <w:p>
            <w:pPr>
              <w:spacing w:after="20"/>
            </w:pPr>
            <w:r/>
            <w:r>
              <w:rPr>
                <w:sz w:val="16"/>
              </w:rPr>
              <w:t>10</w:t>
            </w:r>
          </w:p>
        </w:tc>
        <w:tc>
          <w:tcPr>
            <w:tcW w:type="dxa" w:w="4649"/>
          </w:tcPr>
          <w:p>
            <w:pPr>
              <w:spacing w:after="20"/>
            </w:pPr>
            <w:r/>
            <w:r>
              <w:rPr>
                <w:sz w:val="16"/>
              </w:rPr>
              <w:t>Qual o procedimento de devolução/eliminação ao término do contrato?</w:t>
            </w:r>
          </w:p>
        </w:tc>
        <w:tc>
          <w:tcPr>
            <w:tcW w:type="dxa" w:w="1928"/>
          </w:tcPr>
          <w:p>
            <w:pPr>
              <w:spacing w:after="20"/>
            </w:pPr>
            <w:r/>
            <w:r>
              <w:rPr>
                <w:sz w:val="16"/>
              </w:rPr>
            </w:r>
          </w:p>
        </w:tc>
        <w:tc>
          <w:tcPr>
            <w:tcW w:type="dxa" w:w="1928"/>
          </w:tcPr>
          <w:p>
            <w:pPr>
              <w:spacing w:after="20"/>
            </w:pPr>
            <w:r/>
            <w:r>
              <w:rPr>
                <w:sz w:val="16"/>
              </w:rPr>
            </w:r>
          </w:p>
        </w:tc>
      </w:tr>
      <w:tr>
        <w:tc>
          <w:tcPr>
            <w:tcW w:type="dxa" w:w="567"/>
          </w:tcPr>
          <w:p>
            <w:pPr>
              <w:spacing w:after="20"/>
            </w:pPr>
            <w:r/>
            <w:r>
              <w:rPr>
                <w:sz w:val="16"/>
              </w:rPr>
              <w:t>11</w:t>
            </w:r>
          </w:p>
        </w:tc>
        <w:tc>
          <w:tcPr>
            <w:tcW w:type="dxa" w:w="4649"/>
          </w:tcPr>
          <w:p>
            <w:pPr>
              <w:spacing w:after="20"/>
            </w:pPr>
            <w:r/>
            <w:r>
              <w:rPr>
                <w:sz w:val="16"/>
              </w:rPr>
              <w:t>O contrato atual já contém cláusulas de proteção de dados? Quais faltam?</w:t>
            </w:r>
          </w:p>
        </w:tc>
        <w:tc>
          <w:tcPr>
            <w:tcW w:type="dxa" w:w="1928"/>
          </w:tcPr>
          <w:p>
            <w:pPr>
              <w:spacing w:after="20"/>
            </w:pPr>
            <w:r/>
            <w:r>
              <w:rPr>
                <w:sz w:val="16"/>
              </w:rPr>
            </w:r>
          </w:p>
        </w:tc>
        <w:tc>
          <w:tcPr>
            <w:tcW w:type="dxa" w:w="1928"/>
          </w:tcPr>
          <w:p>
            <w:pPr>
              <w:spacing w:after="20"/>
            </w:pPr>
            <w:r/>
            <w:r>
              <w:rPr>
                <w:sz w:val="16"/>
              </w:rPr>
            </w:r>
          </w:p>
        </w:tc>
      </w:tr>
      <w:tr>
        <w:tc>
          <w:tcPr>
            <w:tcW w:type="dxa" w:w="567"/>
          </w:tcPr>
          <w:p>
            <w:pPr>
              <w:spacing w:after="20"/>
            </w:pPr>
            <w:r/>
            <w:r>
              <w:rPr>
                <w:sz w:val="16"/>
              </w:rPr>
              <w:t>12</w:t>
            </w:r>
          </w:p>
        </w:tc>
        <w:tc>
          <w:tcPr>
            <w:tcW w:type="dxa" w:w="4649"/>
          </w:tcPr>
          <w:p>
            <w:pPr>
              <w:spacing w:after="20"/>
            </w:pPr>
            <w:r/>
            <w:r>
              <w:rPr>
                <w:sz w:val="16"/>
              </w:rPr>
              <w:t>Classificação de risco atribuída e decisão</w:t>
            </w:r>
          </w:p>
        </w:tc>
        <w:tc>
          <w:tcPr>
            <w:tcW w:type="dxa" w:w="1928"/>
          </w:tcPr>
          <w:p>
            <w:pPr>
              <w:spacing w:after="20"/>
            </w:pPr>
            <w:r/>
            <w:r>
              <w:rPr>
                <w:sz w:val="16"/>
              </w:rPr>
              <w:t>alto/médio/baixo</w:t>
            </w:r>
          </w:p>
        </w:tc>
        <w:tc>
          <w:tcPr>
            <w:tcW w:type="dxa" w:w="1928"/>
          </w:tcPr>
          <w:p>
            <w:pPr>
              <w:spacing w:after="20"/>
            </w:pPr>
            <w:r/>
            <w:r>
              <w:rPr>
                <w:sz w:val="16"/>
              </w:rPr>
            </w:r>
          </w:p>
        </w:tc>
      </w:tr>
    </w:tbl>
    <w:p>
      <w:pPr>
        <w:spacing w:after="60"/>
      </w:pPr>
    </w:p>
    <w:p>
      <w:pPr>
        <w:spacing w:before="240" w:after="80"/>
      </w:pPr>
      <w:r>
        <w:rPr>
          <w:rFonts w:ascii="Liberation Sans" w:hAnsi="Liberation Sans"/>
          <w:b/>
          <w:color w:val="14365C"/>
          <w:sz w:val="23"/>
        </w:rPr>
        <w:t>Inventário de operadores e fornecedores</w:t>
      </w:r>
    </w:p>
    <w:p>
      <w:pPr>
        <w:jc w:val="both"/>
      </w:pPr>
      <w:r>
        <w:rPr>
          <w:i/>
          <w:sz w:val="21"/>
        </w:rPr>
        <w:t>Planilha editável na aba 'Operadores' do DOC-APOIO-01.</w:t>
      </w:r>
    </w:p>
    <w:tbl>
      <w:tblPr>
        <w:tblStyle w:val="TableGrid"/>
        <w:tblW w:type="auto" w:w="0"/>
        <w:jc w:val="center"/>
        <w:tblLook w:firstColumn="1" w:firstRow="1" w:lastColumn="0" w:lastRow="0" w:noHBand="0" w:noVBand="1" w:val="04A0"/>
      </w:tblPr>
      <w:tblGrid>
        <w:gridCol w:w="1183"/>
        <w:gridCol w:w="1183"/>
        <w:gridCol w:w="1183"/>
        <w:gridCol w:w="1183"/>
        <w:gridCol w:w="1183"/>
        <w:gridCol w:w="1183"/>
        <w:gridCol w:w="1183"/>
        <w:gridCol w:w="1183"/>
      </w:tblGrid>
      <w:tr>
        <w:tc>
          <w:tcPr>
            <w:tcW w:type="dxa" w:w="1587"/>
            <w:shd w:fill="14365C"/>
          </w:tcPr>
          <w:p>
            <w:r/>
            <w:r>
              <w:rPr>
                <w:rFonts w:ascii="Liberation Sans" w:hAnsi="Liberation Sans"/>
                <w:b/>
                <w:color w:val="FFFFFF"/>
                <w:sz w:val="15"/>
              </w:rPr>
              <w:t>Fornecedor</w:t>
            </w:r>
          </w:p>
        </w:tc>
        <w:tc>
          <w:tcPr>
            <w:tcW w:type="dxa" w:w="1361"/>
            <w:shd w:fill="14365C"/>
          </w:tcPr>
          <w:p>
            <w:r/>
            <w:r>
              <w:rPr>
                <w:rFonts w:ascii="Liberation Sans" w:hAnsi="Liberation Sans"/>
                <w:b/>
                <w:color w:val="FFFFFF"/>
                <w:sz w:val="15"/>
              </w:rPr>
              <w:t>Serviço</w:t>
            </w:r>
          </w:p>
        </w:tc>
        <w:tc>
          <w:tcPr>
            <w:tcW w:type="dxa" w:w="1587"/>
            <w:shd w:fill="14365C"/>
          </w:tcPr>
          <w:p>
            <w:r/>
            <w:r>
              <w:rPr>
                <w:rFonts w:ascii="Liberation Sans" w:hAnsi="Liberation Sans"/>
                <w:b/>
                <w:color w:val="FFFFFF"/>
                <w:sz w:val="15"/>
              </w:rPr>
              <w:t>Dados acessados</w:t>
            </w:r>
          </w:p>
        </w:tc>
        <w:tc>
          <w:tcPr>
            <w:tcW w:type="dxa" w:w="1361"/>
            <w:shd w:fill="14365C"/>
          </w:tcPr>
          <w:p>
            <w:r/>
            <w:r>
              <w:rPr>
                <w:rFonts w:ascii="Liberation Sans" w:hAnsi="Liberation Sans"/>
                <w:b/>
                <w:color w:val="FFFFFF"/>
                <w:sz w:val="15"/>
              </w:rPr>
              <w:t>Papel do escritório</w:t>
            </w:r>
          </w:p>
        </w:tc>
        <w:tc>
          <w:tcPr>
            <w:tcW w:type="dxa" w:w="1020"/>
            <w:shd w:fill="14365C"/>
          </w:tcPr>
          <w:p>
            <w:r/>
            <w:r>
              <w:rPr>
                <w:rFonts w:ascii="Liberation Sans" w:hAnsi="Liberation Sans"/>
                <w:b/>
                <w:color w:val="FFFFFF"/>
                <w:sz w:val="15"/>
              </w:rPr>
              <w:t>Cláusula LGPD?</w:t>
            </w:r>
          </w:p>
        </w:tc>
        <w:tc>
          <w:tcPr>
            <w:tcW w:type="dxa" w:w="1020"/>
            <w:shd w:fill="14365C"/>
          </w:tcPr>
          <w:p>
            <w:r/>
            <w:r>
              <w:rPr>
                <w:rFonts w:ascii="Liberation Sans" w:hAnsi="Liberation Sans"/>
                <w:b/>
                <w:color w:val="FFFFFF"/>
                <w:sz w:val="15"/>
              </w:rPr>
              <w:t>Transf. intern.?</w:t>
            </w:r>
          </w:p>
        </w:tc>
        <w:tc>
          <w:tcPr>
            <w:tcW w:type="dxa" w:w="567"/>
            <w:shd w:fill="14365C"/>
          </w:tcPr>
          <w:p>
            <w:r/>
            <w:r>
              <w:rPr>
                <w:rFonts w:ascii="Liberation Sans" w:hAnsi="Liberation Sans"/>
                <w:b/>
                <w:color w:val="FFFFFF"/>
                <w:sz w:val="15"/>
              </w:rPr>
              <w:t>Risco</w:t>
            </w:r>
          </w:p>
        </w:tc>
        <w:tc>
          <w:tcPr>
            <w:tcW w:type="dxa" w:w="567"/>
            <w:shd w:fill="14365C"/>
          </w:tcPr>
          <w:p>
            <w:r/>
            <w:r>
              <w:rPr>
                <w:rFonts w:ascii="Liberation Sans" w:hAnsi="Liberation Sans"/>
                <w:b/>
                <w:color w:val="FFFFFF"/>
                <w:sz w:val="15"/>
              </w:rPr>
              <w:t>Revisão</w:t>
            </w:r>
          </w:p>
        </w:tc>
      </w:tr>
      <w:tr>
        <w:tc>
          <w:tcPr>
            <w:tcW w:type="dxa" w:w="1587"/>
          </w:tcPr>
          <w:p>
            <w:pPr>
              <w:spacing w:after="20"/>
            </w:pPr>
            <w:r/>
            <w:r>
              <w:rPr>
                <w:sz w:val="16"/>
              </w:rPr>
            </w:r>
          </w:p>
        </w:tc>
        <w:tc>
          <w:tcPr>
            <w:tcW w:type="dxa" w:w="1361"/>
          </w:tcPr>
          <w:p>
            <w:pPr>
              <w:spacing w:after="20"/>
            </w:pPr>
            <w:r/>
            <w:r>
              <w:rPr>
                <w:sz w:val="16"/>
              </w:rPr>
            </w:r>
          </w:p>
        </w:tc>
        <w:tc>
          <w:tcPr>
            <w:tcW w:type="dxa" w:w="1587"/>
          </w:tcPr>
          <w:p>
            <w:pPr>
              <w:spacing w:after="20"/>
            </w:pPr>
            <w:r/>
            <w:r>
              <w:rPr>
                <w:sz w:val="16"/>
              </w:rPr>
            </w:r>
          </w:p>
        </w:tc>
        <w:tc>
          <w:tcPr>
            <w:tcW w:type="dxa" w:w="1361"/>
          </w:tcPr>
          <w:p>
            <w:pPr>
              <w:spacing w:after="20"/>
            </w:pPr>
            <w:r/>
            <w:r>
              <w:rPr>
                <w:sz w:val="16"/>
              </w:rPr>
              <w:t>controlador/operador</w:t>
            </w:r>
          </w:p>
        </w:tc>
        <w:tc>
          <w:tcPr>
            <w:tcW w:type="dxa" w:w="1020"/>
          </w:tcPr>
          <w:p>
            <w:pPr>
              <w:spacing w:after="20"/>
            </w:pPr>
            <w:r/>
            <w:r>
              <w:rPr>
                <w:sz w:val="16"/>
              </w:rPr>
              <w:t>sim/não</w:t>
            </w:r>
          </w:p>
        </w:tc>
        <w:tc>
          <w:tcPr>
            <w:tcW w:type="dxa" w:w="1020"/>
          </w:tcPr>
          <w:p>
            <w:pPr>
              <w:spacing w:after="20"/>
            </w:pPr>
            <w:r/>
            <w:r>
              <w:rPr>
                <w:sz w:val="16"/>
              </w:rPr>
              <w:t>sim/não</w:t>
            </w:r>
          </w:p>
        </w:tc>
        <w:tc>
          <w:tcPr>
            <w:tcW w:type="dxa" w:w="567"/>
          </w:tcPr>
          <w:p>
            <w:pPr>
              <w:spacing w:after="20"/>
            </w:pPr>
            <w:r/>
            <w:r>
              <w:rPr>
                <w:sz w:val="16"/>
              </w:rPr>
            </w:r>
          </w:p>
        </w:tc>
        <w:tc>
          <w:tcPr>
            <w:tcW w:type="dxa" w:w="567"/>
          </w:tcPr>
          <w:p>
            <w:pPr>
              <w:spacing w:after="20"/>
            </w:pPr>
            <w:r/>
            <w:r>
              <w:rPr>
                <w:sz w:val="16"/>
              </w:rPr>
            </w:r>
          </w:p>
        </w:tc>
      </w:tr>
      <w:tr>
        <w:tc>
          <w:tcPr>
            <w:tcW w:type="dxa" w:w="1587"/>
          </w:tcPr>
          <w:p>
            <w:pPr>
              <w:spacing w:after="20"/>
            </w:pPr>
            <w:r/>
            <w:r>
              <w:rPr>
                <w:sz w:val="16"/>
              </w:rPr>
            </w:r>
          </w:p>
        </w:tc>
        <w:tc>
          <w:tcPr>
            <w:tcW w:type="dxa" w:w="1361"/>
          </w:tcPr>
          <w:p>
            <w:pPr>
              <w:spacing w:after="20"/>
            </w:pPr>
            <w:r/>
            <w:r>
              <w:rPr>
                <w:sz w:val="16"/>
              </w:rPr>
            </w:r>
          </w:p>
        </w:tc>
        <w:tc>
          <w:tcPr>
            <w:tcW w:type="dxa" w:w="1587"/>
          </w:tcPr>
          <w:p>
            <w:pPr>
              <w:spacing w:after="20"/>
            </w:pPr>
            <w:r/>
            <w:r>
              <w:rPr>
                <w:sz w:val="16"/>
              </w:rPr>
            </w:r>
          </w:p>
        </w:tc>
        <w:tc>
          <w:tcPr>
            <w:tcW w:type="dxa" w:w="1361"/>
          </w:tcPr>
          <w:p>
            <w:pPr>
              <w:spacing w:after="20"/>
            </w:pPr>
            <w:r/>
            <w:r>
              <w:rPr>
                <w:sz w:val="16"/>
              </w:rPr>
            </w:r>
          </w:p>
        </w:tc>
        <w:tc>
          <w:tcPr>
            <w:tcW w:type="dxa" w:w="1020"/>
          </w:tcPr>
          <w:p>
            <w:pPr>
              <w:spacing w:after="20"/>
            </w:pPr>
            <w:r/>
            <w:r>
              <w:rPr>
                <w:sz w:val="16"/>
              </w:rPr>
            </w:r>
          </w:p>
        </w:tc>
        <w:tc>
          <w:tcPr>
            <w:tcW w:type="dxa" w:w="1020"/>
          </w:tcPr>
          <w:p>
            <w:pPr>
              <w:spacing w:after="20"/>
            </w:pPr>
            <w:r/>
            <w:r>
              <w:rPr>
                <w:sz w:val="16"/>
              </w:rPr>
            </w:r>
          </w:p>
        </w:tc>
        <w:tc>
          <w:tcPr>
            <w:tcW w:type="dxa" w:w="567"/>
          </w:tcPr>
          <w:p>
            <w:pPr>
              <w:spacing w:after="20"/>
            </w:pPr>
            <w:r/>
            <w:r>
              <w:rPr>
                <w:sz w:val="16"/>
              </w:rPr>
            </w:r>
          </w:p>
        </w:tc>
        <w:tc>
          <w:tcPr>
            <w:tcW w:type="dxa" w:w="567"/>
          </w:tcPr>
          <w:p>
            <w:pPr>
              <w:spacing w:after="20"/>
            </w:pPr>
            <w:r/>
            <w:r>
              <w:rPr>
                <w:sz w:val="16"/>
              </w:rPr>
            </w:r>
          </w:p>
        </w:tc>
      </w:tr>
    </w:tbl>
    <w:p>
      <w:pPr>
        <w:spacing w:after="60"/>
      </w:pPr>
    </w:p>
    <w:p>
      <w:pPr>
        <w:spacing w:before="240" w:after="80"/>
      </w:pPr>
      <w:r>
        <w:rPr>
          <w:rFonts w:ascii="Liberation Sans" w:hAnsi="Liberation Sans"/>
          <w:b/>
          <w:color w:val="14365C"/>
          <w:sz w:val="23"/>
        </w:rPr>
        <w:t>Comunicação aos 120 clientes — modelo de carta</w:t>
      </w:r>
    </w:p>
    <w:p>
      <w:pPr>
        <w:jc w:val="both"/>
      </w:pPr>
      <w:r>
        <w:rPr>
          <w:i/>
          <w:sz w:val="21"/>
        </w:rPr>
        <w:t>Para formalizar a relação controlador-operador com a carteira existente, cujos contratos provavelmente não contêm cláusula de proteção de dados.</w:t>
      </w:r>
    </w:p>
    <w:p>
      <w:pPr>
        <w:jc w:val="both"/>
      </w:pPr>
      <w:r>
        <w:rPr>
          <w:i w:val="0"/>
          <w:sz w:val="21"/>
        </w:rPr>
        <w:t>Prezado cliente,</w:t>
      </w:r>
    </w:p>
    <w:p>
      <w:pPr>
        <w:jc w:val="both"/>
      </w:pPr>
      <w:r>
        <w:rPr>
          <w:i w:val="0"/>
          <w:sz w:val="21"/>
        </w:rPr>
        <w:t>A [RAZÃO SOCIAL DO ESCRITÓRIO] mantém programa de governança em privacidade e adequação à Lei nº 13.709/2018. Nessa condição, formalizamos os papéis de cada parte no tratamento dos dados pessoais envolvidos nos serviços que prestamos.</w:t>
      </w:r>
    </w:p>
    <w:p>
      <w:pPr>
        <w:jc w:val="both"/>
      </w:pPr>
      <w:r>
        <w:rPr>
          <w:i w:val="0"/>
          <w:sz w:val="21"/>
        </w:rPr>
        <w:t>Nos serviços de escrituração contábil e fiscal, folha de pagamento e obrigações acessórias, sua empresa é a CONTROLADORA dos dados de seus empregados, sócios e dependentes — é ela que decide as finalidades do tratamento — e nós somos OPERADORES, tratando os dados conforme suas instruções. Isso tem três efeitos práticos para a sua empresa: (i) os pedidos de titulares desses dados devem ser atendidos por sua empresa, com nosso auxílio; (ii) a comunicação de incidente de segurança aos titulares e à ANPD cabe à sua empresa, e nós a notificaremos em até 24 horas de qualquer incidente que nos atinja; (iii) sua empresa também precisa manter seu próprio registro das operações de tratamento, nos termos do art. 37.</w:t>
      </w:r>
    </w:p>
    <w:p>
      <w:pPr>
        <w:jc w:val="both"/>
      </w:pPr>
      <w:r>
        <w:rPr>
          <w:i w:val="0"/>
          <w:sz w:val="21"/>
        </w:rPr>
        <w:t>Encaminhamos em anexo o aditivo com as cláusulas de proteção de dados, nosso Aviso de Privacidade e o contato do nosso Encarregado. Permanecemos à disposição para esclarecer o conteúdo e para apoiar sua empresa na adequação.</w:t>
      </w:r>
    </w:p>
    <w:p>
      <w:pPr>
        <w:jc w:val="both"/>
      </w:pPr>
      <w:r>
        <w:rPr>
          <w:i w:val="0"/>
          <w:sz w:val="21"/>
        </w:rPr>
        <w:t>Pedro [SOBRENOME COMPLETO] — Encarregado pelo Tratamento de Dados Pessoais — [canal]</w:t>
      </w:r>
    </w:p>
    <w:p>
      <w:pPr>
        <w:spacing w:before="280"/>
      </w:pPr>
      <w:r>
        <w:rPr>
          <w:sz w:val="21"/>
        </w:rPr>
        <w:t>[CIDADE] / [UF], _____ de _________________ de 20____.</w:t>
      </w:r>
    </w:p>
    <w:p>
      <w:pPr>
        <w:pBdr>
          <w:bottom w:val="single" w:sz="6" w:space="1" w:color="C9D1DA"/>
        </w:pBdr>
        <w:spacing w:after="160"/>
      </w:pPr>
    </w:p>
    <w:p>
      <w:pPr>
        <w:jc w:val="both"/>
      </w:pPr>
      <w:r>
        <w:rPr>
          <w:rFonts w:ascii="Liberation Sans" w:hAnsi="Liberation Sans"/>
          <w:color w:val="4A5560"/>
          <w:sz w:val="15"/>
        </w:rPr>
        <w:t>Controle de versão — Versão 1.0  |  Aprovado em: ____/____/______  |  Revisão anual  |  Próxima revisão: ____/____/______  |  Responsável pela guarda: Encarregado.  Documento de uso interno; disponibilizar à ANPD mediante requisição.</w:t>
      </w:r>
    </w:p>
    <w:sectPr w:rsidR="00FC693F" w:rsidRPr="0006063C" w:rsidSect="00034616">
      <w:headerReference w:type="default" r:id="rId9"/>
      <w:footerReference w:type="default" r:id="rId10"/>
      <w:pgSz w:w="11906" w:h="16838"/>
      <w:pgMar w:top="1247"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4A5560"/>
        <w:sz w:val="15"/>
      </w:rPr>
      <w:t xml:space="preserve">DOC-14   </w:t>
    </w:r>
    <w:fldSimple w:instr="PAGE">
      <w:r>
        <w:rPr>
          <w:sz w:val="15"/>
        </w:rPr>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4A5560"/>
        <w:sz w:val="15"/>
      </w:rPr>
      <w:t>[RAZÃO SOCIAL DO ESCRITÓRIO] — Programa de Governança em Privacidade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erif" w:hAnsi="Liberation Serif" w:eastAsia="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