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Liberation Sans" w:hAnsi="Liberation Sans"/>
          <w:b/>
          <w:color w:val="4A5560"/>
          <w:sz w:val="16"/>
        </w:rPr>
        <w:t>DOC-03</w:t>
      </w:r>
    </w:p>
    <w:p>
      <w:pPr>
        <w:spacing w:after="40"/>
      </w:pPr>
      <w:r>
        <w:rPr>
          <w:rFonts w:ascii="Liberation Sans" w:hAnsi="Liberation Sans"/>
          <w:b/>
          <w:color w:val="14365C"/>
          <w:sz w:val="30"/>
        </w:rPr>
        <w:t>MATRIZ DE PAPÉIS: CONTROLADOR E OPERADOR</w:t>
      </w:r>
    </w:p>
    <w:p>
      <w:pPr>
        <w:spacing w:after="200"/>
      </w:pPr>
      <w:r>
        <w:rPr>
          <w:rFonts w:ascii="Liberation Sans" w:hAnsi="Liberation Sans"/>
          <w:color w:val="4A5560"/>
          <w:sz w:val="20"/>
        </w:rPr>
        <w:t>Definição funcional de papéis por tipo de dado — arts. 5º, VI e VII, 39 e 42 da Lei nº 13.709/2018</w:t>
      </w:r>
    </w:p>
    <w:p>
      <w:pPr>
        <w:pBdr>
          <w:bottom w:val="single" w:sz="6" w:space="1" w:color="C9D1DA"/>
        </w:pBd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F4F7FA"/>
            <w:tcBorders>
              <w:left w:val="single" w:sz="18" w:color="14365C"/>
              <w:top w:val="nil" w:sz="0" w:color="14365C"/>
              <w:bottom w:val="nil" w:sz="0" w:color="14365C"/>
              <w:right w:val="nil" w:sz="0" w:color="14365C"/>
            </w:tcBorders>
          </w:tcPr>
          <w:p>
            <w:pPr>
              <w:jc w:val="both"/>
            </w:pPr>
            <w:r>
              <w:rPr>
                <w:rFonts w:ascii="Liberation Sans" w:hAnsi="Liberation Sans"/>
                <w:b/>
                <w:color w:val="14365C"/>
                <w:sz w:val="17"/>
              </w:rPr>
              <w:t xml:space="preserve">O PONTO CENTRAL DESTE DOCUMENTO  </w:t>
            </w:r>
            <w:r>
              <w:rPr>
                <w:sz w:val="19"/>
              </w:rPr>
              <w:t>Um escritório contábil tem DUPLO PAPEL e isso não é opcional: é controlador dos dados de seus próprios colaboradores e de seus clientes pessoa física enquanto titulares da relação contratual; e é operador dos dados dos empregados dos clientes pessoa jurídica, que trata por conta e ordem do cliente. Confundir os dois papéis é a origem da maior parte das falhas contratuais do setor, porque muda quem responde ao titular, quem define a base legal e quem comunica incidente à ANPD.</w:t>
            </w:r>
          </w:p>
        </w:tc>
      </w:tr>
    </w:tbl>
    <w:p>
      <w:pPr>
        <w:spacing w:after="60"/>
      </w:pP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1. Critério de qualificação</w:t>
      </w:r>
    </w:p>
    <w:p>
      <w:pPr>
        <w:jc w:val="both"/>
      </w:pPr>
      <w:r>
        <w:rPr>
          <w:i w:val="0"/>
          <w:sz w:val="21"/>
        </w:rPr>
        <w:t>A qualificação é funcional, não nominal: define-se pelo exercício real do poder de decisão, e não pela cláusula do contrato. Controlador é quem decide a finalidade e os meios essenciais do tratamento (art. 5º, VI). Operador é quem realiza o tratamento em nome do controlador (art. 5º, VII) e deve seguir as instruções fornecidas por ele (art. 39).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F4F7FA"/>
            <w:tcBorders>
              <w:left w:val="single" w:sz="18" w:color="A62121"/>
              <w:top w:val="nil" w:sz="0" w:color="A62121"/>
              <w:bottom w:val="nil" w:sz="0" w:color="A62121"/>
              <w:right w:val="nil" w:sz="0" w:color="A62121"/>
            </w:tcBorders>
          </w:tcPr>
          <w:p>
            <w:pPr>
              <w:jc w:val="both"/>
            </w:pPr>
            <w:r>
              <w:rPr>
                <w:rFonts w:ascii="Liberation Sans" w:hAnsi="Liberation Sans"/>
                <w:b/>
                <w:color w:val="A62121"/>
                <w:sz w:val="17"/>
              </w:rPr>
              <w:t xml:space="preserve">CONSEQUÊNCIA DE ERRAR O PAPEL  </w:t>
            </w:r>
            <w:r>
              <w:rPr>
                <w:sz w:val="19"/>
              </w:rPr>
              <w:t>O art. 42, § 1º, I, estabelece que o operador que descumprir as obrigações da legislação de proteção de dados, ou que não seguir as instruções lícitas do controlador, EQUIPARA-SE AO CONTROLADOR e responde solidariamente pelos danos. Em concreto: se o escritório usar os dados dos empregados de um cliente para finalidade própria — prospecção, base de currículos, estudo comercial — deixa de ser operador quanto àquele tratamento e passa a responder como controlador.</w:t>
            </w:r>
          </w:p>
        </w:tc>
      </w:tr>
    </w:tbl>
    <w:p>
      <w:pPr>
        <w:spacing w:after="60"/>
      </w:pP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2. Matriz por tipo de 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94"/>
        <w:gridCol w:w="1894"/>
        <w:gridCol w:w="1894"/>
        <w:gridCol w:w="1894"/>
        <w:gridCol w:w="1894"/>
      </w:tblGrid>
      <w:tr>
        <w:tc>
          <w:tcPr>
            <w:tcW w:type="dxa" w:w="2494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Tipo de dado / operação</w:t>
            </w:r>
          </w:p>
        </w:tc>
        <w:tc>
          <w:tcPr>
            <w:tcW w:type="dxa" w:w="136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Titular</w:t>
            </w:r>
          </w:p>
        </w:tc>
        <w:tc>
          <w:tcPr>
            <w:tcW w:type="dxa" w:w="1304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Papel do escritório</w:t>
            </w:r>
          </w:p>
        </w:tc>
        <w:tc>
          <w:tcPr>
            <w:tcW w:type="dxa" w:w="119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Papel do cliente</w:t>
            </w:r>
          </w:p>
        </w:tc>
        <w:tc>
          <w:tcPr>
            <w:tcW w:type="dxa" w:w="1587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Quem responde ao titular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6"/>
              </w:rPr>
              <w:t>Folha de pagamento, admissão, rescisão e obrigações acessórias dos empregados do cliente PJ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6"/>
              </w:rPr>
              <w:t>Empregado do cliente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sz w:val="16"/>
              </w:rPr>
              <w:t>OPERADOR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sz w:val="16"/>
              </w:rPr>
              <w:t>CONTROLADOR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6"/>
              </w:rPr>
              <w:t>Cliente (escritório auxilia)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6"/>
              </w:rPr>
              <w:t>Atestados médicos e ASO (exames admissional, periódico e demissional) dos empregados do cliente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6"/>
              </w:rPr>
              <w:t>Empregado do cliente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sz w:val="16"/>
              </w:rPr>
              <w:t>OPERADOR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sz w:val="16"/>
              </w:rPr>
              <w:t>CONTROLADOR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6"/>
              </w:rPr>
              <w:t>Cliente (escritório auxilia)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6"/>
              </w:rPr>
              <w:t>Registro de ponto biométrico dos empregados do cliente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6"/>
              </w:rPr>
              <w:t>Empregado do cliente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sz w:val="16"/>
              </w:rPr>
              <w:t>OPERADOR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sz w:val="16"/>
              </w:rPr>
              <w:t>CONTROLADOR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6"/>
              </w:rPr>
              <w:t>Cliente (escritório auxilia)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6"/>
              </w:rPr>
              <w:t>Dados de dependentes e de menor aprendiz do cliente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6"/>
              </w:rPr>
              <w:t>Dependente / adolescente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sz w:val="16"/>
              </w:rPr>
              <w:t>OPERADOR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sz w:val="16"/>
              </w:rPr>
              <w:t>CONTROLADOR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6"/>
              </w:rPr>
              <w:t>Cliente (escritório auxilia)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6"/>
              </w:rPr>
              <w:t>Escrituração contábil e fiscal do cliente PJ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6"/>
              </w:rPr>
              <w:t>Sócios, representantes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sz w:val="16"/>
              </w:rPr>
              <w:t>OPERADOR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sz w:val="16"/>
              </w:rPr>
              <w:t>CONTROLADOR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6"/>
              </w:rPr>
              <w:t>Cliente (escritório auxilia)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6"/>
              </w:rPr>
              <w:t>Cadastro, contrato e cobrança do cliente pessoa física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6"/>
              </w:rPr>
              <w:t>Cliente PF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sz w:val="16"/>
              </w:rPr>
              <w:t>CONTROLADOR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6"/>
              </w:rPr>
              <w:t>Escritório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6"/>
              </w:rPr>
              <w:t>Declaração de IR de cliente pessoa física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6"/>
              </w:rPr>
              <w:t>Cliente PF e dependentes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sz w:val="16"/>
              </w:rPr>
              <w:t>CONTROLADOR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6"/>
              </w:rPr>
              <w:t>Escritório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6"/>
              </w:rPr>
              <w:t>Dados dos 18 colaboradores do escritório (folha, ponto, exames, benefícios)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6"/>
              </w:rPr>
              <w:t>Colaborador do escritório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sz w:val="16"/>
              </w:rPr>
              <w:t>CONTROLADOR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6"/>
              </w:rPr>
              <w:t>Escritório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6"/>
              </w:rPr>
              <w:t>Currículos recebidos para vagas do escritório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6"/>
              </w:rPr>
              <w:t>Candidato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sz w:val="16"/>
              </w:rPr>
              <w:t>CONTROLADOR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6"/>
              </w:rPr>
              <w:t>Escritório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6"/>
              </w:rPr>
              <w:t>Contato comercial de prospecção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6"/>
              </w:rPr>
              <w:t>Representante de empresa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sz w:val="16"/>
              </w:rPr>
              <w:t>CONTROLADOR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6"/>
              </w:rPr>
              <w:t>Escritório</w:t>
            </w:r>
          </w:p>
        </w:tc>
      </w:tr>
    </w:tbl>
    <w:p>
      <w:pPr>
        <w:spacing w:after="60"/>
      </w:pP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3. Instrução de tratamento ao operador (art. 39)</w:t>
      </w:r>
    </w:p>
    <w:p>
      <w:pPr>
        <w:jc w:val="both"/>
      </w:pPr>
      <w:r>
        <w:rPr>
          <w:i w:val="0"/>
          <w:sz w:val="21"/>
        </w:rPr>
        <w:t>Quando o escritório atua como OPERADOR, a instrução do cliente-controlador deve estar documentada. Quando o escritório contrata terceiros (sistema contábil em nuvem, certificadora, software de ponto), é o escritório que emite a instrução. Conteúdo mínimo da instrução, em ambos os sentidos:</w:t>
      </w:r>
    </w:p>
    <w:p>
      <w:pPr>
        <w:pStyle w:val="ListBullet"/>
        <w:spacing w:after="40"/>
        <w:jc w:val="both"/>
      </w:pPr>
      <w:r>
        <w:rPr>
          <w:sz w:val="21"/>
        </w:rPr>
        <w:t>finalidade autorizada, descrita de forma delimitada — não basta 'prestação de serviços contábeis';</w:t>
      </w:r>
    </w:p>
    <w:p>
      <w:pPr>
        <w:pStyle w:val="ListBullet"/>
        <w:spacing w:after="40"/>
        <w:jc w:val="both"/>
      </w:pPr>
      <w:r>
        <w:rPr>
          <w:sz w:val="21"/>
        </w:rPr>
        <w:t>categorias de dados e de titulares envolvidos, com destaque para dados sensíveis;</w:t>
      </w:r>
    </w:p>
    <w:p>
      <w:pPr>
        <w:pStyle w:val="ListBullet"/>
        <w:spacing w:after="40"/>
        <w:jc w:val="both"/>
      </w:pPr>
      <w:r>
        <w:rPr>
          <w:sz w:val="21"/>
        </w:rPr>
        <w:t>vedação expressa de uso para finalidade própria, de enriquecimento de base, de cessão a terceiros e de uso em treinamento de modelos;</w:t>
      </w:r>
    </w:p>
    <w:p>
      <w:pPr>
        <w:pStyle w:val="ListBullet"/>
        <w:spacing w:after="40"/>
        <w:jc w:val="both"/>
      </w:pPr>
      <w:r>
        <w:rPr>
          <w:sz w:val="21"/>
        </w:rPr>
        <w:t>regras de subcontratação: autorização prévia e por escrito, com lista de subcontratados autorizados;</w:t>
      </w:r>
    </w:p>
    <w:p>
      <w:pPr>
        <w:pStyle w:val="ListBullet"/>
        <w:spacing w:after="40"/>
        <w:jc w:val="both"/>
      </w:pPr>
      <w:r>
        <w:rPr>
          <w:sz w:val="21"/>
        </w:rPr>
        <w:t>obrigações de segurança exigidas, compatíveis com o art. 46;</w:t>
      </w:r>
    </w:p>
    <w:p>
      <w:pPr>
        <w:pStyle w:val="ListBullet"/>
        <w:spacing w:after="40"/>
        <w:jc w:val="both"/>
      </w:pPr>
      <w:r>
        <w:rPr>
          <w:sz w:val="21"/>
        </w:rPr>
        <w:t>prazo de notificação de incidente ao controlador — inferior ao prazo do controlador, para viabilizar os 3 dias úteis do art. 6º do Anexo da Resolução CD/ANPD nº 15/2024; recomenda-se 24 horas;</w:t>
      </w:r>
    </w:p>
    <w:p>
      <w:pPr>
        <w:pStyle w:val="ListBullet"/>
        <w:spacing w:after="40"/>
        <w:jc w:val="both"/>
      </w:pPr>
      <w:r>
        <w:rPr>
          <w:sz w:val="21"/>
        </w:rPr>
        <w:t>dever de auxiliar no atendimento aos direitos dos titulares, com prazo interno;</w:t>
      </w:r>
    </w:p>
    <w:p>
      <w:pPr>
        <w:pStyle w:val="ListBullet"/>
        <w:spacing w:after="40"/>
        <w:jc w:val="both"/>
      </w:pPr>
      <w:r>
        <w:rPr>
          <w:sz w:val="21"/>
        </w:rPr>
        <w:t>destino dos dados ao término do contrato: devolução, eliminação ou anonimização, com prazo e comprovação;</w:t>
      </w:r>
    </w:p>
    <w:p>
      <w:pPr>
        <w:pStyle w:val="ListBullet"/>
        <w:spacing w:after="40"/>
        <w:jc w:val="both"/>
      </w:pPr>
      <w:r>
        <w:rPr>
          <w:sz w:val="21"/>
        </w:rPr>
        <w:t>local de tratamento e, se fora do Brasil, mecanismo do art. 33 com documento que o comprove.</w:t>
      </w: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4. Planilha de controle de terceiros</w:t>
      </w:r>
    </w:p>
    <w:p>
      <w:pPr>
        <w:jc w:val="both"/>
      </w:pPr>
      <w:r>
        <w:rPr>
          <w:i/>
          <w:sz w:val="21"/>
        </w:rPr>
        <w:t>Preencher uma linha por relação. A planilha editável acompanha este conjunto (DOC-APOIO-01, aba 'Matriz de papéis').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2835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236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Conteúdo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Identificador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sz w:val="18"/>
              </w:rPr>
              <w:t>FOR-001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Terceiro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sz w:val="18"/>
              </w:rPr>
              <w:t>Razão social, CNPJ, país de estabelecimento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Serviço prestado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sz w:val="18"/>
              </w:rPr>
              <w:t>Descrição funcional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Operações envolvidas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sz w:val="18"/>
              </w:rPr>
              <w:t>Referência aos códigos do ROPA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Categorias de dados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sz w:val="18"/>
              </w:rPr>
              <w:t>Com indicação de dados sensíveis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Papel do escritório / do terceiro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sz w:val="18"/>
              </w:rPr>
              <w:t>Controlador, operador ou controlador conjunto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Fundamento da qualificação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sz w:val="18"/>
              </w:rPr>
              <w:t>Quem decide finalidade e meios essenciais — uma frase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Instrumento contratual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sz w:val="18"/>
              </w:rPr>
              <w:t>Contrato/anexo, data, cláusula de proteção de dados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Local de tratamento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sz w:val="18"/>
              </w:rPr>
              <w:t>País; mecanismo do art. 33 se fora do Brasil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Prazo de notificação de incidente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sz w:val="18"/>
              </w:rPr>
              <w:t>Prazo contratual do terceiro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Subcontratados autorizados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sz w:val="18"/>
              </w:rPr>
              <w:t>Lista ou regra de autorização prévia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Destino ao término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sz w:val="18"/>
              </w:rPr>
              <w:t>Devolução, eliminação ou anonimização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Verificação do art. 39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sz w:val="18"/>
              </w:rPr>
              <w:t>Mecanismo, data da última verificação e resultado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Criticidade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sz w:val="18"/>
              </w:rPr>
              <w:t>Alta / média / baixa, por volume e sensibilidade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8"/>
              </w:rPr>
              <w:t>Responsável interno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sz w:val="18"/>
              </w:rPr>
              <w:t>Nome</w:t>
            </w:r>
          </w:p>
        </w:tc>
      </w:tr>
    </w:tbl>
    <w:p>
      <w:pPr>
        <w:spacing w:after="60"/>
      </w:pP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5. Matriz de níveis de acesso interno</w:t>
      </w:r>
    </w:p>
    <w:p>
      <w:pPr>
        <w:jc w:val="both"/>
      </w:pPr>
      <w:r>
        <w:rPr>
          <w:i w:val="0"/>
          <w:sz w:val="21"/>
        </w:rPr>
        <w:t>Formalização exigida pelo princípio da necessidade (art. 6º, III) e pelo controle de acesso do art. 46. Preencher conforme a estrutura real do escritório.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c>
          <w:tcPr>
            <w:tcW w:type="dxa" w:w="1814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Função</w:t>
            </w:r>
          </w:p>
        </w:tc>
        <w:tc>
          <w:tcPr>
            <w:tcW w:type="dxa" w:w="2608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Dados acessíveis</w:t>
            </w:r>
          </w:p>
        </w:tc>
        <w:tc>
          <w:tcPr>
            <w:tcW w:type="dxa" w:w="1474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Nível</w:t>
            </w:r>
          </w:p>
        </w:tc>
        <w:tc>
          <w:tcPr>
            <w:tcW w:type="dxa" w:w="3175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Vedações expressas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6"/>
              </w:rPr>
              <w:t>Sócio-administrador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6"/>
              </w:rPr>
              <w:t>Todos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6"/>
              </w:rPr>
              <w:t>Total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6"/>
              </w:rPr>
              <w:t>Uso para finalidade diversa da contratada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6"/>
              </w:rPr>
              <w:t>Encarregado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6"/>
              </w:rPr>
              <w:t>Todos, para fins de supervisão e atendimento a titulares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6"/>
              </w:rPr>
              <w:t>Leitura ampla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6"/>
              </w:rPr>
              <w:t>Alteração de dado sem demanda registrada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6"/>
              </w:rPr>
              <w:t>Analista de TI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6"/>
              </w:rPr>
              <w:t>Infraestrutura, logs, backup; dados pessoais apenas quando indispensável ao suporte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6"/>
              </w:rPr>
              <w:t>Técnico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6"/>
              </w:rPr>
              <w:t>Leitura de conteúdo sensível sem demanda registrada e sem registro em log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6"/>
              </w:rPr>
              <w:t>Analista de folha / DP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6"/>
              </w:rPr>
              <w:t>Folha, ponto, atestados e ASO dos clientes atribuídos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6"/>
              </w:rPr>
              <w:t>Restrito por carteira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6"/>
              </w:rPr>
              <w:t>Acesso a clientes fora da carteira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6"/>
              </w:rPr>
              <w:t>Analista contábil / fiscal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6"/>
              </w:rPr>
              <w:t>Escrituração dos clientes atribuídos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6"/>
              </w:rPr>
              <w:t>Restrito por carteira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6"/>
              </w:rPr>
              <w:t>Acesso a dados de saúde e biometria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6"/>
              </w:rPr>
              <w:t>Recepção / administrativo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6"/>
              </w:rPr>
              <w:t>Cadastro e contato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6"/>
              </w:rPr>
              <w:t>Mínimo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6"/>
              </w:rPr>
              <w:t>Acesso a dados sensíveis e a folha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6"/>
              </w:rPr>
              <w:t>Estagiário / aprendiz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6"/>
              </w:rPr>
              <w:t>Conforme tarefa, sob supervisão nominal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6"/>
              </w:rPr>
              <w:t>Mínimo supervisionado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6"/>
              </w:rPr>
              <w:t>Acesso autônomo a dados sensíveis; exportação de dados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F4F7FA"/>
            <w:tcBorders>
              <w:left w:val="single" w:sz="18" w:color="A62121"/>
              <w:top w:val="nil" w:sz="0" w:color="A62121"/>
              <w:bottom w:val="nil" w:sz="0" w:color="A62121"/>
              <w:right w:val="nil" w:sz="0" w:color="A62121"/>
            </w:tcBorders>
          </w:tcPr>
          <w:p>
            <w:pPr>
              <w:jc w:val="both"/>
            </w:pPr>
            <w:r>
              <w:rPr>
                <w:rFonts w:ascii="Liberation Sans" w:hAnsi="Liberation Sans"/>
                <w:b/>
                <w:color w:val="A62121"/>
                <w:sz w:val="17"/>
              </w:rPr>
              <w:t xml:space="preserve">DADO SENSÍVEL EXIGE RECORTE ADICIONAL  </w:t>
            </w:r>
            <w:r>
              <w:rPr>
                <w:sz w:val="19"/>
              </w:rPr>
              <w:t>Atestados médicos, ASO e biometria devem ter acesso mais restrito que o resto da folha. O art. 11 da LGPD não admite legítimo interesse para dado sensível, e o art. 5º do Anexo da Resolução CD/ANPD nº 15/2024 trata incidente com dado sensível como critério de risco relevante — ou seja, vazamento desse grupo tende a gerar dever de comunicação à ANPD. Em concreto: guarde atestado e ASO em pasta/sistema com permissão própria, não na mesma pasta da folha.</w:t>
            </w:r>
          </w:p>
        </w:tc>
      </w:tr>
    </w:tbl>
    <w:p>
      <w:pPr>
        <w:spacing w:after="60"/>
      </w:pPr>
    </w:p>
    <w:p>
      <w:pPr>
        <w:spacing w:before="280"/>
      </w:pPr>
      <w:r>
        <w:rPr>
          <w:sz w:val="21"/>
        </w:rPr>
        <w:t>[CIDADE] / [UF], _____ de _________________ de 20____.</w:t>
      </w:r>
    </w:p>
    <w:p>
      <w:pPr>
        <w:spacing w:after="3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4734"/>
          </w:tcPr>
          <w:p>
            <w:pPr>
              <w:jc w:val="center"/>
            </w:pPr>
            <w:r/>
            <w:r>
              <w:rPr>
                <w:sz w:val="20"/>
              </w:rPr>
              <w:t>__________________________________</w:t>
            </w:r>
          </w:p>
        </w:tc>
        <w:tc>
          <w:tcPr>
            <w:tcW w:type="dxa" w:w="4734"/>
          </w:tcPr>
          <w:p>
            <w:pPr>
              <w:jc w:val="center"/>
            </w:pPr>
            <w:r/>
            <w:r>
              <w:rPr>
                <w:sz w:val="20"/>
              </w:rPr>
              <w:t>__________________________________</w:t>
            </w:r>
          </w:p>
        </w:tc>
      </w:tr>
      <w:tr>
        <w:tc>
          <w:tcPr>
            <w:tcW w:type="dxa" w:w="4734"/>
          </w:tcPr>
          <w:p>
            <w:pPr>
              <w:jc w:val="center"/>
            </w:pPr>
            <w:r/>
            <w:r>
              <w:rPr>
                <w:rFonts w:ascii="Liberation Sans" w:hAnsi="Liberation Sans"/>
                <w:b/>
                <w:sz w:val="18"/>
              </w:rPr>
              <w:t>Pedro [SOBRENOME COMPLETO]</w:t>
            </w:r>
          </w:p>
          <w:p>
            <w:pPr>
              <w:jc w:val="center"/>
            </w:pPr>
            <w:r>
              <w:rPr>
                <w:rFonts w:ascii="Liberation Sans" w:hAnsi="Liberation Sans"/>
                <w:color w:val="4A5560"/>
                <w:sz w:val="17"/>
              </w:rPr>
              <w:t>Encarregado</w:t>
            </w:r>
          </w:p>
        </w:tc>
        <w:tc>
          <w:tcPr>
            <w:tcW w:type="dxa" w:w="4734"/>
          </w:tcPr>
          <w:p>
            <w:pPr>
              <w:jc w:val="center"/>
            </w:pPr>
            <w:r/>
            <w:r>
              <w:rPr>
                <w:rFonts w:ascii="Liberation Sans" w:hAnsi="Liberation Sans"/>
                <w:b/>
                <w:sz w:val="18"/>
              </w:rPr>
              <w:t>Rogers [SOBRENOME COMPLETO]</w:t>
            </w:r>
          </w:p>
          <w:p>
            <w:pPr>
              <w:jc w:val="center"/>
            </w:pPr>
            <w:r>
              <w:rPr>
                <w:rFonts w:ascii="Liberation Sans" w:hAnsi="Liberation Sans"/>
                <w:color w:val="4A5560"/>
                <w:sz w:val="17"/>
              </w:rPr>
              <w:t>Sócio-administrador</w:t>
            </w:r>
          </w:p>
        </w:tc>
      </w:tr>
    </w:tbl>
    <w:p>
      <w:pPr>
        <w:pBdr>
          <w:bottom w:val="single" w:sz="6" w:space="1" w:color="C9D1DA"/>
        </w:pBdr>
        <w:spacing w:after="160"/>
      </w:pPr>
    </w:p>
    <w:p>
      <w:pPr>
        <w:jc w:val="both"/>
      </w:pPr>
      <w:r>
        <w:rPr>
          <w:rFonts w:ascii="Liberation Sans" w:hAnsi="Liberation Sans"/>
          <w:color w:val="4A5560"/>
          <w:sz w:val="15"/>
        </w:rPr>
        <w:t>Controle de versão — Versão 1.0  |  Aprovado em: ____/____/______  |  Revisão anual  |  Próxima revisão: ____/____/______  |  Responsável pela guarda: Encarregado.  Documento de uso interno; disponibilizar à ANPD mediante requisição.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4A5560"/>
        <w:sz w:val="15"/>
      </w:rPr>
      <w:t xml:space="preserve">DOC-03   </w:t>
    </w:r>
    <w:fldSimple w:instr="PAGE">
      <w:r>
        <w:rPr>
          <w:sz w:val="15"/>
        </w:rPr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4A5560"/>
        <w:sz w:val="15"/>
      </w:rPr>
      <w:t>[RAZÃO SOCIAL DO ESCRITÓRIO] — Programa de Governança em Privacidade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erif" w:hAnsi="Liberation Serif" w:eastAsia="Liberation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