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Liberation Sans" w:hAnsi="Liberation Sans"/>
          <w:b/>
          <w:color w:val="4A5560"/>
          <w:sz w:val="16"/>
        </w:rPr>
        <w:t>DOC-07</w:t>
      </w:r>
    </w:p>
    <w:p>
      <w:pPr>
        <w:spacing w:after="40"/>
      </w:pPr>
      <w:r>
        <w:rPr>
          <w:rFonts w:ascii="Liberation Sans" w:hAnsi="Liberation Sans"/>
          <w:b/>
          <w:color w:val="14365C"/>
          <w:sz w:val="30"/>
        </w:rPr>
        <w:t>AVALIAÇÃO DE LEGÍTIMO INTERESSE</w:t>
      </w:r>
    </w:p>
    <w:p>
      <w:pPr>
        <w:spacing w:after="200"/>
      </w:pPr>
      <w:r>
        <w:rPr>
          <w:rFonts w:ascii="Liberation Sans" w:hAnsi="Liberation Sans"/>
          <w:color w:val="4A5560"/>
          <w:sz w:val="20"/>
        </w:rPr>
        <w:t>Teste de quatro etapas — arts. 7º, IX, e 10 da Lei nº 13.709/2018</w:t>
      </w:r>
    </w:p>
    <w:p>
      <w:pPr>
        <w:pBdr>
          <w:bottom w:val="single" w:sz="6" w:space="1" w:color="C9D1DA"/>
        </w:pBd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68"/>
      </w:tblGrid>
      <w:tr>
        <w:tc>
          <w:tcPr>
            <w:tcW w:type="dxa" w:w="9468"/>
            <w:shd w:fill="F4F7FA"/>
            <w:tcBorders>
              <w:left w:val="single" w:sz="18" w:color="14365C"/>
              <w:top w:val="nil" w:sz="0" w:color="14365C"/>
              <w:bottom w:val="nil" w:sz="0" w:color="14365C"/>
              <w:right w:val="nil" w:sz="0" w:color="14365C"/>
            </w:tcBorders>
          </w:tcPr>
          <w:p>
            <w:pPr>
              <w:jc w:val="both"/>
            </w:pPr>
            <w:r>
              <w:rPr>
                <w:rFonts w:ascii="Liberation Sans" w:hAnsi="Liberation Sans"/>
                <w:b/>
                <w:color w:val="14365C"/>
                <w:sz w:val="17"/>
              </w:rPr>
              <w:t xml:space="preserve">UMA AVALIAÇÃO POR OPERAÇÃO  </w:t>
            </w:r>
            <w:r>
              <w:rPr>
                <w:sz w:val="19"/>
              </w:rPr>
              <w:t>Este formulário deve ser preenchido SEPARADAMENTE para cada operação fundada no art. 7º, IX. Não existe avaliação genérica de legítimo interesse para a empresa inteira. O art. 10, § 3º, autoriza a ANPD a solicitar relatório de impacto quando o tratamento se funda nessa base — esta avaliação é o insumo desse relatório, e precisa existir antes do pedido.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Identificação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2608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6463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Operação avaliada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[código e nome no ROPA]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Descrição sumária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[o que é feito com os dados]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Área responsável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[área]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Data da avaliação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____/____/______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Elaborada por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[nome]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Aprovada por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Pedro [SOBRENOME COMPLETO] — Encarregado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Deliberação do comitê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Ata nº ____ de ____/____/______</w:t>
            </w:r>
          </w:p>
        </w:tc>
      </w:tr>
      <w:tr>
        <w:tc>
          <w:tcPr>
            <w:tcW w:type="dxa" w:w="2608"/>
          </w:tcPr>
          <w:p>
            <w:pPr>
              <w:spacing w:after="20"/>
            </w:pPr>
            <w:r/>
            <w:r>
              <w:rPr>
                <w:sz w:val="18"/>
              </w:rPr>
              <w:t>Revisão prevista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sz w:val="18"/>
              </w:rPr>
              <w:t>____/____/______ (anual)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Etapa 0 — Triagem eliminatória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419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13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Resposta</w:t>
            </w:r>
          </w:p>
        </w:tc>
        <w:tc>
          <w:tcPr>
            <w:tcW w:type="dxa" w:w="3515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Efeito</w:t>
            </w:r>
          </w:p>
        </w:tc>
      </w:tr>
      <w:tr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A operação envolve dado pessoal SENSÍVEL (art. 5º, II): saúde, biometria, origem racial, convicção religiosa, opinião política, filiação sindical, vida sexual, genético?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Sim / Não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Se SIM, a avaliação PARA AQUI. O art. 11 não admite legítimo interesse para dado sensível. É obrigatório escolher outra base legal.</w:t>
            </w:r>
          </w:p>
        </w:tc>
      </w:tr>
      <w:tr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A operação envolve dados de crianças ou adolescentes?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Sim / Não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Se SIM, o peso do lado do titular é significativamente maior. Exige justificativa reforçada na Etapa 3 e salvaguardas adicionais.</w:t>
            </w:r>
          </w:p>
        </w:tc>
      </w:tr>
      <w:tr>
        <w:tc>
          <w:tcPr>
            <w:tcW w:type="dxa" w:w="4195"/>
          </w:tcPr>
          <w:p>
            <w:pPr>
              <w:spacing w:after="20"/>
            </w:pPr>
            <w:r/>
            <w:r>
              <w:rPr>
                <w:sz w:val="17"/>
              </w:rPr>
              <w:t>A operação consiste em decisão unicamente automatizada com efeito relevante?</w:t>
            </w:r>
          </w:p>
        </w:tc>
        <w:tc>
          <w:tcPr>
            <w:tcW w:type="dxa" w:w="1361"/>
          </w:tcPr>
          <w:p>
            <w:pPr>
              <w:spacing w:after="20"/>
            </w:pPr>
            <w:r/>
            <w:r>
              <w:rPr>
                <w:sz w:val="17"/>
              </w:rPr>
              <w:t>Sim / Não</w:t>
            </w:r>
          </w:p>
        </w:tc>
        <w:tc>
          <w:tcPr>
            <w:tcW w:type="dxa" w:w="3515"/>
          </w:tcPr>
          <w:p>
            <w:pPr>
              <w:spacing w:after="20"/>
            </w:pPr>
            <w:r/>
            <w:r>
              <w:rPr>
                <w:sz w:val="17"/>
              </w:rPr>
              <w:t>Se SIM, avaliar também o art. 20 e assegurar o direito de revisão.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Etapa 1 — Finalidade legítima e concreta</w:t>
      </w:r>
    </w:p>
    <w:p>
      <w:pPr>
        <w:jc w:val="both"/>
      </w:pPr>
      <w:r>
        <w:rPr>
          <w:i w:val="0"/>
          <w:sz w:val="21"/>
        </w:rPr>
        <w:t>O art. 10 exige que o legítimo interesse se apoie em situações concretas, que incluem o apoio e a promoção de atividades do controlador e a proteção do exercício regular de direitos do titular ou a prestação de serviços que o beneficiem.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3969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5102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Resposta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1.1 Qual é o interesse concreto perseguido? Descreva a situação real, não hipotética.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 — 'melhorar o negócio' não é finalidade]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1.2 Por que esse interesse é legítimo? Indique o enquadramento no art. 10, I ou II.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[resposta]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1.3 O interesse é do controlador ou de terceiro? Identifique.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[resposta]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1.4 Há benefício para o titular ou para a coletividade?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[resposta]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1.5 A finalidade está declarada no Aviso de Privacidade? Em qual item?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[resposta]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Etapa 2 — Necessidade e minimização</w:t>
      </w:r>
    </w:p>
    <w:p>
      <w:pPr>
        <w:jc w:val="both"/>
      </w:pPr>
      <w:r>
        <w:rPr>
          <w:i w:val="0"/>
          <w:sz w:val="21"/>
        </w:rPr>
        <w:t>O art. 10, § 1º, limita o tratamento aos dados estritamente necessários para a finalidade pretendida.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3969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5102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Resposta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2.1 O tratamento é necessário para alcançar a finalidade? Demonstre que, sem ele, a finalidade não é atingida.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[resposta]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2.2 Quais alternativas menos invasivas foram consideradas e por que foram descartadas?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[resposta]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2.3 Quais dados exatamente são tratados? Liste e justifique cada categoria.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[resposta]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2.4 Algum dado pode ser removido sem inviabilizar a finalidade? Se sim, remova e registre.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[resposta]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2.5 Por quanto tempo os dados são mantidos e com que critério?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[resposta]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Etapa 3 — Balanceamento com os direitos do titular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3969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Pergunta</w:t>
            </w:r>
          </w:p>
        </w:tc>
        <w:tc>
          <w:tcPr>
            <w:tcW w:type="dxa" w:w="5102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Resposta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3.1 Qual a relação prévia entre o titular e o escritório? (cliente ativo, ex-cliente, contato sem relação, colaborador)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[resposta]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3.2 O titular esperaria razoavelmente esse uso, considerando o contexto em que forneceu os dados?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[resposta]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3.3 Qual o impacto potencial sobre o titular? Avalie: discriminação, constrangimento, perda financeira, exposição, restrição ao exercício de direitos ou ao acesso a serviço.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[resposta]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3.4 Há titulares vulneráveis envolvidos (crianças, adolescentes, idosos)?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[resposta]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3.5 O tratamento poderia causar surpresa ou reclamação se o titular descobrisse?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[resposta]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3.6 CONCLUSÃO DO BALANCEAMENTO: prevalece o interesse do controlador ou prevalecem os direitos e liberdades fundamentais do titular? Justifique.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[resposta]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Etapa 4 — Salvaguardas e registro</w:t>
      </w:r>
    </w:p>
    <w:p>
      <w:pPr>
        <w:jc w:val="both"/>
      </w:pPr>
      <w:r>
        <w:rPr>
          <w:i w:val="0"/>
          <w:sz w:val="21"/>
        </w:rPr>
        <w:t>O art. 10, § 2º, obriga o controlador a adotar medidas para garantir a transparência do tratamento baseado em legítimo interesse.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306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Salvaguarda</w:t>
            </w:r>
          </w:p>
        </w:tc>
        <w:tc>
          <w:tcPr>
            <w:tcW w:type="dxa" w:w="6009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Como foi implementada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Transparência (art. 10, § 2º)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8"/>
              </w:rPr>
              <w:t>[item do Aviso de Privacidade; aviso no momento da coleta; comunicação prévia]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Direito de oposição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8"/>
              </w:rPr>
              <w:t>[como o titular se opõe; em quanto tempo o pedido é efetivado; onde a oposição fica registrada]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Minimização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8"/>
              </w:rPr>
              <w:t>[quais dados foram excluídos do tratamento]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Restrição de acesso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8"/>
              </w:rPr>
              <w:t>[quem acessa e com que perfil]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Prazo de retenção reduzido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8"/>
              </w:rPr>
              <w:t>[prazo adotado]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Vedação de uso para outra finalidade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8"/>
              </w:rPr>
              <w:t>[como é controlado]</w:t>
            </w:r>
          </w:p>
        </w:tc>
      </w:tr>
      <w:tr>
        <w:tc>
          <w:tcPr>
            <w:tcW w:type="dxa" w:w="3061"/>
          </w:tcPr>
          <w:p>
            <w:pPr>
              <w:spacing w:after="20"/>
            </w:pPr>
            <w:r/>
            <w:r>
              <w:rPr>
                <w:sz w:val="18"/>
              </w:rPr>
              <w:t>Pseudonimização ou agregação</w:t>
            </w:r>
          </w:p>
        </w:tc>
        <w:tc>
          <w:tcPr>
            <w:tcW w:type="dxa" w:w="6009"/>
          </w:tcPr>
          <w:p>
            <w:pPr>
              <w:spacing w:after="20"/>
            </w:pPr>
            <w:r/>
            <w:r>
              <w:rPr>
                <w:sz w:val="18"/>
              </w:rPr>
              <w:t>[se aplicável]</w:t>
            </w:r>
          </w:p>
        </w:tc>
      </w:tr>
    </w:tbl>
    <w:p>
      <w:pPr>
        <w:spacing w:after="60"/>
      </w:pP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Decisão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3969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5102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7"/>
              </w:rPr>
              <w:t>Conteúdo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O tratamento PODE ser fundamentado no art. 7º, IX?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SIM / NÃO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Se NÃO: base legal alternativa adotada, ou decisão de não realizar o tratamento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[resposta]</w:t>
            </w:r>
          </w:p>
        </w:tc>
      </w:tr>
      <w:tr>
        <w:tc>
          <w:tcPr>
            <w:tcW w:type="dxa" w:w="3969"/>
          </w:tcPr>
          <w:p>
            <w:pPr>
              <w:spacing w:after="20"/>
            </w:pPr>
            <w:r/>
            <w:r>
              <w:rPr>
                <w:sz w:val="18"/>
              </w:rPr>
              <w:t>Condicionantes impostas</w:t>
            </w:r>
          </w:p>
        </w:tc>
        <w:tc>
          <w:tcPr>
            <w:tcW w:type="dxa" w:w="5102"/>
          </w:tcPr>
          <w:p>
            <w:pPr>
              <w:spacing w:after="20"/>
            </w:pPr>
            <w:r/>
            <w:r>
              <w:rPr>
                <w:sz w:val="18"/>
              </w:rPr>
              <w:t>[ex.: somente para clientes ativos; exclusão imediata na oposição; vedação de enriquecimento com dados de terceiros]</w:t>
            </w:r>
          </w:p>
        </w:tc>
      </w:tr>
    </w:tbl>
    <w:p>
      <w:pPr>
        <w:spacing w:after="60"/>
      </w:pPr>
    </w:p>
    <w:p>
      <w:pPr>
        <w:spacing w:before="280"/>
      </w:pPr>
      <w:r>
        <w:rPr>
          <w:sz w:val="21"/>
        </w:rPr>
        <w:t>[CIDADE] / [UF], _____ de _________________ de 20____.</w:t>
      </w:r>
    </w:p>
    <w:p>
      <w:pPr>
        <w:spacing w:after="3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156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3156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  <w:tc>
          <w:tcPr>
            <w:tcW w:type="dxa" w:w="3156"/>
          </w:tcPr>
          <w:p>
            <w:pPr>
              <w:jc w:val="center"/>
            </w:pPr>
            <w:r/>
            <w:r>
              <w:rPr>
                <w:sz w:val="20"/>
              </w:rPr>
              <w:t>__________________________________</w:t>
            </w:r>
          </w:p>
        </w:tc>
      </w:tr>
      <w:tr>
        <w:tc>
          <w:tcPr>
            <w:tcW w:type="dxa" w:w="3156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[Nome]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Elaboração</w:t>
            </w:r>
          </w:p>
        </w:tc>
        <w:tc>
          <w:tcPr>
            <w:tcW w:type="dxa" w:w="3156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Pedro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Encarregado — aprovação</w:t>
            </w:r>
          </w:p>
        </w:tc>
        <w:tc>
          <w:tcPr>
            <w:tcW w:type="dxa" w:w="3156"/>
          </w:tcPr>
          <w:p>
            <w:pPr>
              <w:jc w:val="center"/>
            </w:pPr>
            <w:r/>
            <w:r>
              <w:rPr>
                <w:rFonts w:ascii="Liberation Sans" w:hAnsi="Liberation Sans"/>
                <w:b/>
                <w:sz w:val="18"/>
              </w:rPr>
              <w:t>Rogers [SOBRENOME COMPLETO]</w:t>
            </w:r>
          </w:p>
          <w:p>
            <w:pPr>
              <w:jc w:val="center"/>
            </w:pPr>
            <w:r>
              <w:rPr>
                <w:rFonts w:ascii="Liberation Sans" w:hAnsi="Liberation Sans"/>
                <w:color w:val="4A5560"/>
                <w:sz w:val="17"/>
              </w:rPr>
              <w:t>Controlador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Liberation Sans" w:hAnsi="Liberation Sans"/>
          <w:b/>
          <w:color w:val="14365C"/>
          <w:sz w:val="23"/>
        </w:rPr>
        <w:t>Anexo — Exemplo preenchido: comunicação informativa a clientes ativos</w:t>
      </w:r>
    </w:p>
    <w:p>
      <w:pPr>
        <w:jc w:val="both"/>
      </w:pPr>
      <w:r>
        <w:rPr>
          <w:i/>
          <w:sz w:val="21"/>
        </w:rPr>
        <w:t>Exemplo de referência para o preenchimento. Confira a aderência à realidade antes de reutilizar.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1701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7370"/>
            <w:shd w:fill="14365C"/>
          </w:tcPr>
          <w:p>
            <w:r/>
            <w:r>
              <w:rPr>
                <w:rFonts w:ascii="Liberation Sans" w:hAnsi="Liberation Sans"/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Operação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COM-003 — Envio de boletim com novidades contábeis, fiscais e trabalhistas a clientes com contrato vigente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Etapa 0 — Triagem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Não envolve dado sensível (apenas nome, e-mail corporativo e segmento). Não envolve crianças ou adolescentes. Não há decisão automatizada. Prossegue.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Etapa 1 — Finalidade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Informar o cliente sobre alterações normativas que afetam diretamente suas obrigações contábeis e fiscais, reduzindo risco de descumprimento. Enquadra-se no art. 10, I (apoio e promoção de atividades do controlador) e II (prestação de serviço que beneficia o titular). Declarado no item 3 do Aviso de Privacidade.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Etapa 2 — Necessidade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Necessário: o cliente precisa da informação em tempo útil para cumprir prazo legal. Alternativa considerada: publicar apenas no site — descartada porque não garante que o cliente tome conhecimento do prazo. Dados tratados: nome, e-mail corporativo e segmento de atuação. Telefone e endereço foram excluídos por não serem necessários. Retenção: enquanto vigente o contrato ou até oposição.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Etapa 3 — Balanceamento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Relação contratual vigente. A expectativa de receber informação técnica do próprio contador é razoável e corresponde ao objeto do contrato. Impacto potencial baixo: comunicação por e-mail corporativo, sem perfilamento, sem cessão a terceiros, sem efeito sobre acesso a serviço. Não há titular vulnerável. Conclusão: prevalece o interesse do controlador, com as salvaguardas da Etapa 4.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Etapa 4 — Salvaguardas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Transparência: item 3 do Aviso de Privacidade e menção no rodapé de cada envio. Oposição: link de descadastramento em todo envio, efetivado em até 2 dias úteis, com registro no controle de oposições. Minimização: três campos apenas. Vedação: não é usado para prospecção de terceiros nem cedido a parceiros.</w:t>
            </w:r>
          </w:p>
        </w:tc>
      </w:tr>
      <w:tr>
        <w:tc>
          <w:tcPr>
            <w:tcW w:type="dxa" w:w="1701"/>
          </w:tcPr>
          <w:p>
            <w:pPr>
              <w:spacing w:after="20"/>
            </w:pPr>
            <w:r/>
            <w:r>
              <w:rPr>
                <w:sz w:val="17"/>
              </w:rPr>
              <w:t>Decisão</w:t>
            </w:r>
          </w:p>
        </w:tc>
        <w:tc>
          <w:tcPr>
            <w:tcW w:type="dxa" w:w="7370"/>
          </w:tcPr>
          <w:p>
            <w:pPr>
              <w:spacing w:after="20"/>
            </w:pPr>
            <w:r/>
            <w:r>
              <w:rPr>
                <w:sz w:val="17"/>
              </w:rPr>
              <w:t>PODE ser fundamentado no art. 7º, IX, limitado a clientes com contrato vigente. Para prospecção de contatos SEM relação prévia, a conclusão é diferente: o balanceamento não se sustenta e a base deve ser o consentimento (art. 7º, I).</w:t>
            </w:r>
          </w:p>
        </w:tc>
      </w:tr>
    </w:tbl>
    <w:p>
      <w:pPr>
        <w:spacing w:after="60"/>
      </w:pPr>
    </w:p>
    <w:p>
      <w:pPr>
        <w:pBdr>
          <w:bottom w:val="single" w:sz="6" w:space="1" w:color="C9D1DA"/>
        </w:pBdr>
        <w:spacing w:after="160"/>
      </w:pPr>
    </w:p>
    <w:p>
      <w:pPr>
        <w:jc w:val="both"/>
      </w:pPr>
      <w:r>
        <w:rPr>
          <w:rFonts w:ascii="Liberation Sans" w:hAnsi="Liberation Sans"/>
          <w:color w:val="4A5560"/>
          <w:sz w:val="15"/>
        </w:rPr>
        <w:t>Controle de versão — Versão 1.0  |  Aprovado em: ____/____/______  |  Revisão anual  |  Próxima revisão: ____/____/______  |  Responsável pela guarda: Encarregado.  Documento de uso interno; disponibilizar à ANPD mediante requisição.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4A5560"/>
        <w:sz w:val="15"/>
      </w:rPr>
      <w:t xml:space="preserve">DOC-07   </w:t>
    </w:r>
    <w:fldSimple w:instr="PAGE">
      <w:r>
        <w:rPr>
          <w:sz w:val="15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4A5560"/>
        <w:sz w:val="15"/>
      </w:rPr>
      <w:t>[RAZÃO SOCIAL DO ESCRITÓRIO] — Programa de Governança em Privacidade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erif" w:hAnsi="Liberation Serif" w:eastAsia="Liberation Seri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