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DOC-00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ÍNDICE DO CONJUNTO DE MODELOS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Mapa Controle × Evidência × Documento — adequação à Lei nº 13.709/2018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4365C"/>
              <w:top w:val="nil" w:sz="0" w:color="14365C"/>
              <w:bottom w:val="nil" w:sz="0" w:color="14365C"/>
              <w:right w:val="nil" w:sz="0" w:color="14365C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4365C"/>
                <w:sz w:val="17"/>
              </w:rPr>
              <w:t xml:space="preserve">COMO USAR ESTE CONJUNTO  </w:t>
            </w:r>
            <w:r>
              <w:rPr>
                <w:sz w:val="19"/>
              </w:rPr>
              <w:t>Cada linha do mapa abaixo corresponde a um controle do checklist de autoavaliação e indica qual documento produz a evidência correspondente. Os textos entre colchetes são campos a preencher — o conjunto é um esqueleto a ser ajustado à realidade do escritório, não um documento pronto para assinar. Preencher sem conferir produz declaração falsa, que é pior do que a ausência de documento.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Mapa Controle × Evidência ×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317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Evidência-modelo exigida</w:t>
            </w:r>
          </w:p>
        </w:tc>
        <w:tc>
          <w:tcPr>
            <w:tcW w:type="dxa" w:w="385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Documento deste conjunto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Enquadramento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Avaliação de porte e de alto risco, datada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DOC-01 — Nota Técnica de Enquadramento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Encarregado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Ato de nomeação e publicação do contato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DOC-02 — Ato de Designação do Encarregado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Papéis controlador/operador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Matriz de responsabilidades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DOC-03 — Matriz de Papéis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Comitê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Ata de reunião com decisões e prazos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DOC-04 — Regimento e Ata do Comitê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Privacidade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Aviso de Privacidade publicado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DOC-05 — Aviso de Privacidade; DOC-06 — Aviso ao Colaborador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Bases legais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Matriz finalidade × dado × base legal × retenção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DOC-APOIO-01, aba 'Bases legais'; DOC-07 para legítimo interesse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ROPA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Planilha de registro das operações de tratamento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DOC-APOIO-01, aba 'ROPA'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Retenção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Política e tabela de prazos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DOC-08 — Política de Retenção; DOC-APOIO-01, abas 'Retenção' e 'Descarte'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Direitos dos titulares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Procedimento e registro de atendimentos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DOC-09 — Procedimento de Direitos; DOC-APOIO-01, aba 'Direitos titulares'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Incidentes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Plano de resposta e registro de teste/simulado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DOC-10 — Plano de Resposta a Incidentes; DOC-APOIO-01, aba 'Incidentes'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Consentimento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Termo específico e destacado, com prova de obtenção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DOC-11 — Termos de Consentimento; DOC-APOIO-01, aba 'Consentimentos'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Treinamento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Lista de presença e material aplicado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DOC-12 — Programa de Treinamento; DOC-APOIO-01, aba 'Treinamento'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Segurança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Política, inventário de acessos, backup e relatório de teste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DOC-13 — Política de Segurança; DOC-APOIO-01, aba 'Inventário de acessos'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Contratos e operadores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Cláusulas de proteção de dados e due diligence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DOC-14 — Cláusulas Contratuais; DOC-APOIO-01, aba 'Operadores'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Prestação de contas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7"/>
              </w:rPr>
              <w:t>Plano de ação com responsáveis e prazos; registro de requisições da ANPD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7"/>
              </w:rPr>
              <w:t>DOC-15 — Plano de Ação; DOC-APOIO-01, aba 'Plano de ação'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Ordem de execução</w:t>
      </w:r>
    </w:p>
    <w:p>
      <w:pPr>
        <w:jc w:val="both"/>
      </w:pPr>
      <w:r>
        <w:rPr>
          <w:i w:val="0"/>
          <w:sz w:val="21"/>
        </w:rPr>
        <w:t>A sequência não é arbitrária: cada bloco produz o insumo do seguinte. O detalhe está no DOC-15, item 1.</w:t>
      </w:r>
    </w:p>
    <w:p>
      <w:pPr>
        <w:pStyle w:val="ListNumber"/>
        <w:spacing w:after="40"/>
        <w:jc w:val="both"/>
      </w:pPr>
      <w:r>
        <w:rPr>
          <w:sz w:val="21"/>
        </w:rPr>
        <w:t>DOC-01 e DOC-03 — definem o regime aplicável e quem é controlador em cada operação. Sem isso, todo o resto parte de premissa errada.</w:t>
      </w:r>
    </w:p>
    <w:p>
      <w:pPr>
        <w:pStyle w:val="ListNumber"/>
        <w:spacing w:after="40"/>
        <w:jc w:val="both"/>
      </w:pPr>
      <w:r>
        <w:rPr>
          <w:sz w:val="21"/>
        </w:rPr>
        <w:t>DOC-02 — o Encarregado precisa existir formalmente antes do canal de direitos e antes de qualquer incidente; o documento de vínculo é exigido pela Resolução nº 15/2024.</w:t>
      </w:r>
    </w:p>
    <w:p>
      <w:pPr>
        <w:pStyle w:val="ListNumber"/>
        <w:spacing w:after="40"/>
        <w:jc w:val="both"/>
      </w:pPr>
      <w:r>
        <w:rPr>
          <w:sz w:val="21"/>
        </w:rPr>
        <w:t>DOC-APOIO-01, aba ROPA — base factual de tudo o que vem depois.</w:t>
      </w:r>
    </w:p>
    <w:p>
      <w:pPr>
        <w:pStyle w:val="ListNumber"/>
        <w:spacing w:after="40"/>
        <w:jc w:val="both"/>
      </w:pPr>
      <w:r>
        <w:rPr>
          <w:sz w:val="21"/>
        </w:rPr>
        <w:t>Bases legais e DOC-07 — dependem do ROPA concluído.</w:t>
      </w:r>
    </w:p>
    <w:p>
      <w:pPr>
        <w:pStyle w:val="ListNumber"/>
        <w:spacing w:after="40"/>
        <w:jc w:val="both"/>
      </w:pPr>
      <w:r>
        <w:rPr>
          <w:sz w:val="21"/>
        </w:rPr>
        <w:t>DOC-08 — depende do ROPA e das bases legais.</w:t>
      </w:r>
    </w:p>
    <w:p>
      <w:pPr>
        <w:pStyle w:val="ListNumber"/>
        <w:spacing w:after="40"/>
        <w:jc w:val="both"/>
      </w:pPr>
      <w:r>
        <w:rPr>
          <w:sz w:val="21"/>
        </w:rPr>
        <w:t>DOC-05 e DOC-06 — derivam do ROPA; publicar antes gera divergência documentada.</w:t>
      </w:r>
    </w:p>
    <w:p>
      <w:pPr>
        <w:pStyle w:val="ListNumber"/>
        <w:spacing w:after="40"/>
        <w:jc w:val="both"/>
      </w:pPr>
      <w:r>
        <w:rPr>
          <w:sz w:val="21"/>
        </w:rPr>
        <w:t>DOC-09, DOC-10, DOC-13 — procedimentos operacionais.</w:t>
      </w:r>
    </w:p>
    <w:p>
      <w:pPr>
        <w:pStyle w:val="ListNumber"/>
        <w:spacing w:after="40"/>
        <w:jc w:val="both"/>
      </w:pPr>
      <w:r>
        <w:rPr>
          <w:sz w:val="21"/>
        </w:rPr>
        <w:t>DOC-14 — exige a matriz de papéis definida.</w:t>
      </w:r>
    </w:p>
    <w:p>
      <w:pPr>
        <w:pStyle w:val="ListNumber"/>
        <w:spacing w:after="40"/>
        <w:jc w:val="both"/>
      </w:pPr>
      <w:r>
        <w:rPr>
          <w:sz w:val="21"/>
        </w:rPr>
        <w:t>DOC-12 — faz sentido quando há procedimento real a ensinar.</w:t>
      </w:r>
    </w:p>
    <w:p>
      <w:pPr>
        <w:pStyle w:val="ListNumber"/>
        <w:spacing w:after="40"/>
        <w:jc w:val="both"/>
      </w:pPr>
      <w:r>
        <w:rPr>
          <w:sz w:val="21"/>
        </w:rPr>
        <w:t>DOC-04 e DOC-15 — mantêm o programa vivo e produzem a 'adoção reiterada e demonstrada' valorizada pelo art. 52, § 1º, VIII, da LGPD.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Base normativa utilizada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Norma</w:t>
            </w:r>
          </w:p>
        </w:tc>
        <w:tc>
          <w:tcPr>
            <w:tcW w:type="dxa" w:w="6236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Objeto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Lei nº 13.709/2018 (LGPD)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Lei Geral de Proteção de Dados Pessoais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Resolução CD/ANPD nº 1/2021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Processo de Fiscalização e Processo Administrativo Sancionador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Resolução CD/ANPD nº 2/2022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Regulamento de aplicação da LGPD aos agentes de tratamento de pequeno porte; define tratamento de alto risco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Resolução CD/ANPD nº 4/2023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Dosimetria e aplicação de sanções administrativas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Resolução CD/ANPD nº 15/2024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Comunicação de incidente de segurança; prazo de 3 dias úteis; registro mínimo de 5 anos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Resolução CD/ANPD nº 19/2024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Transferência internacional de dados e cláusulas-padrão contratuais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Advertência sobre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O QUE ESTE CONJUNTO NÃO É  </w:t>
            </w:r>
            <w:r>
              <w:rPr>
                <w:sz w:val="19"/>
              </w:rPr>
              <w:t>Estes modelos não substituem análise jurídica do caso concreto. Três pontos exigem decisão do escritório com apoio do jurídico, e estão marcados nos documentos: (i) a base legal da biometria, entre o art. 11, II, 'a', e o art. 11, I; (ii) os prazos de retenção, que decorrem da norma aplicável a cada documento e sofrem alteração legislativa; (iii) a existência e o mecanismo de transferência internacional nos sistemas utilizados. Nenhum dos três pode ser preenchido por presunção.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Controle de versões do conjunto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396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Aprovado em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Próxima revisão</w:t>
            </w:r>
          </w:p>
        </w:tc>
        <w:tc>
          <w:tcPr>
            <w:tcW w:type="dxa" w:w="124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DOC-01 — Nota Técnica de Enquadramento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DOC-02 — Ato de Designação do Encarregado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DOC-03 — Matriz de Papéis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DOC-04 — Regimento e Ata do Comitê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DOC-05 — Aviso de Privacidade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DOC-06 — Aviso de Privacidade ao Colaborador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DOC-07 — Avaliação de Legítimo Interesse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DOC-08 — Política de Retenção e Eliminação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DOC-09 — Procedimento de Direitos dos Titulares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DOC-10 — Plano de Resposta a Incidentes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DOC-11 — Termos de Consentimento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DOC-12 — Programa de Treinamento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DOC-13 — Política de Segurança da Informação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DOC-14 — Cláusulas Contratuais e Operadores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DOC-15 — Plano de Ação e Registro ANPD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7"/>
              </w:rPr>
              <w:t>DOC-APOIO-01 — ROPA e Registros (planilha)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60"/>
      </w:pP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DOC-00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