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DOC-09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PROCEDIMENTO DE ATENDIMENTO AOS DIREITOS DOS TITULARES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Arts. 18 e 19 da Lei nº 13.709/2018</w:t>
      </w:r>
    </w:p>
    <w:p>
      <w:pPr>
        <w:pBdr>
          <w:bottom w:val="single" w:sz="6" w:space="1" w:color="C9D1DA"/>
        </w:pBdr>
        <w:spacing w:after="1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1. Canal oficial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60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463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Canal oficial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[privacidade@escrinorte.com.br — canal dedicado]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Responsável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Pedro [SOBRENOME COMPLETO] — Encarregado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Divulgação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Aviso de Privacidade, rodapé do site, contratos e Aviso ao Colaborador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Horário de monitoramento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[dias e horário]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Substituto em ausência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[nome]</w:t>
            </w:r>
          </w:p>
        </w:tc>
      </w:tr>
    </w:tbl>
    <w:p>
      <w:pPr>
        <w:spacing w:after="60"/>
      </w:pPr>
    </w:p>
    <w:p>
      <w:pPr>
        <w:jc w:val="both"/>
      </w:pPr>
      <w:r>
        <w:rPr>
          <w:i w:val="0"/>
          <w:sz w:val="21"/>
        </w:rPr>
        <w:t>Pedidos recebidos por outros canais — atendimento comercial, WhatsApp, redes sociais, suporte de TI, balcão — devem ser encaminhados ao canal oficial em até 1 (um) dia útil, PRESERVANDO A DATA ORIGINAL DE RECEBIMENTO. O prazo conta do primeiro contato do titular, não da chegada ao Encarregado.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2. Prazos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430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Tipo de pedido</w:t>
            </w:r>
          </w:p>
        </w:tc>
        <w:tc>
          <w:tcPr>
            <w:tcW w:type="dxa" w:w="192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Prazo</w:t>
            </w:r>
          </w:p>
        </w:tc>
        <w:tc>
          <w:tcPr>
            <w:tcW w:type="dxa" w:w="283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Fundamento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7"/>
              </w:rPr>
              <w:t>Confirmação da existência de tratamento ou acesso, em formato simplificado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Imediato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  <w:t>Art. 19, I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7"/>
              </w:rPr>
              <w:t>Declaração clara e completa (origem dos dados, inexistência de registro, critérios e finalidade do tratamento)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15 dias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  <w:t>Art. 19, II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7"/>
              </w:rPr>
              <w:t>Demais direitos do art. 18 (correção, eliminação, portabilidade, informação de compartilhamento, revogação de consentimento, oposição)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15 dias (prazo interno adotado)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  <w:t>Art. 18, § 5º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7"/>
              </w:rPr>
              <w:t>Resposta quando a providência imediata é impossível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Dentro do mesmo prazo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  <w:t>Art. 18, § 4º</w:t>
            </w:r>
          </w:p>
        </w:tc>
      </w:tr>
      <w:tr>
        <w:tc>
          <w:tcPr>
            <w:tcW w:type="dxa" w:w="4309"/>
          </w:tcPr>
          <w:p>
            <w:pPr>
              <w:spacing w:after="20"/>
            </w:pPr>
            <w:r/>
            <w:r>
              <w:rPr>
                <w:sz w:val="17"/>
              </w:rPr>
              <w:t>Encaminhamento ao cliente-controlador quando o escritório é operador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7"/>
              </w:rPr>
              <w:t>2 dias úteis do recebimento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17"/>
              </w:rPr>
              <w:t>Art. 39 e instrução contratual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A62121"/>
              <w:top w:val="nil" w:sz="0" w:color="A62121"/>
              <w:bottom w:val="nil" w:sz="0" w:color="A62121"/>
              <w:right w:val="nil" w:sz="0" w:color="A62121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A62121"/>
                <w:sz w:val="17"/>
              </w:rPr>
              <w:t xml:space="preserve">GRATUIDADE É OBRIGATÓRIA  </w:t>
            </w:r>
            <w:r>
              <w:rPr>
                <w:sz w:val="19"/>
              </w:rPr>
              <w:t>O art. 18, § 5º, determina que o requerimento seja atendido sem custos para o titular. Não condicione a resposta a pagamento, a cadastro adicional, à regularização de débito ou à contratação de serviço.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3. Fluxo de atendimento</w:t>
      </w:r>
    </w:p>
    <w:p>
      <w:pPr>
        <w:pStyle w:val="ListNumber"/>
        <w:spacing w:after="40"/>
        <w:jc w:val="both"/>
      </w:pPr>
      <w:r>
        <w:rPr>
          <w:sz w:val="21"/>
        </w:rPr>
        <w:t>AUTUAÇÃO — atribuir número sequencial e registrar data e hora do recebimento. Enviar confirmação de recebimento ao titular no mesmo dia útil.</w:t>
      </w:r>
    </w:p>
    <w:p>
      <w:pPr>
        <w:pStyle w:val="ListNumber"/>
        <w:spacing w:after="40"/>
        <w:jc w:val="both"/>
      </w:pPr>
      <w:r>
        <w:rPr>
          <w:sz w:val="21"/>
        </w:rPr>
        <w:t>TRIAGEM DE PAPEL — verificar, pelo ROPA e pela matriz do DOC-03, se o escritório é controlador ou operador daqueles dados. Se operador: encaminhar ao cliente-controlador, informar o titular sobre o encaminhamento e indicar o canal do controlador, auxiliando na resposta (art. 18, § 4º, I).</w:t>
      </w:r>
    </w:p>
    <w:p>
      <w:pPr>
        <w:pStyle w:val="ListNumber"/>
        <w:spacing w:after="40"/>
        <w:jc w:val="both"/>
      </w:pPr>
      <w:r>
        <w:rPr>
          <w:sz w:val="21"/>
        </w:rPr>
        <w:t>VERIFICAÇÃO DE IDENTIDADE — proporcional ao risco. Para dados cadastrais, confirmação por canal já cadastrado é suficiente. NÃO exigir documentação excessiva: isso viola o princípio da necessidade e cria barreira ao exercício do direito.</w:t>
      </w:r>
    </w:p>
    <w:p>
      <w:pPr>
        <w:pStyle w:val="ListNumber"/>
        <w:spacing w:after="40"/>
        <w:jc w:val="both"/>
      </w:pPr>
      <w:r>
        <w:rPr>
          <w:sz w:val="21"/>
        </w:rPr>
        <w:t>QUALIFICAÇÃO DO PEDIDO — identificar qual inciso do art. 18 está sendo exercido. Se ambíguo, esclarecer com o titular de imediato, sem usar o esclarecimento para suspender indevidamente o prazo.</w:t>
      </w:r>
    </w:p>
    <w:p>
      <w:pPr>
        <w:pStyle w:val="ListNumber"/>
        <w:spacing w:after="40"/>
        <w:jc w:val="both"/>
      </w:pPr>
      <w:r>
        <w:rPr>
          <w:sz w:val="21"/>
        </w:rPr>
        <w:t>LOCALIZAÇÃO DOS DADOS — consultar o ROPA para identificar TODOS os sistemas e repositórios envolvidos, inclusive arquivo físico, planilhas locais e caixas de e-mail.</w:t>
      </w:r>
    </w:p>
    <w:p>
      <w:pPr>
        <w:pStyle w:val="ListNumber"/>
        <w:spacing w:after="40"/>
        <w:jc w:val="both"/>
      </w:pPr>
      <w:r>
        <w:rPr>
          <w:sz w:val="21"/>
        </w:rPr>
        <w:t>ANÁLISE — verificar se há hipótese de conservação do art. 16 que impeça a eliminação, obrigação legal de guarda, necessidade de defesa em processo, ou segredo comercial e industrial que limite o acesso.</w:t>
      </w:r>
    </w:p>
    <w:p>
      <w:pPr>
        <w:pStyle w:val="ListNumber"/>
        <w:spacing w:after="40"/>
        <w:jc w:val="both"/>
      </w:pPr>
      <w:r>
        <w:rPr>
          <w:sz w:val="21"/>
        </w:rPr>
        <w:t>DECISÃO E RESPOSTA — em linguagem clara. Se a providência não puder ser adotada, informar as razões de fato ou de direito (art. 18, § 4º, II) ou indicar o agente de tratamento responsável.</w:t>
      </w:r>
    </w:p>
    <w:p>
      <w:pPr>
        <w:pStyle w:val="ListNumber"/>
        <w:spacing w:after="40"/>
        <w:jc w:val="both"/>
      </w:pPr>
      <w:r>
        <w:rPr>
          <w:sz w:val="21"/>
        </w:rPr>
        <w:t>PROPAGAÇÃO — comunicar imediatamente a correção, eliminação, anonimização ou bloqueio aos agentes com quem houve uso compartilhado (art. 18, § 6º), salvo impossibilidade comprovada ou esforço desproporcional, que devem ser registrados.</w:t>
      </w:r>
    </w:p>
    <w:p>
      <w:pPr>
        <w:pStyle w:val="ListNumber"/>
        <w:spacing w:after="40"/>
        <w:jc w:val="both"/>
      </w:pPr>
      <w:r>
        <w:rPr>
          <w:sz w:val="21"/>
        </w:rPr>
        <w:t>ARQUIVAMENTO — vincular ao número do pedido: a solicitação original, a verificação de identidade, a análise, a resposta enviada e as datas.</w:t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4. Respostas-padrão para negativa fundamentada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204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Situação</w:t>
            </w:r>
          </w:p>
        </w:tc>
        <w:tc>
          <w:tcPr>
            <w:tcW w:type="dxa" w:w="192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Fundamento a invocar</w:t>
            </w:r>
          </w:p>
        </w:tc>
        <w:tc>
          <w:tcPr>
            <w:tcW w:type="dxa" w:w="510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Redação-base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Pedido de eliminação de dado sob obrigação legal de guarda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6"/>
              </w:rPr>
              <w:t>Art. 16, I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6"/>
              </w:rPr>
              <w:t>Não é possível eliminar os dados indicados porque sua conservação é exigida para cumprimento de obrigação legal/regulatória [citar a norma], cujo prazo encerra em [data]. Ao fim desse prazo os dados serão eliminados.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Pedido de eliminação com litígio ou risco de litígio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6"/>
              </w:rPr>
              <w:t>Art. 7º, VI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6"/>
              </w:rPr>
              <w:t>Os dados serão conservados para o exercício regular de direitos em processo, pelo prazo prescricional aplicável, sem utilização para qualquer outra finalidade.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Pedido sobre dados tratados por conta e ordem de cliente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6"/>
              </w:rPr>
              <w:t>Art. 18, § 4º, I, e art. 5º, VII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6"/>
              </w:rPr>
              <w:t>Quanto a esses dados atuamos como operador. O controlador é [identificar], cujo canal de atendimento é [indicar]. Encaminhamos sua solicitação nesta data e auxiliaremos na resposta.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Identidade não confirmada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6"/>
              </w:rPr>
              <w:t>Art. 46 — dever de segurança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6"/>
              </w:rPr>
              <w:t>Para proteger seus dados contra divulgação indevida, precisamos confirmar sua identidade. Solicitamos [informação mínima]. Não forneceremos dados sem essa confirmação.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6"/>
              </w:rPr>
              <w:t>Pedido de acesso que exporia segredo comercial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6"/>
              </w:rPr>
              <w:t>Art. 19, II, parte final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6"/>
              </w:rPr>
              <w:t>Fornecemos a declaração sobre origem, critérios e finalidade do tratamento, preservados os segredos comercial e industrial quanto a [especificar].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5. Registro de atendimentos</w:t>
      </w:r>
    </w:p>
    <w:p>
      <w:pPr>
        <w:jc w:val="both"/>
      </w:pPr>
      <w:r>
        <w:rPr>
          <w:i/>
          <w:sz w:val="21"/>
        </w:rPr>
        <w:t>Planilha editável na aba 'Direitos dos titulares' do DOC-APOIO-01.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2"/>
        <w:gridCol w:w="1052"/>
        <w:gridCol w:w="1052"/>
        <w:gridCol w:w="1052"/>
        <w:gridCol w:w="1052"/>
        <w:gridCol w:w="1052"/>
        <w:gridCol w:w="1052"/>
        <w:gridCol w:w="1052"/>
        <w:gridCol w:w="1052"/>
      </w:tblGrid>
      <w:tr>
        <w:tc>
          <w:tcPr>
            <w:tcW w:type="dxa" w:w="56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Nº</w:t>
            </w:r>
          </w:p>
        </w:tc>
        <w:tc>
          <w:tcPr>
            <w:tcW w:type="dxa" w:w="102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Recebido em</w:t>
            </w:r>
          </w:p>
        </w:tc>
        <w:tc>
          <w:tcPr>
            <w:tcW w:type="dxa" w:w="79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Canal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Titular</w:t>
            </w:r>
          </w:p>
        </w:tc>
        <w:tc>
          <w:tcPr>
            <w:tcW w:type="dxa" w:w="113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Direito (inciso)</w:t>
            </w:r>
          </w:p>
        </w:tc>
        <w:tc>
          <w:tcPr>
            <w:tcW w:type="dxa" w:w="90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Papel</w:t>
            </w:r>
          </w:p>
        </w:tc>
        <w:tc>
          <w:tcPr>
            <w:tcW w:type="dxa" w:w="192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Providência / fundamento</w:t>
            </w:r>
          </w:p>
        </w:tc>
        <w:tc>
          <w:tcPr>
            <w:tcW w:type="dxa" w:w="907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Respondido em</w:t>
            </w:r>
          </w:p>
        </w:tc>
        <w:tc>
          <w:tcPr>
            <w:tcW w:type="dxa" w:w="454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Dias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001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  <w:t>contr./oper.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454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15"/>
              </w:rPr>
              <w:t>002</w:t>
            </w:r>
          </w:p>
        </w:tc>
        <w:tc>
          <w:tcPr>
            <w:tcW w:type="dxa" w:w="1020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  <w:tc>
          <w:tcPr>
            <w:tcW w:type="dxa" w:w="454"/>
          </w:tcPr>
          <w:p>
            <w:pPr>
              <w:spacing w:after="20"/>
            </w:pPr>
            <w:r/>
            <w:r>
              <w:rPr>
                <w:sz w:val="15"/>
              </w:rPr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6. Indicadores levados ao comitê</w:t>
      </w:r>
    </w:p>
    <w:p>
      <w:pPr>
        <w:pStyle w:val="ListBullet"/>
        <w:spacing w:after="40"/>
        <w:jc w:val="both"/>
      </w:pPr>
      <w:r>
        <w:rPr>
          <w:sz w:val="21"/>
        </w:rPr>
        <w:t>volume de pedidos no período, por tipo de direito;</w:t>
      </w:r>
    </w:p>
    <w:p>
      <w:pPr>
        <w:pStyle w:val="ListBullet"/>
        <w:spacing w:after="40"/>
        <w:jc w:val="both"/>
      </w:pPr>
      <w:r>
        <w:rPr>
          <w:sz w:val="21"/>
        </w:rPr>
        <w:t>tempo médio de resposta e maior tempo verificado;</w:t>
      </w:r>
    </w:p>
    <w:p>
      <w:pPr>
        <w:pStyle w:val="ListBullet"/>
        <w:spacing w:after="40"/>
        <w:jc w:val="both"/>
      </w:pPr>
      <w:r>
        <w:rPr>
          <w:sz w:val="21"/>
        </w:rPr>
        <w:t>pedidos atendidos fora do prazo e causa de cada atraso;</w:t>
      </w:r>
    </w:p>
    <w:p>
      <w:pPr>
        <w:pStyle w:val="ListBullet"/>
        <w:spacing w:after="40"/>
        <w:jc w:val="both"/>
      </w:pPr>
      <w:r>
        <w:rPr>
          <w:sz w:val="21"/>
        </w:rPr>
        <w:t>pedidos negados e fundamento;</w:t>
      </w:r>
    </w:p>
    <w:p>
      <w:pPr>
        <w:pStyle w:val="ListBullet"/>
        <w:spacing w:after="40"/>
        <w:jc w:val="both"/>
      </w:pPr>
      <w:r>
        <w:rPr>
          <w:sz w:val="21"/>
        </w:rPr>
        <w:t>pedidos encaminhados a clientes-controladores e tempo de resposta destes.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1E7A47"/>
              <w:top w:val="nil" w:sz="0" w:color="1E7A47"/>
              <w:bottom w:val="nil" w:sz="0" w:color="1E7A47"/>
              <w:right w:val="nil" w:sz="0" w:color="1E7A47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1E7A47"/>
                <w:sz w:val="17"/>
              </w:rPr>
              <w:t xml:space="preserve">REGISTRE TAMBÉM OS PEDIDOS IMPROCEDENTES  </w:t>
            </w:r>
            <w:r>
              <w:rPr>
                <w:sz w:val="19"/>
              </w:rPr>
              <w:t>Pedido de pessoa não identificada, pedido duplicado, pedido fora do escopo — todos entram no registro. O volume total é o que demonstra que o canal funciona; um registro que contém apenas os pedidos atendidos com sucesso levanta a suspeita de seleção.</w:t>
            </w:r>
          </w:p>
        </w:tc>
      </w:tr>
    </w:tbl>
    <w:p>
      <w:pPr>
        <w:spacing w:after="60"/>
      </w:pP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</w:t>
            </w:r>
          </w:p>
        </w:tc>
        <w:tc>
          <w:tcPr>
            <w:tcW w:type="dxa" w:w="4734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Rogers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Controlador</w:t>
            </w:r>
          </w:p>
        </w:tc>
      </w:tr>
    </w:tbl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DOC-09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