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Liberation Sans" w:hAnsi="Liberation Sans"/>
          <w:b/>
          <w:color w:val="4A5560"/>
          <w:sz w:val="16"/>
        </w:rPr>
        <w:t>DOC-05</w:t>
      </w:r>
    </w:p>
    <w:p>
      <w:pPr>
        <w:spacing w:after="40"/>
      </w:pPr>
      <w:r>
        <w:rPr>
          <w:rFonts w:ascii="Liberation Sans" w:hAnsi="Liberation Sans"/>
          <w:b/>
          <w:color w:val="14365C"/>
          <w:sz w:val="30"/>
        </w:rPr>
        <w:t>AVISO DE PRIVACIDADE</w:t>
      </w:r>
    </w:p>
    <w:p>
      <w:pPr>
        <w:spacing w:after="200"/>
      </w:pPr>
      <w:r>
        <w:rPr>
          <w:rFonts w:ascii="Liberation Sans" w:hAnsi="Liberation Sans"/>
          <w:color w:val="4A5560"/>
          <w:sz w:val="20"/>
        </w:rPr>
        <w:t>Documento de transparência ao titular — arts. 6º, VI, e 9º da Lei nº 13.709/2018</w:t>
      </w:r>
    </w:p>
    <w:p>
      <w:pPr>
        <w:pBdr>
          <w:bottom w:val="single" w:sz="6" w:space="1" w:color="C9D1DA"/>
        </w:pBdr>
        <w:spacing w:after="160"/>
      </w:pPr>
    </w:p>
    <w:tbl>
      <w:tblPr>
        <w:tblW w:type="auto" w:w="0"/>
        <w:jc w:val="center"/>
        <w:tblLook w:firstColumn="1" w:firstRow="1" w:lastColumn="0" w:lastRow="0" w:noHBand="0" w:noVBand="1" w:val="04A0"/>
      </w:tblPr>
      <w:tblGrid>
        <w:gridCol w:w="9468"/>
      </w:tblGrid>
      <w:tr>
        <w:tc>
          <w:tcPr>
            <w:tcW w:type="dxa" w:w="9468"/>
            <w:shd w:fill="F4F7FA"/>
            <w:tcBorders>
              <w:left w:val="single" w:sz="18" w:color="B3610E"/>
              <w:top w:val="nil" w:sz="0" w:color="B3610E"/>
              <w:bottom w:val="nil" w:sz="0" w:color="B3610E"/>
              <w:right w:val="nil" w:sz="0" w:color="B3610E"/>
            </w:tcBorders>
          </w:tcPr>
          <w:p>
            <w:pPr>
              <w:jc w:val="both"/>
            </w:pPr>
            <w:r>
              <w:rPr>
                <w:rFonts w:ascii="Liberation Sans" w:hAnsi="Liberation Sans"/>
                <w:b/>
                <w:color w:val="B3610E"/>
                <w:sz w:val="17"/>
              </w:rPr>
              <w:t xml:space="preserve">INSTRUÇÃO DE PREENCHIMENTO — LEIA ANTES DE PUBLICAR  </w:t>
            </w:r>
            <w:r>
              <w:rPr>
                <w:sz w:val="19"/>
              </w:rPr>
              <w:t>Este aviso deve ser derivado do registro das operações de tratamento (ROPA), finalidade por finalidade. Publicar o aviso antes de concluir o ROPA produz um documento que declara operações inexistentes e omite as reais — e passa a ser, ele mesmo, prova da divergência entre o declarado e o praticado. Preencha a tabela do item 3 a partir do ROPA e exclua as linhas que não se aplicam.</w:t>
            </w:r>
          </w:p>
        </w:tc>
      </w:tr>
    </w:tbl>
    <w:p>
      <w:pPr>
        <w:spacing w:after="60"/>
      </w:pPr>
    </w:p>
    <w:p>
      <w:pPr>
        <w:jc w:val="both"/>
      </w:pPr>
      <w:r>
        <w:rPr>
          <w:i/>
          <w:sz w:val="21"/>
        </w:rPr>
        <w:t>Versão 1.0 — vigente desde ____/____/______ — [RAZÃO SOCIAL DO ESCRITÓRIO]</w:t>
      </w:r>
    </w:p>
    <w:p>
      <w:pPr>
        <w:spacing w:before="240" w:after="80"/>
      </w:pPr>
      <w:r>
        <w:rPr>
          <w:rFonts w:ascii="Liberation Sans" w:hAnsi="Liberation Sans"/>
          <w:b/>
          <w:color w:val="14365C"/>
          <w:sz w:val="23"/>
        </w:rPr>
        <w:t>1. Quem somos e quem responde pelos seus dados</w:t>
      </w:r>
    </w:p>
    <w:p>
      <w:pPr>
        <w:jc w:val="both"/>
      </w:pPr>
      <w:r>
        <w:rPr>
          <w:i w:val="0"/>
          <w:sz w:val="21"/>
        </w:rPr>
        <w:t>[RAZÃO SOCIAL DO ESCRITÓRIO], inscrita no CNPJ sob o nº [CNPJ], com sede em [ENDEREÇO COMPLETO], é responsável pelo tratamento dos dados pessoais descritos neste Aviso.</w:t>
      </w:r>
    </w:p>
    <w:p>
      <w:pPr>
        <w:jc w:val="both"/>
      </w:pPr>
      <w:r>
        <w:rPr>
          <w:i w:val="0"/>
          <w:sz w:val="21"/>
        </w:rPr>
        <w:t>Atuamos de duas formas distintas, e isso muda quem decide sobre os seus dados:</w:t>
      </w:r>
    </w:p>
    <w:tbl>
      <w:tblPr>
        <w:tblStyle w:val="TableGrid"/>
        <w:tblW w:type="auto" w:w="0"/>
        <w:jc w:val="center"/>
        <w:tblLook w:firstColumn="1" w:firstRow="1" w:lastColumn="0" w:lastRow="0" w:noHBand="0" w:noVBand="1" w:val="04A0"/>
      </w:tblPr>
      <w:tblGrid>
        <w:gridCol w:w="3156"/>
        <w:gridCol w:w="3156"/>
        <w:gridCol w:w="3156"/>
      </w:tblGrid>
      <w:tr>
        <w:tc>
          <w:tcPr>
            <w:tcW w:type="dxa" w:w="3061"/>
            <w:shd w:fill="14365C"/>
          </w:tcPr>
          <w:p>
            <w:r/>
            <w:r>
              <w:rPr>
                <w:rFonts w:ascii="Liberation Sans" w:hAnsi="Liberation Sans"/>
                <w:b/>
                <w:color w:val="FFFFFF"/>
                <w:sz w:val="16"/>
              </w:rPr>
              <w:t>Situação</w:t>
            </w:r>
          </w:p>
        </w:tc>
        <w:tc>
          <w:tcPr>
            <w:tcW w:type="dxa" w:w="1814"/>
            <w:shd w:fill="14365C"/>
          </w:tcPr>
          <w:p>
            <w:r/>
            <w:r>
              <w:rPr>
                <w:rFonts w:ascii="Liberation Sans" w:hAnsi="Liberation Sans"/>
                <w:b/>
                <w:color w:val="FFFFFF"/>
                <w:sz w:val="16"/>
              </w:rPr>
              <w:t>Nosso papel</w:t>
            </w:r>
          </w:p>
        </w:tc>
        <w:tc>
          <w:tcPr>
            <w:tcW w:type="dxa" w:w="4195"/>
            <w:shd w:fill="14365C"/>
          </w:tcPr>
          <w:p>
            <w:r/>
            <w:r>
              <w:rPr>
                <w:rFonts w:ascii="Liberation Sans" w:hAnsi="Liberation Sans"/>
                <w:b/>
                <w:color w:val="FFFFFF"/>
                <w:sz w:val="16"/>
              </w:rPr>
              <w:t>O que significa para você</w:t>
            </w:r>
          </w:p>
        </w:tc>
      </w:tr>
      <w:tr>
        <w:tc>
          <w:tcPr>
            <w:tcW w:type="dxa" w:w="3061"/>
          </w:tcPr>
          <w:p>
            <w:pPr>
              <w:spacing w:after="20"/>
            </w:pPr>
            <w:r/>
            <w:r>
              <w:rPr>
                <w:sz w:val="17"/>
              </w:rPr>
              <w:t>Você é nosso cliente pessoa física, ou colaborador, ou candidato a vaga, ou contato comercial</w:t>
            </w:r>
          </w:p>
        </w:tc>
        <w:tc>
          <w:tcPr>
            <w:tcW w:type="dxa" w:w="1814"/>
          </w:tcPr>
          <w:p>
            <w:pPr>
              <w:spacing w:after="20"/>
            </w:pPr>
            <w:r/>
            <w:r>
              <w:rPr>
                <w:sz w:val="17"/>
              </w:rPr>
              <w:t>Somos CONTROLADORES</w:t>
            </w:r>
          </w:p>
        </w:tc>
        <w:tc>
          <w:tcPr>
            <w:tcW w:type="dxa" w:w="4195"/>
          </w:tcPr>
          <w:p>
            <w:pPr>
              <w:spacing w:after="20"/>
            </w:pPr>
            <w:r/>
            <w:r>
              <w:rPr>
                <w:sz w:val="17"/>
              </w:rPr>
              <w:t>Decidimos as finalidades do tratamento. Você exerce seus direitos diretamente conosco, pelo canal do item 7.</w:t>
            </w:r>
          </w:p>
        </w:tc>
      </w:tr>
      <w:tr>
        <w:tc>
          <w:tcPr>
            <w:tcW w:type="dxa" w:w="3061"/>
          </w:tcPr>
          <w:p>
            <w:pPr>
              <w:spacing w:after="20"/>
            </w:pPr>
            <w:r/>
            <w:r>
              <w:rPr>
                <w:sz w:val="17"/>
              </w:rPr>
              <w:t>Você é empregado, sócio ou dependente de uma empresa que nos contratou para serviços contábeis, folha de pagamento ou obrigações acessórias</w:t>
            </w:r>
          </w:p>
        </w:tc>
        <w:tc>
          <w:tcPr>
            <w:tcW w:type="dxa" w:w="1814"/>
          </w:tcPr>
          <w:p>
            <w:pPr>
              <w:spacing w:after="20"/>
            </w:pPr>
            <w:r/>
            <w:r>
              <w:rPr>
                <w:sz w:val="17"/>
              </w:rPr>
              <w:t>Somos OPERADORES</w:t>
            </w:r>
          </w:p>
        </w:tc>
        <w:tc>
          <w:tcPr>
            <w:tcW w:type="dxa" w:w="4195"/>
          </w:tcPr>
          <w:p>
            <w:pPr>
              <w:spacing w:after="20"/>
            </w:pPr>
            <w:r/>
            <w:r>
              <w:rPr>
                <w:sz w:val="17"/>
              </w:rPr>
              <w:t>Tratamos seus dados por conta e ordem do seu empregador ou da empresa, que é o controlador. Encaminhe seu pedido a ele; se nos procurar, encaminharemos ao controlador e auxiliaremos na resposta.</w:t>
            </w:r>
          </w:p>
        </w:tc>
      </w:tr>
    </w:tbl>
    <w:p>
      <w:pPr>
        <w:spacing w:after="60"/>
      </w:pPr>
    </w:p>
    <w:p>
      <w:pPr>
        <w:spacing w:before="160" w:after="40"/>
      </w:pPr>
      <w:r>
        <w:rPr>
          <w:rFonts w:ascii="Liberation Sans" w:hAnsi="Liberation Sans"/>
          <w:b/>
          <w:color w:val="4A5560"/>
          <w:sz w:val="19"/>
        </w:rPr>
        <w:t>Encarregado pelo Tratamento de Dados Pessoais</w:t>
      </w:r>
    </w:p>
    <w:tbl>
      <w:tblPr>
        <w:tblStyle w:val="TableGrid"/>
        <w:tblW w:type="auto" w:w="0"/>
        <w:jc w:val="center"/>
        <w:tblLook w:firstColumn="1" w:firstRow="1" w:lastColumn="0" w:lastRow="0" w:noHBand="0" w:noVBand="1" w:val="04A0"/>
      </w:tblPr>
      <w:tblGrid>
        <w:gridCol w:w="4734"/>
        <w:gridCol w:w="4734"/>
      </w:tblGrid>
      <w:tr>
        <w:tc>
          <w:tcPr>
            <w:tcW w:type="dxa" w:w="2835"/>
            <w:shd w:fill="14365C"/>
          </w:tcPr>
          <w:p>
            <w:r/>
            <w:r>
              <w:rPr>
                <w:rFonts w:ascii="Liberation Sans" w:hAnsi="Liberation Sans"/>
                <w:b/>
                <w:color w:val="FFFFFF"/>
                <w:sz w:val="17"/>
              </w:rPr>
              <w:t>Campo</w:t>
            </w:r>
          </w:p>
        </w:tc>
        <w:tc>
          <w:tcPr>
            <w:tcW w:type="dxa" w:w="6236"/>
            <w:shd w:fill="14365C"/>
          </w:tcPr>
          <w:p>
            <w:r/>
            <w:r>
              <w:rPr>
                <w:rFonts w:ascii="Liberation Sans" w:hAnsi="Liberation Sans"/>
                <w:b/>
                <w:color w:val="FFFFFF"/>
                <w:sz w:val="17"/>
              </w:rPr>
              <w:t>Conteúdo</w:t>
            </w:r>
          </w:p>
        </w:tc>
      </w:tr>
      <w:tr>
        <w:tc>
          <w:tcPr>
            <w:tcW w:type="dxa" w:w="2835"/>
          </w:tcPr>
          <w:p>
            <w:pPr>
              <w:spacing w:after="20"/>
            </w:pPr>
            <w:r/>
            <w:r>
              <w:rPr>
                <w:sz w:val="18"/>
              </w:rPr>
              <w:t>Nome</w:t>
            </w:r>
          </w:p>
        </w:tc>
        <w:tc>
          <w:tcPr>
            <w:tcW w:type="dxa" w:w="6236"/>
          </w:tcPr>
          <w:p>
            <w:pPr>
              <w:spacing w:after="20"/>
            </w:pPr>
            <w:r/>
            <w:r>
              <w:rPr>
                <w:sz w:val="18"/>
              </w:rPr>
              <w:t>Pedro [SOBRENOME COMPLETO]</w:t>
            </w:r>
          </w:p>
        </w:tc>
      </w:tr>
      <w:tr>
        <w:tc>
          <w:tcPr>
            <w:tcW w:type="dxa" w:w="2835"/>
          </w:tcPr>
          <w:p>
            <w:pPr>
              <w:spacing w:after="20"/>
            </w:pPr>
            <w:r/>
            <w:r>
              <w:rPr>
                <w:sz w:val="18"/>
              </w:rPr>
              <w:t>Canal de contato</w:t>
            </w:r>
          </w:p>
        </w:tc>
        <w:tc>
          <w:tcPr>
            <w:tcW w:type="dxa" w:w="6236"/>
          </w:tcPr>
          <w:p>
            <w:pPr>
              <w:spacing w:after="20"/>
            </w:pPr>
            <w:r/>
            <w:r>
              <w:rPr>
                <w:sz w:val="18"/>
              </w:rPr>
              <w:t>[privacidade@escrinorte.com.br — criar canal dedicado]</w:t>
            </w:r>
          </w:p>
        </w:tc>
      </w:tr>
      <w:tr>
        <w:tc>
          <w:tcPr>
            <w:tcW w:type="dxa" w:w="2835"/>
          </w:tcPr>
          <w:p>
            <w:pPr>
              <w:spacing w:after="20"/>
            </w:pPr>
            <w:r/>
            <w:r>
              <w:rPr>
                <w:sz w:val="18"/>
              </w:rPr>
              <w:t>Endereço para correspondência</w:t>
            </w:r>
          </w:p>
        </w:tc>
        <w:tc>
          <w:tcPr>
            <w:tcW w:type="dxa" w:w="6236"/>
          </w:tcPr>
          <w:p>
            <w:pPr>
              <w:spacing w:after="20"/>
            </w:pPr>
            <w:r/>
            <w:r>
              <w:rPr>
                <w:sz w:val="18"/>
              </w:rPr>
              <w:t>[ENDEREÇO COMPLETO]</w:t>
            </w:r>
          </w:p>
        </w:tc>
      </w:tr>
    </w:tbl>
    <w:p>
      <w:pPr>
        <w:spacing w:after="60"/>
      </w:pPr>
    </w:p>
    <w:p>
      <w:pPr>
        <w:spacing w:before="240" w:after="80"/>
      </w:pPr>
      <w:r>
        <w:rPr>
          <w:rFonts w:ascii="Liberation Sans" w:hAnsi="Liberation Sans"/>
          <w:b/>
          <w:color w:val="14365C"/>
          <w:sz w:val="23"/>
        </w:rPr>
        <w:t>2. Princípios que seguimos</w:t>
      </w:r>
    </w:p>
    <w:p>
      <w:pPr>
        <w:jc w:val="both"/>
      </w:pPr>
      <w:r>
        <w:rPr>
          <w:i w:val="0"/>
          <w:sz w:val="21"/>
        </w:rPr>
        <w:t>Tratamos dados pessoais de boa-fé e observando os princípios do art. 6º da LGPD: finalidade, adequação, necessidade, livre acesso, qualidade dos dados, transparência, segurança, prevenção, não discriminação e responsabilização.</w:t>
      </w:r>
    </w:p>
    <w:p>
      <w:pPr>
        <w:spacing w:before="240" w:after="80"/>
      </w:pPr>
      <w:r>
        <w:rPr>
          <w:rFonts w:ascii="Liberation Sans" w:hAnsi="Liberation Sans"/>
          <w:b/>
          <w:color w:val="14365C"/>
          <w:sz w:val="23"/>
        </w:rPr>
        <w:t>3. Quais dados tratamos, para quê e com qual fundamento</w:t>
      </w:r>
    </w:p>
    <w:p>
      <w:pPr>
        <w:jc w:val="both"/>
      </w:pPr>
      <w:r>
        <w:rPr>
          <w:i/>
          <w:sz w:val="21"/>
        </w:rPr>
        <w:t>Preencher a partir do ROPA — uma linha por finalidade registrada. As linhas abaixo são exemplos típicos de escritório contábil e devem ser conferidas.</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2268"/>
            <w:shd w:fill="14365C"/>
          </w:tcPr>
          <w:p>
            <w:r/>
            <w:r>
              <w:rPr>
                <w:rFonts w:ascii="Liberation Sans" w:hAnsi="Liberation Sans"/>
                <w:b/>
                <w:color w:val="FFFFFF"/>
                <w:sz w:val="15"/>
              </w:rPr>
              <w:t>Finalidade</w:t>
            </w:r>
          </w:p>
        </w:tc>
        <w:tc>
          <w:tcPr>
            <w:tcW w:type="dxa" w:w="2154"/>
            <w:shd w:fill="14365C"/>
          </w:tcPr>
          <w:p>
            <w:r/>
            <w:r>
              <w:rPr>
                <w:rFonts w:ascii="Liberation Sans" w:hAnsi="Liberation Sans"/>
                <w:b/>
                <w:color w:val="FFFFFF"/>
                <w:sz w:val="15"/>
              </w:rPr>
              <w:t>Dados utilizados</w:t>
            </w:r>
          </w:p>
        </w:tc>
        <w:tc>
          <w:tcPr>
            <w:tcW w:type="dxa" w:w="2494"/>
            <w:shd w:fill="14365C"/>
          </w:tcPr>
          <w:p>
            <w:r/>
            <w:r>
              <w:rPr>
                <w:rFonts w:ascii="Liberation Sans" w:hAnsi="Liberation Sans"/>
                <w:b/>
                <w:color w:val="FFFFFF"/>
                <w:sz w:val="15"/>
              </w:rPr>
              <w:t>Fundamento legal (LGPD)</w:t>
            </w:r>
          </w:p>
        </w:tc>
        <w:tc>
          <w:tcPr>
            <w:tcW w:type="dxa" w:w="2154"/>
            <w:shd w:fill="14365C"/>
          </w:tcPr>
          <w:p>
            <w:r/>
            <w:r>
              <w:rPr>
                <w:rFonts w:ascii="Liberation Sans" w:hAnsi="Liberation Sans"/>
                <w:b/>
                <w:color w:val="FFFFFF"/>
                <w:sz w:val="15"/>
              </w:rPr>
              <w:t>Prazo de guarda</w:t>
            </w:r>
          </w:p>
        </w:tc>
      </w:tr>
      <w:tr>
        <w:tc>
          <w:tcPr>
            <w:tcW w:type="dxa" w:w="2268"/>
          </w:tcPr>
          <w:p>
            <w:pPr>
              <w:spacing w:after="20"/>
            </w:pPr>
            <w:r/>
            <w:r>
              <w:rPr>
                <w:sz w:val="16"/>
              </w:rPr>
              <w:t>Celebrar e executar o contrato de prestação de serviços contábeis</w:t>
            </w:r>
          </w:p>
        </w:tc>
        <w:tc>
          <w:tcPr>
            <w:tcW w:type="dxa" w:w="2154"/>
          </w:tcPr>
          <w:p>
            <w:pPr>
              <w:spacing w:after="20"/>
            </w:pPr>
            <w:r/>
            <w:r>
              <w:rPr>
                <w:sz w:val="16"/>
              </w:rPr>
              <w:t>Nome, CPF/CNPJ, endereço, e-mail, telefone, dados de representante</w:t>
            </w:r>
          </w:p>
        </w:tc>
        <w:tc>
          <w:tcPr>
            <w:tcW w:type="dxa" w:w="2494"/>
          </w:tcPr>
          <w:p>
            <w:pPr>
              <w:spacing w:after="20"/>
            </w:pPr>
            <w:r/>
            <w:r>
              <w:rPr>
                <w:sz w:val="16"/>
              </w:rPr>
              <w:t>Art. 7º, V — execução de contrato</w:t>
            </w:r>
          </w:p>
        </w:tc>
        <w:tc>
          <w:tcPr>
            <w:tcW w:type="dxa" w:w="2154"/>
          </w:tcPr>
          <w:p>
            <w:pPr>
              <w:spacing w:after="20"/>
            </w:pPr>
            <w:r/>
            <w:r>
              <w:rPr>
                <w:sz w:val="16"/>
              </w:rPr>
              <w:t>Durante a vigência; após, prazo prescricional</w:t>
            </w:r>
          </w:p>
        </w:tc>
      </w:tr>
      <w:tr>
        <w:tc>
          <w:tcPr>
            <w:tcW w:type="dxa" w:w="2268"/>
          </w:tcPr>
          <w:p>
            <w:pPr>
              <w:spacing w:after="20"/>
            </w:pPr>
            <w:r/>
            <w:r>
              <w:rPr>
                <w:sz w:val="16"/>
              </w:rPr>
              <w:t>Elaborar escrituração contábil, fiscal e obrigações acessórias</w:t>
            </w:r>
          </w:p>
        </w:tc>
        <w:tc>
          <w:tcPr>
            <w:tcW w:type="dxa" w:w="2154"/>
          </w:tcPr>
          <w:p>
            <w:pPr>
              <w:spacing w:after="20"/>
            </w:pPr>
            <w:r/>
            <w:r>
              <w:rPr>
                <w:sz w:val="16"/>
              </w:rPr>
              <w:t>Dados cadastrais, fiscais e financeiros</w:t>
            </w:r>
          </w:p>
        </w:tc>
        <w:tc>
          <w:tcPr>
            <w:tcW w:type="dxa" w:w="2494"/>
          </w:tcPr>
          <w:p>
            <w:pPr>
              <w:spacing w:after="20"/>
            </w:pPr>
            <w:r/>
            <w:r>
              <w:rPr>
                <w:sz w:val="16"/>
              </w:rPr>
              <w:t>Art. 7º, II — cumprimento de obrigação legal e regulatória</w:t>
            </w:r>
          </w:p>
        </w:tc>
        <w:tc>
          <w:tcPr>
            <w:tcW w:type="dxa" w:w="2154"/>
          </w:tcPr>
          <w:p>
            <w:pPr>
              <w:spacing w:after="20"/>
            </w:pPr>
            <w:r/>
            <w:r>
              <w:rPr>
                <w:sz w:val="16"/>
              </w:rPr>
              <w:t>Prazo da legislação fiscal aplicável</w:t>
            </w:r>
          </w:p>
        </w:tc>
      </w:tr>
      <w:tr>
        <w:tc>
          <w:tcPr>
            <w:tcW w:type="dxa" w:w="2268"/>
          </w:tcPr>
          <w:p>
            <w:pPr>
              <w:spacing w:after="20"/>
            </w:pPr>
            <w:r/>
            <w:r>
              <w:rPr>
                <w:sz w:val="16"/>
              </w:rPr>
              <w:t>Elaborar declaração de imposto de renda de pessoa física</w:t>
            </w:r>
          </w:p>
        </w:tc>
        <w:tc>
          <w:tcPr>
            <w:tcW w:type="dxa" w:w="2154"/>
          </w:tcPr>
          <w:p>
            <w:pPr>
              <w:spacing w:after="20"/>
            </w:pPr>
            <w:r/>
            <w:r>
              <w:rPr>
                <w:sz w:val="16"/>
              </w:rPr>
              <w:t>Dados de rendimento, bens, dependentes, despesas médicas e de instrução</w:t>
            </w:r>
          </w:p>
        </w:tc>
        <w:tc>
          <w:tcPr>
            <w:tcW w:type="dxa" w:w="2494"/>
          </w:tcPr>
          <w:p>
            <w:pPr>
              <w:spacing w:after="20"/>
            </w:pPr>
            <w:r/>
            <w:r>
              <w:rPr>
                <w:sz w:val="16"/>
              </w:rPr>
              <w:t>Art. 7º, II — obrigação legal; dados de saúde: art. 11, II, 'a'</w:t>
            </w:r>
          </w:p>
        </w:tc>
        <w:tc>
          <w:tcPr>
            <w:tcW w:type="dxa" w:w="2154"/>
          </w:tcPr>
          <w:p>
            <w:pPr>
              <w:spacing w:after="20"/>
            </w:pPr>
            <w:r/>
            <w:r>
              <w:rPr>
                <w:sz w:val="16"/>
              </w:rPr>
              <w:t>Prazo da legislação fiscal aplicável</w:t>
            </w:r>
          </w:p>
        </w:tc>
      </w:tr>
      <w:tr>
        <w:tc>
          <w:tcPr>
            <w:tcW w:type="dxa" w:w="2268"/>
          </w:tcPr>
          <w:p>
            <w:pPr>
              <w:spacing w:after="20"/>
            </w:pPr>
            <w:r/>
            <w:r>
              <w:rPr>
                <w:sz w:val="16"/>
              </w:rPr>
              <w:t>Emitir nota fiscal e efetuar cobrança</w:t>
            </w:r>
          </w:p>
        </w:tc>
        <w:tc>
          <w:tcPr>
            <w:tcW w:type="dxa" w:w="2154"/>
          </w:tcPr>
          <w:p>
            <w:pPr>
              <w:spacing w:after="20"/>
            </w:pPr>
            <w:r/>
            <w:r>
              <w:rPr>
                <w:sz w:val="16"/>
              </w:rPr>
              <w:t>Nome, CPF/CNPJ, endereço, inscrição fiscal, dados de pagamento</w:t>
            </w:r>
          </w:p>
        </w:tc>
        <w:tc>
          <w:tcPr>
            <w:tcW w:type="dxa" w:w="2494"/>
          </w:tcPr>
          <w:p>
            <w:pPr>
              <w:spacing w:after="20"/>
            </w:pPr>
            <w:r/>
            <w:r>
              <w:rPr>
                <w:sz w:val="16"/>
              </w:rPr>
              <w:t>Art. 7º, II e V</w:t>
            </w:r>
          </w:p>
        </w:tc>
        <w:tc>
          <w:tcPr>
            <w:tcW w:type="dxa" w:w="2154"/>
          </w:tcPr>
          <w:p>
            <w:pPr>
              <w:spacing w:after="20"/>
            </w:pPr>
            <w:r/>
            <w:r>
              <w:rPr>
                <w:sz w:val="16"/>
              </w:rPr>
              <w:t>Prazo fiscal; inadimplência: até extinção da dívida + prescrição</w:t>
            </w:r>
          </w:p>
        </w:tc>
      </w:tr>
      <w:tr>
        <w:tc>
          <w:tcPr>
            <w:tcW w:type="dxa" w:w="2268"/>
          </w:tcPr>
          <w:p>
            <w:pPr>
              <w:spacing w:after="20"/>
            </w:pPr>
            <w:r/>
            <w:r>
              <w:rPr>
                <w:sz w:val="16"/>
              </w:rPr>
              <w:t>Atender solicitações e prestar suporte</w:t>
            </w:r>
          </w:p>
        </w:tc>
        <w:tc>
          <w:tcPr>
            <w:tcW w:type="dxa" w:w="2154"/>
          </w:tcPr>
          <w:p>
            <w:pPr>
              <w:spacing w:after="20"/>
            </w:pPr>
            <w:r/>
            <w:r>
              <w:rPr>
                <w:sz w:val="16"/>
              </w:rPr>
              <w:t>Nome, contato, histórico do atendimento</w:t>
            </w:r>
          </w:p>
        </w:tc>
        <w:tc>
          <w:tcPr>
            <w:tcW w:type="dxa" w:w="2494"/>
          </w:tcPr>
          <w:p>
            <w:pPr>
              <w:spacing w:after="20"/>
            </w:pPr>
            <w:r/>
            <w:r>
              <w:rPr>
                <w:sz w:val="16"/>
              </w:rPr>
              <w:t>Art. 7º, V — execução de contrato</w:t>
            </w:r>
          </w:p>
        </w:tc>
        <w:tc>
          <w:tcPr>
            <w:tcW w:type="dxa" w:w="2154"/>
          </w:tcPr>
          <w:p>
            <w:pPr>
              <w:spacing w:after="20"/>
            </w:pPr>
            <w:r/>
            <w:r>
              <w:rPr>
                <w:sz w:val="16"/>
              </w:rPr>
              <w:t>[prazo] após o encerramento do atendimento</w:t>
            </w:r>
          </w:p>
        </w:tc>
      </w:tr>
      <w:tr>
        <w:tc>
          <w:tcPr>
            <w:tcW w:type="dxa" w:w="2268"/>
          </w:tcPr>
          <w:p>
            <w:pPr>
              <w:spacing w:after="20"/>
            </w:pPr>
            <w:r/>
            <w:r>
              <w:rPr>
                <w:sz w:val="16"/>
              </w:rPr>
              <w:t>Defender nossos direitos em processo judicial, administrativo ou arbitral</w:t>
            </w:r>
          </w:p>
        </w:tc>
        <w:tc>
          <w:tcPr>
            <w:tcW w:type="dxa" w:w="2154"/>
          </w:tcPr>
          <w:p>
            <w:pPr>
              <w:spacing w:after="20"/>
            </w:pPr>
            <w:r/>
            <w:r>
              <w:rPr>
                <w:sz w:val="16"/>
              </w:rPr>
              <w:t>Contrato, comunicações, documentos do serviço prestado</w:t>
            </w:r>
          </w:p>
        </w:tc>
        <w:tc>
          <w:tcPr>
            <w:tcW w:type="dxa" w:w="2494"/>
          </w:tcPr>
          <w:p>
            <w:pPr>
              <w:spacing w:after="20"/>
            </w:pPr>
            <w:r/>
            <w:r>
              <w:rPr>
                <w:sz w:val="16"/>
              </w:rPr>
              <w:t>Art. 7º, VI — exercício regular de direitos</w:t>
            </w:r>
          </w:p>
        </w:tc>
        <w:tc>
          <w:tcPr>
            <w:tcW w:type="dxa" w:w="2154"/>
          </w:tcPr>
          <w:p>
            <w:pPr>
              <w:spacing w:after="20"/>
            </w:pPr>
            <w:r/>
            <w:r>
              <w:rPr>
                <w:sz w:val="16"/>
              </w:rPr>
              <w:t>Prazo prescricional aplicável</w:t>
            </w:r>
          </w:p>
        </w:tc>
      </w:tr>
      <w:tr>
        <w:tc>
          <w:tcPr>
            <w:tcW w:type="dxa" w:w="2268"/>
          </w:tcPr>
          <w:p>
            <w:pPr>
              <w:spacing w:after="20"/>
            </w:pPr>
            <w:r/>
            <w:r>
              <w:rPr>
                <w:sz w:val="16"/>
              </w:rPr>
              <w:t>Atender aos seus pedidos de titular previstos na LGPD</w:t>
            </w:r>
          </w:p>
        </w:tc>
        <w:tc>
          <w:tcPr>
            <w:tcW w:type="dxa" w:w="2154"/>
          </w:tcPr>
          <w:p>
            <w:pPr>
              <w:spacing w:after="20"/>
            </w:pPr>
            <w:r/>
            <w:r>
              <w:rPr>
                <w:sz w:val="16"/>
              </w:rPr>
              <w:t>Nome, contato, pedido e resposta</w:t>
            </w:r>
          </w:p>
        </w:tc>
        <w:tc>
          <w:tcPr>
            <w:tcW w:type="dxa" w:w="2494"/>
          </w:tcPr>
          <w:p>
            <w:pPr>
              <w:spacing w:after="20"/>
            </w:pPr>
            <w:r/>
            <w:r>
              <w:rPr>
                <w:sz w:val="16"/>
              </w:rPr>
              <w:t>Art. 7º, II — cumprimento da própria LGPD</w:t>
            </w:r>
          </w:p>
        </w:tc>
        <w:tc>
          <w:tcPr>
            <w:tcW w:type="dxa" w:w="2154"/>
          </w:tcPr>
          <w:p>
            <w:pPr>
              <w:spacing w:after="20"/>
            </w:pPr>
            <w:r/>
            <w:r>
              <w:rPr>
                <w:sz w:val="16"/>
              </w:rPr>
              <w:t>[prazo] para fins de prestação de contas</w:t>
            </w:r>
          </w:p>
        </w:tc>
      </w:tr>
      <w:tr>
        <w:tc>
          <w:tcPr>
            <w:tcW w:type="dxa" w:w="2268"/>
          </w:tcPr>
          <w:p>
            <w:pPr>
              <w:spacing w:after="20"/>
            </w:pPr>
            <w:r/>
            <w:r>
              <w:rPr>
                <w:sz w:val="16"/>
              </w:rPr>
              <w:t>Comunicar novidades contábeis e fiscais a clientes ativos</w:t>
            </w:r>
          </w:p>
        </w:tc>
        <w:tc>
          <w:tcPr>
            <w:tcW w:type="dxa" w:w="2154"/>
          </w:tcPr>
          <w:p>
            <w:pPr>
              <w:spacing w:after="20"/>
            </w:pPr>
            <w:r/>
            <w:r>
              <w:rPr>
                <w:sz w:val="16"/>
              </w:rPr>
              <w:t>Nome, e-mail, segmento</w:t>
            </w:r>
          </w:p>
        </w:tc>
        <w:tc>
          <w:tcPr>
            <w:tcW w:type="dxa" w:w="2494"/>
          </w:tcPr>
          <w:p>
            <w:pPr>
              <w:spacing w:after="20"/>
            </w:pPr>
            <w:r/>
            <w:r>
              <w:rPr>
                <w:sz w:val="16"/>
              </w:rPr>
              <w:t>Art. 7º, IX — legítimo interesse, com avaliação documentada e direito de oposição</w:t>
            </w:r>
          </w:p>
        </w:tc>
        <w:tc>
          <w:tcPr>
            <w:tcW w:type="dxa" w:w="2154"/>
          </w:tcPr>
          <w:p>
            <w:pPr>
              <w:spacing w:after="20"/>
            </w:pPr>
            <w:r/>
            <w:r>
              <w:rPr>
                <w:sz w:val="16"/>
              </w:rPr>
              <w:t>Até manifestação de oposição</w:t>
            </w:r>
          </w:p>
        </w:tc>
      </w:tr>
    </w:tbl>
    <w:p>
      <w:pPr>
        <w:spacing w:after="60"/>
      </w:pPr>
    </w:p>
    <w:p>
      <w:pPr>
        <w:spacing w:before="240" w:after="80"/>
      </w:pPr>
      <w:r>
        <w:rPr>
          <w:rFonts w:ascii="Liberation Sans" w:hAnsi="Liberation Sans"/>
          <w:b/>
          <w:color w:val="14365C"/>
          <w:sz w:val="23"/>
        </w:rPr>
        <w:t>4. Dados sensíveis</w:t>
      </w:r>
    </w:p>
    <w:p>
      <w:pPr>
        <w:jc w:val="both"/>
      </w:pPr>
      <w:r>
        <w:rPr>
          <w:i w:val="0"/>
          <w:sz w:val="21"/>
        </w:rPr>
        <w:t>Tratamos dados pessoais sensíveis em situações específicas: dados de saúde (atestados médicos, atestados de saúde ocupacional e despesas médicas em declaração de IR) e dado biométrico (quando o cliente utiliza registro de ponto por biometria e nos cabe processar a jornada). Esse tratamento se dá exclusivamente com fundamento no art. 11 da LGPD — tipicamente no inciso II, alínea 'a' (cumprimento de obrigação legal ou regulatória trabalhista e previdenciária) — e nunca com base em legítimo interesse, hipótese que o art. 11 não admite para dados sensíveis.</w:t>
      </w:r>
    </w:p>
    <w:tbl>
      <w:tblPr>
        <w:tblW w:type="auto" w:w="0"/>
        <w:jc w:val="center"/>
        <w:tblLook w:firstColumn="1" w:firstRow="1" w:lastColumn="0" w:lastRow="0" w:noHBand="0" w:noVBand="1" w:val="04A0"/>
      </w:tblPr>
      <w:tblGrid>
        <w:gridCol w:w="9468"/>
      </w:tblGrid>
      <w:tr>
        <w:tc>
          <w:tcPr>
            <w:tcW w:type="dxa" w:w="9468"/>
            <w:shd w:fill="F4F7FA"/>
            <w:tcBorders>
              <w:left w:val="single" w:sz="18" w:color="1E7A47"/>
              <w:top w:val="nil" w:sz="0" w:color="1E7A47"/>
              <w:bottom w:val="nil" w:sz="0" w:color="1E7A47"/>
              <w:right w:val="nil" w:sz="0" w:color="1E7A47"/>
            </w:tcBorders>
          </w:tcPr>
          <w:p>
            <w:pPr>
              <w:jc w:val="both"/>
            </w:pPr>
            <w:r>
              <w:rPr>
                <w:rFonts w:ascii="Liberation Sans" w:hAnsi="Liberation Sans"/>
                <w:b/>
                <w:color w:val="1E7A47"/>
                <w:sz w:val="17"/>
              </w:rPr>
              <w:t xml:space="preserve">ACESSO RESTRITO  </w:t>
            </w:r>
            <w:r>
              <w:rPr>
                <w:sz w:val="19"/>
              </w:rPr>
              <w:t>Dados sensíveis são armazenados com permissão de acesso mais restrita que os demais dados, limitada aos colaboradores cuja função exige o tratamento.</w:t>
            </w:r>
          </w:p>
        </w:tc>
      </w:tr>
    </w:tbl>
    <w:p>
      <w:pPr>
        <w:spacing w:after="60"/>
      </w:pPr>
    </w:p>
    <w:p>
      <w:pPr>
        <w:spacing w:before="240" w:after="80"/>
      </w:pPr>
      <w:r>
        <w:rPr>
          <w:rFonts w:ascii="Liberation Sans" w:hAnsi="Liberation Sans"/>
          <w:b/>
          <w:color w:val="14365C"/>
          <w:sz w:val="23"/>
        </w:rPr>
        <w:t>5. Dados de crianças e adolescentes</w:t>
      </w:r>
    </w:p>
    <w:p>
      <w:pPr>
        <w:jc w:val="both"/>
      </w:pPr>
      <w:r>
        <w:rPr>
          <w:i w:val="0"/>
          <w:sz w:val="21"/>
        </w:rPr>
        <w:t>Tratamos dados de adolescentes nas hipóteses de menor aprendiz e de dependentes informados pelos clientes para fins de folha de pagamento, benefícios e declaração de imposto de renda. O tratamento observa o melhor interesse do titular, limita-se ao estritamente necessário ao cumprimento das obrigações legais aplicáveis e não é utilizado para qualquer finalidade comercial.</w:t>
      </w:r>
    </w:p>
    <w:p>
      <w:pPr>
        <w:spacing w:before="240" w:after="80"/>
      </w:pPr>
      <w:r>
        <w:rPr>
          <w:rFonts w:ascii="Liberation Sans" w:hAnsi="Liberation Sans"/>
          <w:b/>
          <w:color w:val="14365C"/>
          <w:sz w:val="23"/>
        </w:rPr>
        <w:t>6. Com quem compartilhamos</w:t>
      </w:r>
    </w:p>
    <w:tbl>
      <w:tblPr>
        <w:tblStyle w:val="TableGrid"/>
        <w:tblW w:type="auto" w:w="0"/>
        <w:jc w:val="center"/>
        <w:tblLook w:firstColumn="1" w:firstRow="1" w:lastColumn="0" w:lastRow="0" w:noHBand="0" w:noVBand="1" w:val="04A0"/>
      </w:tblPr>
      <w:tblGrid>
        <w:gridCol w:w="4734"/>
        <w:gridCol w:w="4734"/>
      </w:tblGrid>
      <w:tr>
        <w:tc>
          <w:tcPr>
            <w:tcW w:type="dxa" w:w="3402"/>
            <w:shd w:fill="14365C"/>
          </w:tcPr>
          <w:p>
            <w:r/>
            <w:r>
              <w:rPr>
                <w:rFonts w:ascii="Liberation Sans" w:hAnsi="Liberation Sans"/>
                <w:b/>
                <w:color w:val="FFFFFF"/>
                <w:sz w:val="17"/>
              </w:rPr>
              <w:t>Destinatário</w:t>
            </w:r>
          </w:p>
        </w:tc>
        <w:tc>
          <w:tcPr>
            <w:tcW w:type="dxa" w:w="5669"/>
            <w:shd w:fill="14365C"/>
          </w:tcPr>
          <w:p>
            <w:r/>
            <w:r>
              <w:rPr>
                <w:rFonts w:ascii="Liberation Sans" w:hAnsi="Liberation Sans"/>
                <w:b/>
                <w:color w:val="FFFFFF"/>
                <w:sz w:val="17"/>
              </w:rPr>
              <w:t>Finalidade do compartilhamento</w:t>
            </w:r>
          </w:p>
        </w:tc>
      </w:tr>
      <w:tr>
        <w:tc>
          <w:tcPr>
            <w:tcW w:type="dxa" w:w="3402"/>
          </w:tcPr>
          <w:p>
            <w:pPr>
              <w:spacing w:after="20"/>
            </w:pPr>
            <w:r/>
            <w:r>
              <w:rPr>
                <w:sz w:val="18"/>
              </w:rPr>
              <w:t>Órgãos públicos e sistemas oficiais (Receita Federal, eSocial, Caixa, prefeituras, conselhos)</w:t>
            </w:r>
          </w:p>
        </w:tc>
        <w:tc>
          <w:tcPr>
            <w:tcW w:type="dxa" w:w="5669"/>
          </w:tcPr>
          <w:p>
            <w:pPr>
              <w:spacing w:after="20"/>
            </w:pPr>
            <w:r/>
            <w:r>
              <w:rPr>
                <w:sz w:val="18"/>
              </w:rPr>
              <w:t>Cumprimento de obrigação legal e regulatória</w:t>
            </w:r>
          </w:p>
        </w:tc>
      </w:tr>
      <w:tr>
        <w:tc>
          <w:tcPr>
            <w:tcW w:type="dxa" w:w="3402"/>
          </w:tcPr>
          <w:p>
            <w:pPr>
              <w:spacing w:after="20"/>
            </w:pPr>
            <w:r/>
            <w:r>
              <w:rPr>
                <w:sz w:val="18"/>
              </w:rPr>
              <w:t>Instituições financeiras</w:t>
            </w:r>
          </w:p>
        </w:tc>
        <w:tc>
          <w:tcPr>
            <w:tcW w:type="dxa" w:w="5669"/>
          </w:tcPr>
          <w:p>
            <w:pPr>
              <w:spacing w:after="20"/>
            </w:pPr>
            <w:r/>
            <w:r>
              <w:rPr>
                <w:sz w:val="18"/>
              </w:rPr>
              <w:t>Processamento de folha e pagamentos</w:t>
            </w:r>
          </w:p>
        </w:tc>
      </w:tr>
      <w:tr>
        <w:tc>
          <w:tcPr>
            <w:tcW w:type="dxa" w:w="3402"/>
          </w:tcPr>
          <w:p>
            <w:pPr>
              <w:spacing w:after="20"/>
            </w:pPr>
            <w:r/>
            <w:r>
              <w:rPr>
                <w:sz w:val="18"/>
              </w:rPr>
              <w:t>Provedores de sistema contábil, de folha e de armazenamento em nuvem</w:t>
            </w:r>
          </w:p>
        </w:tc>
        <w:tc>
          <w:tcPr>
            <w:tcW w:type="dxa" w:w="5669"/>
          </w:tcPr>
          <w:p>
            <w:pPr>
              <w:spacing w:after="20"/>
            </w:pPr>
            <w:r/>
            <w:r>
              <w:rPr>
                <w:sz w:val="18"/>
              </w:rPr>
              <w:t>Operadores, sob contrato e instrução nossa</w:t>
            </w:r>
          </w:p>
        </w:tc>
      </w:tr>
      <w:tr>
        <w:tc>
          <w:tcPr>
            <w:tcW w:type="dxa" w:w="3402"/>
          </w:tcPr>
          <w:p>
            <w:pPr>
              <w:spacing w:after="20"/>
            </w:pPr>
            <w:r/>
            <w:r>
              <w:rPr>
                <w:sz w:val="18"/>
              </w:rPr>
              <w:t>Certificadora digital</w:t>
            </w:r>
          </w:p>
        </w:tc>
        <w:tc>
          <w:tcPr>
            <w:tcW w:type="dxa" w:w="5669"/>
          </w:tcPr>
          <w:p>
            <w:pPr>
              <w:spacing w:after="20"/>
            </w:pPr>
            <w:r/>
            <w:r>
              <w:rPr>
                <w:sz w:val="18"/>
              </w:rPr>
              <w:t>Emissão e uso de certificado digital</w:t>
            </w:r>
          </w:p>
        </w:tc>
      </w:tr>
      <w:tr>
        <w:tc>
          <w:tcPr>
            <w:tcW w:type="dxa" w:w="3402"/>
          </w:tcPr>
          <w:p>
            <w:pPr>
              <w:spacing w:after="20"/>
            </w:pPr>
            <w:r/>
            <w:r>
              <w:rPr>
                <w:sz w:val="18"/>
              </w:rPr>
              <w:t>Assessoria jurídica</w:t>
            </w:r>
          </w:p>
        </w:tc>
        <w:tc>
          <w:tcPr>
            <w:tcW w:type="dxa" w:w="5669"/>
          </w:tcPr>
          <w:p>
            <w:pPr>
              <w:spacing w:after="20"/>
            </w:pPr>
            <w:r/>
            <w:r>
              <w:rPr>
                <w:sz w:val="18"/>
              </w:rPr>
              <w:t>Defesa de direitos, quando necessário</w:t>
            </w:r>
          </w:p>
        </w:tc>
      </w:tr>
      <w:tr>
        <w:tc>
          <w:tcPr>
            <w:tcW w:type="dxa" w:w="3402"/>
          </w:tcPr>
          <w:p>
            <w:pPr>
              <w:spacing w:after="20"/>
            </w:pPr>
            <w:r/>
            <w:r>
              <w:rPr>
                <w:sz w:val="18"/>
              </w:rPr>
              <w:t>Clientes-controladores</w:t>
            </w:r>
          </w:p>
        </w:tc>
        <w:tc>
          <w:tcPr>
            <w:tcW w:type="dxa" w:w="5669"/>
          </w:tcPr>
          <w:p>
            <w:pPr>
              <w:spacing w:after="20"/>
            </w:pPr>
            <w:r/>
            <w:r>
              <w:rPr>
                <w:sz w:val="18"/>
              </w:rPr>
              <w:t>Devolução de informação tratada por conta e ordem deles</w:t>
            </w:r>
          </w:p>
        </w:tc>
      </w:tr>
    </w:tbl>
    <w:p>
      <w:pPr>
        <w:spacing w:after="60"/>
      </w:pPr>
    </w:p>
    <w:p>
      <w:pPr>
        <w:jc w:val="both"/>
      </w:pPr>
      <w:r>
        <w:rPr>
          <w:i w:val="0"/>
          <w:sz w:val="21"/>
        </w:rPr>
        <w:t>Não vendemos dados pessoais e não os compartilhamos para finalidade publicitária de terceiros.</w:t>
      </w:r>
    </w:p>
    <w:p>
      <w:pPr>
        <w:spacing w:before="240" w:after="80"/>
      </w:pPr>
      <w:r>
        <w:rPr>
          <w:rFonts w:ascii="Liberation Sans" w:hAnsi="Liberation Sans"/>
          <w:b/>
          <w:color w:val="14365C"/>
          <w:sz w:val="23"/>
        </w:rPr>
        <w:t>7. Transferência internacional</w:t>
      </w:r>
    </w:p>
    <w:p>
      <w:pPr>
        <w:jc w:val="both"/>
      </w:pPr>
      <w:r>
        <w:rPr>
          <w:i w:val="0"/>
          <w:sz w:val="21"/>
        </w:rPr>
        <w:t>[PREENCHER COM A SITUAÇÃO REAL — este item não pode ficar em branco nem genérico.] Se algum sistema utilizado (armazenamento em nuvem, e-mail corporativo, sistema contábil, backup) estiver hospedado fora do Brasil, há transferência internacional de dados e é obrigatório declarar: os países de destino, a finalidade e o mecanismo do art. 33 da LGPD utilizado — tipicamente as cláusulas-padrão contratuais aprovadas pela ANPD na Resolução CD/ANPD nº 19/2024. Se não houver transferência, declarar expressamente que não há.</w:t>
      </w:r>
    </w:p>
    <w:tbl>
      <w:tblPr>
        <w:tblW w:type="auto" w:w="0"/>
        <w:jc w:val="center"/>
        <w:tblLook w:firstColumn="1" w:firstRow="1" w:lastColumn="0" w:lastRow="0" w:noHBand="0" w:noVBand="1" w:val="04A0"/>
      </w:tblPr>
      <w:tblGrid>
        <w:gridCol w:w="9468"/>
      </w:tblGrid>
      <w:tr>
        <w:tc>
          <w:tcPr>
            <w:tcW w:type="dxa" w:w="9468"/>
            <w:shd w:fill="F4F7FA"/>
            <w:tcBorders>
              <w:left w:val="single" w:sz="18" w:color="A62121"/>
              <w:top w:val="nil" w:sz="0" w:color="A62121"/>
              <w:bottom w:val="nil" w:sz="0" w:color="A62121"/>
              <w:right w:val="nil" w:sz="0" w:color="A62121"/>
            </w:tcBorders>
          </w:tcPr>
          <w:p>
            <w:pPr>
              <w:jc w:val="both"/>
            </w:pPr>
            <w:r>
              <w:rPr>
                <w:rFonts w:ascii="Liberation Sans" w:hAnsi="Liberation Sans"/>
                <w:b/>
                <w:color w:val="A62121"/>
                <w:sz w:val="17"/>
              </w:rPr>
              <w:t xml:space="preserve">VERIFICAÇÃO OBRIGATÓRIA ANTES DE PUBLICAR  </w:t>
            </w:r>
            <w:r>
              <w:rPr>
                <w:sz w:val="19"/>
              </w:rPr>
              <w:t>Praticamente todo escritório contábil realiza transferência internacional sem perceber — por usar e-mail, nuvem ou sistema hospedado no exterior. Responda: quais fornecedores armazenam ou acessam dados fora do Brasil? Para cada um, qual o mecanismo do art. 33 e existe documento assinado? Se a resposta for 'não sei', o ROPA está incompleto no bloco de compartilhamento.</w:t>
            </w:r>
          </w:p>
        </w:tc>
      </w:tr>
    </w:tbl>
    <w:p>
      <w:pPr>
        <w:spacing w:after="60"/>
      </w:pPr>
    </w:p>
    <w:p>
      <w:pPr>
        <w:spacing w:before="240" w:after="80"/>
      </w:pPr>
      <w:r>
        <w:rPr>
          <w:rFonts w:ascii="Liberation Sans" w:hAnsi="Liberation Sans"/>
          <w:b/>
          <w:color w:val="14365C"/>
          <w:sz w:val="23"/>
        </w:rPr>
        <w:t>8. Seus direitos</w:t>
      </w:r>
    </w:p>
    <w:p>
      <w:pPr>
        <w:jc w:val="both"/>
      </w:pPr>
      <w:r>
        <w:rPr>
          <w:i w:val="0"/>
          <w:sz w:val="21"/>
        </w:rPr>
        <w:t>A qualquer momento e sem nenhum custo, você pode nos solicitar:</w:t>
      </w:r>
    </w:p>
    <w:p>
      <w:pPr>
        <w:pStyle w:val="ListBullet"/>
        <w:spacing w:after="40"/>
        <w:jc w:val="both"/>
      </w:pPr>
      <w:r>
        <w:rPr>
          <w:sz w:val="21"/>
        </w:rPr>
        <w:t>confirmação da existência de tratamento dos seus dados;</w:t>
      </w:r>
    </w:p>
    <w:p>
      <w:pPr>
        <w:pStyle w:val="ListBullet"/>
        <w:spacing w:after="40"/>
        <w:jc w:val="both"/>
      </w:pPr>
      <w:r>
        <w:rPr>
          <w:sz w:val="21"/>
        </w:rPr>
        <w:t>acesso aos seus dados;</w:t>
      </w:r>
    </w:p>
    <w:p>
      <w:pPr>
        <w:pStyle w:val="ListBullet"/>
        <w:spacing w:after="40"/>
        <w:jc w:val="both"/>
      </w:pPr>
      <w:r>
        <w:rPr>
          <w:sz w:val="21"/>
        </w:rPr>
        <w:t>correção de dados incompletos, inexatos ou desatualizados;</w:t>
      </w:r>
    </w:p>
    <w:p>
      <w:pPr>
        <w:pStyle w:val="ListBullet"/>
        <w:spacing w:after="40"/>
        <w:jc w:val="both"/>
      </w:pPr>
      <w:r>
        <w:rPr>
          <w:sz w:val="21"/>
        </w:rPr>
        <w:t>anonimização, bloqueio ou eliminação de dados desnecessários, excessivos ou tratados em desconformidade com a LGPD;</w:t>
      </w:r>
    </w:p>
    <w:p>
      <w:pPr>
        <w:pStyle w:val="ListBullet"/>
        <w:spacing w:after="40"/>
        <w:jc w:val="both"/>
      </w:pPr>
      <w:r>
        <w:rPr>
          <w:sz w:val="21"/>
        </w:rPr>
        <w:t>portabilidade a outro fornecedor de serviço ou produto;</w:t>
      </w:r>
    </w:p>
    <w:p>
      <w:pPr>
        <w:pStyle w:val="ListBullet"/>
        <w:spacing w:after="40"/>
        <w:jc w:val="both"/>
      </w:pPr>
      <w:r>
        <w:rPr>
          <w:sz w:val="21"/>
        </w:rPr>
        <w:t>eliminação dos dados tratados com o seu consentimento, ressalvadas as hipóteses de conservação do art. 16 da LGPD;</w:t>
      </w:r>
    </w:p>
    <w:p>
      <w:pPr>
        <w:pStyle w:val="ListBullet"/>
        <w:spacing w:after="40"/>
        <w:jc w:val="both"/>
      </w:pPr>
      <w:r>
        <w:rPr>
          <w:sz w:val="21"/>
        </w:rPr>
        <w:t>informação sobre as entidades públicas e privadas com as quais compartilhamos seus dados;</w:t>
      </w:r>
    </w:p>
    <w:p>
      <w:pPr>
        <w:pStyle w:val="ListBullet"/>
        <w:spacing w:after="40"/>
        <w:jc w:val="both"/>
      </w:pPr>
      <w:r>
        <w:rPr>
          <w:sz w:val="21"/>
        </w:rPr>
        <w:t>informação sobre a possibilidade de não fornecer consentimento e sobre as consequências da negativa;</w:t>
      </w:r>
    </w:p>
    <w:p>
      <w:pPr>
        <w:pStyle w:val="ListBullet"/>
        <w:spacing w:after="40"/>
        <w:jc w:val="both"/>
      </w:pPr>
      <w:r>
        <w:rPr>
          <w:sz w:val="21"/>
        </w:rPr>
        <w:t>revogação do consentimento.</w:t>
      </w:r>
    </w:p>
    <w:p>
      <w:pPr>
        <w:jc w:val="both"/>
      </w:pPr>
      <w:r>
        <w:rPr>
          <w:i w:val="0"/>
          <w:sz w:val="21"/>
        </w:rPr>
        <w:t>Você pode também opor-se a tratamento realizado com dispensa de consentimento, em caso de descumprimento da LGPD, e peticionar perante a Agência Nacional de Proteção de Dados (ANPD).</w:t>
      </w:r>
    </w:p>
    <w:p>
      <w:pPr>
        <w:spacing w:before="160" w:after="40"/>
      </w:pPr>
      <w:r>
        <w:rPr>
          <w:rFonts w:ascii="Liberation Sans" w:hAnsi="Liberation Sans"/>
          <w:b/>
          <w:color w:val="4A5560"/>
          <w:sz w:val="19"/>
        </w:rPr>
        <w:t>Como exercer</w:t>
      </w:r>
    </w:p>
    <w:p>
      <w:pPr>
        <w:jc w:val="both"/>
      </w:pPr>
      <w:r>
        <w:rPr>
          <w:i w:val="0"/>
          <w:sz w:val="21"/>
        </w:rPr>
        <w:t>Envie o pedido para [canal dedicado]. Confirmaremos o recebimento e responderemos em até 15 (quinze) dias. Pedidos de confirmação de existência de tratamento ou de acesso podem ser respondidos em formato simplificado de imediato, nos termos do art. 19, I, da LGPD. Quando não for possível atender imediatamente, informaremos as razões de fato ou de direito que impedem a providência, ou indicaremos o controlador responsável, quando os dados forem tratados por conta e ordem de um cliente.</w:t>
      </w:r>
    </w:p>
    <w:p>
      <w:pPr>
        <w:jc w:val="both"/>
      </w:pPr>
      <w:r>
        <w:rPr>
          <w:i w:val="0"/>
          <w:sz w:val="21"/>
        </w:rPr>
        <w:t>Para sua segurança, poderemos solicitar informações que confirmem sua identidade — limitadas ao necessário para evitar a divulgação de dados a pessoa não autorizada.</w:t>
      </w:r>
    </w:p>
    <w:p>
      <w:pPr>
        <w:spacing w:before="240" w:after="80"/>
      </w:pPr>
      <w:r>
        <w:rPr>
          <w:rFonts w:ascii="Liberation Sans" w:hAnsi="Liberation Sans"/>
          <w:b/>
          <w:color w:val="14365C"/>
          <w:sz w:val="23"/>
        </w:rPr>
        <w:t>9. Decisões automatizadas</w:t>
      </w:r>
    </w:p>
    <w:p>
      <w:pPr>
        <w:jc w:val="both"/>
      </w:pPr>
      <w:r>
        <w:rPr>
          <w:i w:val="0"/>
          <w:sz w:val="21"/>
        </w:rPr>
        <w:t>Não tomamos decisões unicamente automatizadas que afetem seus interesses, inclusive de definição de perfil pessoal, profissional, de consumo ou de crédito. Caso isso venha a ocorrer, este Aviso será atualizado e será assegurado o direito de revisão previsto no art. 20 da LGPD.</w:t>
      </w:r>
    </w:p>
    <w:p>
      <w:pPr>
        <w:spacing w:before="240" w:after="80"/>
      </w:pPr>
      <w:r>
        <w:rPr>
          <w:rFonts w:ascii="Liberation Sans" w:hAnsi="Liberation Sans"/>
          <w:b/>
          <w:color w:val="14365C"/>
          <w:sz w:val="23"/>
        </w:rPr>
        <w:t>10. Segurança</w:t>
      </w:r>
    </w:p>
    <w:p>
      <w:pPr>
        <w:jc w:val="both"/>
      </w:pPr>
      <w:r>
        <w:rPr>
          <w:i w:val="0"/>
          <w:sz w:val="21"/>
        </w:rPr>
        <w:t>Adotamos medidas técnicas e administrativas aptas a proteger os dados pessoais de acessos não autorizados e de situações acidentais ou ilícitas de destruição, perda, alteração, comunicação ou difusão, nos termos do art. 46 da LGPD — entre elas controle de acesso individual por função, autenticação com segundo fator, criptografia em trânsito, cópias de segurança com teste de restauração, registro de acessos e treinamento periódico da equipe. Mantemos o dever de segurança mesmo após o término do tratamento, conforme o art. 47.</w:t>
      </w:r>
    </w:p>
    <w:p>
      <w:pPr>
        <w:spacing w:before="240" w:after="80"/>
      </w:pPr>
      <w:r>
        <w:rPr>
          <w:rFonts w:ascii="Liberation Sans" w:hAnsi="Liberation Sans"/>
          <w:b/>
          <w:color w:val="14365C"/>
          <w:sz w:val="23"/>
        </w:rPr>
        <w:t>11. Por quanto tempo guardamos</w:t>
      </w:r>
    </w:p>
    <w:p>
      <w:pPr>
        <w:jc w:val="both"/>
      </w:pPr>
      <w:r>
        <w:rPr>
          <w:i w:val="0"/>
          <w:sz w:val="21"/>
        </w:rPr>
        <w:t>Mantemos os dados pelo tempo necessário ao cumprimento das finalidades declaradas e, após o término do tratamento, apenas nas hipóteses autorizadas pelo art. 16 da LGPD — em especial para cumprimento de obrigação legal ou regulatória contábil, fiscal, trabalhista e previdenciária, e para o exercício regular de direitos. Os prazos por tipo de documento constam da nossa política de retenção, disponível mediante solicitação.</w:t>
      </w:r>
    </w:p>
    <w:p>
      <w:pPr>
        <w:spacing w:before="240" w:after="80"/>
      </w:pPr>
      <w:r>
        <w:rPr>
          <w:rFonts w:ascii="Liberation Sans" w:hAnsi="Liberation Sans"/>
          <w:b/>
          <w:color w:val="14365C"/>
          <w:sz w:val="23"/>
        </w:rPr>
        <w:t>12. Alterações deste Aviso</w:t>
      </w:r>
    </w:p>
    <w:p>
      <w:pPr>
        <w:jc w:val="both"/>
      </w:pPr>
      <w:r>
        <w:rPr>
          <w:i w:val="0"/>
          <w:sz w:val="21"/>
        </w:rPr>
        <w:t>Este Aviso pode ser atualizado. A versão vigente é sempre a publicada em [URL], com a respectiva data de versão. Alterações relevantes serão comunicadas por [e-mail / aviso no sistema / comunicado].</w:t>
      </w:r>
    </w:p>
    <w:p>
      <w:pPr>
        <w:pBdr>
          <w:bottom w:val="single" w:sz="6" w:space="1" w:color="C9D1DA"/>
        </w:pBdr>
        <w:spacing w:after="160"/>
      </w:pPr>
    </w:p>
    <w:p>
      <w:pPr>
        <w:jc w:val="both"/>
      </w:pPr>
      <w:r>
        <w:rPr>
          <w:rFonts w:ascii="Liberation Sans" w:hAnsi="Liberation Sans"/>
          <w:color w:val="4A5560"/>
          <w:sz w:val="15"/>
        </w:rPr>
        <w:t>Controle de versão — Versão 1.0  |  Aprovado em: ____/____/______  |  Revisão anual  |  Próxima revisão: ____/____/______  |  Responsável pela guarda: Encarregado.  Documento de uso interno; disponibilizar à ANPD mediante requisição.</w:t>
      </w:r>
    </w:p>
    <w:sectPr w:rsidR="00FC693F" w:rsidRPr="0006063C" w:rsidSect="00034616">
      <w:headerReference w:type="default" r:id="rId9"/>
      <w:footerReference w:type="default" r:id="rId10"/>
      <w:pgSz w:w="11906" w:h="16838"/>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A5560"/>
        <w:sz w:val="15"/>
      </w:rPr>
      <w:t xml:space="preserve">DOC-05   </w:t>
    </w:r>
    <w:fldSimple w:instr="PAGE">
      <w:r>
        <w:rPr>
          <w:sz w:val="15"/>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4A5560"/>
        <w:sz w:val="15"/>
      </w:rPr>
      <w:t>[RAZÃO SOCIAL DO ESCRITÓRIO] — Programa de Governança em Privacidade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