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1F4E79"/>
        </w:rPr>
        <w:t xml:space="preserve">Direitos dos Titulares — Guia Completo para Plataforma LGPD</w:t>
      </w:r>
    </w:p>
    <w:p>
      <w:pPr>
        <w:jc w:val="both"/>
        <w:spacing w:lineRule="auto"/>
      </w:pPr>
      <w:r>
        <w:rPr>
          <w:b/>
        </w:rPr>
        <w:t xml:space="preserve">Escritório de Contabilidade — Conformidade com Lei Geral de Proteção de Dados</w:t>
      </w:r>
    </w:p>
    <w:p>
      <w:pPr>
        <w:jc w:val="both"/>
        <w:spacing w:lineRule="auto"/>
      </w:pPr>
      <w:r>
        <w:rPr>
          <w:b/>
        </w:rPr>
        <w:t xml:space="preserve">Data de Elaboração:</w:t>
      </w:r>
      <w:r>
        <w:rPr/>
        <w:t xml:space="preserve"> 6 de outubro de 2026</w:t>
      </w:r>
    </w:p>
    <w:p>
      <w:pPr>
        <w:pStyle w:val="Heading2"/>
        <w:spacing w:lineRule="auto"/>
      </w:pPr>
      <w:r>
        <w:rPr>
          <w:color w:val="1F4E79"/>
        </w:rPr>
        <w:t xml:space="preserve">Sumário Executivo</w:t>
      </w:r>
    </w:p>
    <w:p>
      <w:pPr>
        <w:jc w:val="both"/>
        <w:spacing w:lineRule="auto"/>
      </w:pPr>
      <w:r>
        <w:rPr/>
        <w:t xml:space="preserve">Este documento estabelece os procedimentos operacionais para o atendimento dos </w:t>
      </w:r>
      <w:r>
        <w:rPr>
          <w:b/>
        </w:rPr>
        <w:t xml:space="preserve">nove direitos fundamentais dos titulares de dados</w:t>
      </w:r>
      <w:r>
        <w:rPr/>
        <w:t xml:space="preserve"> previstos na Lei Geral de Proteção de Dados (LGPD). Aplica-se a todas as solicitações recebidas por clientes, colaboradores e terceiros cujos dados pessoais são processados pelo escritório de contabilidade.</w:t>
      </w:r>
    </w:p>
    <w:p>
      <w:pPr>
        <w:jc w:val="both"/>
        <w:spacing w:lineRule="auto"/>
      </w:pPr>
      <w:r>
        <w:rPr/>
        <w:t xml:space="preserve">O cumprimento destes direitos é </w:t>
      </w:r>
      <w:r>
        <w:rPr>
          <w:b/>
        </w:rPr>
        <w:t xml:space="preserve">obrigatório</w:t>
      </w:r>
      <w:r>
        <w:rPr/>
        <w:t xml:space="preserve"> e deve ser executado dentro dos prazos legais, com documentação completa e transparência total. A não conformidade expõe o escritório a multas administrativas e responsabilidade civil.</w:t>
      </w:r>
    </w:p>
    <w:p>
      <w:pPr>
        <w:pStyle w:val="Heading2"/>
        <w:spacing w:lineRule="auto"/>
      </w:pPr>
      <w:r>
        <w:rPr>
          <w:color w:val="1F4E79"/>
        </w:rPr>
        <w:t xml:space="preserve">1. INTRODUÇÃO AOS DIREITOS DOS TITULARES</w:t>
      </w:r>
    </w:p>
    <w:p>
      <w:pPr>
        <w:pStyle w:val="Heading3"/>
        <w:spacing w:lineRule="auto"/>
      </w:pPr>
      <w:r>
        <w:rPr>
          <w:color w:val="2E5E8C"/>
        </w:rPr>
        <w:t xml:space="preserve">1.1 Fundamentação Legal</w:t>
      </w:r>
    </w:p>
    <w:p>
      <w:pPr>
        <w:jc w:val="both"/>
        <w:spacing w:lineRule="auto"/>
      </w:pPr>
      <w:r>
        <w:rPr/>
        <w:t xml:space="preserve">Os direitos dos titulares de dados pessoais estão previstos nos artigos </w:t>
      </w:r>
      <w:r>
        <w:rPr>
          <w:b/>
        </w:rPr>
        <w:t xml:space="preserve">18 e 20 da LGPD</w:t>
      </w:r>
      <w:r>
        <w:rPr/>
        <w:t xml:space="preserve">, além de outras disposições da lei. Estes direitos são </w:t>
      </w:r>
      <w:r>
        <w:rPr>
          <w:b/>
        </w:rPr>
        <w:t xml:space="preserve">irrenunciáveis</w:t>
      </w:r>
      <w:r>
        <w:rPr/>
        <w:t xml:space="preserve"> e devem ser respeitados independentemente de eventual consentimento prévio ou contrato.</w:t>
      </w:r>
    </w:p>
    <w:p>
      <w:pPr>
        <w:jc w:val="both"/>
        <w:spacing w:lineRule="auto"/>
      </w:pPr>
      <w:r>
        <w:rPr>
          <w:b/>
        </w:rPr>
        <w:t xml:space="preserve">Artigo 18 da LGPD:</w:t>
      </w:r>
      <w:r>
        <w:rPr/>
        <w:t xml:space="preserve"> Estabelece o direito de confirmação, acesso, retificação, eliminação, portabilidade, limitação do tratamento, oposição e informações sobre fornecimento de dados.</w:t>
      </w:r>
    </w:p>
    <w:p>
      <w:pPr>
        <w:jc w:val="both"/>
        <w:spacing w:lineRule="auto"/>
      </w:pPr>
      <w:r>
        <w:rPr>
          <w:b/>
        </w:rPr>
        <w:t xml:space="preserve">Artigo 20 da LGPD:</w:t>
      </w:r>
      <w:r>
        <w:rPr/>
        <w:t xml:space="preserve"> Trata especificamente da portabilidade dos dados pessoais e do direito de obter cópia em formato estruturado e portável.</w:t>
      </w:r>
    </w:p>
    <w:p>
      <w:pPr>
        <w:pStyle w:val="Heading3"/>
        <w:spacing w:lineRule="auto"/>
      </w:pPr>
      <w:r>
        <w:rPr>
          <w:color w:val="2E5E8C"/>
        </w:rPr>
        <w:t xml:space="preserve">1.2 Aplicação no Contexto Contábil</w:t>
      </w:r>
    </w:p>
    <w:p>
      <w:pPr>
        <w:jc w:val="both"/>
        <w:spacing w:lineRule="auto"/>
      </w:pPr>
      <w:r>
        <w:rPr/>
        <w:t xml:space="preserve">Um escritório de contabilidade processa dados pessoais em múltiplos cenários: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Dados de clientes:</w:t>
      </w:r>
      <w:r>
        <w:rPr/>
        <w:t xml:space="preserve"> CPF, RG, endereço, telefone, informações bancárias, dados fiscais e patrimoniais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Dados de colaboradores:</w:t>
      </w:r>
      <w:r>
        <w:rPr/>
        <w:t xml:space="preserve"> Nomes, CPF, salários, dados bancários, informações de saúde ocupacional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Dados de terceiros:</w:t>
      </w:r>
      <w:r>
        <w:rPr/>
        <w:t xml:space="preserve"> Fornecedores, prestadores de serviço, beneficiários, acionistas</w:t>
      </w:r>
    </w:p>
    <w:p>
      <w:pPr>
        <w:jc w:val="both"/>
        <w:spacing w:lineRule="auto"/>
      </w:pPr>
      <w:r>
        <w:rPr/>
        <w:t xml:space="preserve">Cada categoria de dados pode estar sujeita a diferentes bases legais (consentimento, obrigação legal, legítimo interesse), mas o direito do titular </w:t>
      </w:r>
      <w:r>
        <w:rPr>
          <w:b/>
        </w:rPr>
        <w:t xml:space="preserve">sempre se aplica</w:t>
      </w:r>
      <w:r>
        <w:rPr/>
        <w:t xml:space="preserve">.</w:t>
      </w:r>
    </w:p>
    <w:p>
      <w:pPr>
        <w:pStyle w:val="Heading2"/>
        <w:spacing w:lineRule="auto"/>
      </w:pPr>
      <w:r>
        <w:rPr>
          <w:color w:val="1F4E79"/>
        </w:rPr>
        <w:t xml:space="preserve">2. OS NOVE DIREITOS FUNDAMENTAIS DOS TITULARES</w:t>
      </w:r>
    </w:p>
    <w:p>
      <w:pPr>
        <w:pStyle w:val="Heading3"/>
        <w:spacing w:lineRule="auto"/>
      </w:pPr>
      <w:r>
        <w:rPr>
          <w:color w:val="2E5E8C"/>
        </w:rPr>
        <w:t xml:space="preserve">2.1 Direito de Confirmação de Tratamento (Art. 18, I)</w:t>
      </w:r>
    </w:p>
    <w:p>
      <w:pPr>
        <w:pStyle w:val="Heading4"/>
        <w:spacing w:lineRule="auto"/>
      </w:pPr>
      <w:r>
        <w:rPr>
          <w:color w:val="2E5E8C"/>
        </w:rPr>
        <w:t xml:space="preserve">Definição e Escopo</w:t>
      </w:r>
    </w:p>
    <w:p>
      <w:pPr>
        <w:jc w:val="both"/>
        <w:spacing w:lineRule="auto"/>
      </w:pPr>
      <w:r>
        <w:rPr/>
        <w:t xml:space="preserve">É o direito de </w:t>
      </w:r>
      <w:r>
        <w:rPr>
          <w:b/>
        </w:rPr>
        <w:t xml:space="preserve">confirmar se o escritório está tratando dados pessoais do titular</w:t>
      </w:r>
      <w:r>
        <w:rPr/>
        <w:t xml:space="preserve">, independentemente de quais dados ou com qual finalidade. Não é necessário que o titular especifique exatamente quais dados; ele pode fazer uma pergunta genérica como: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2026-10-03T20:19:49.425Z</dcterms:created>
  <dcterms:modified xsi:type="dcterms:W3CDTF">2026-10-03T20:19:49.425Z</dcterms:modified>
</cp:coreProperties>
</file>