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720" w:footer="720" w:gutter="0"/>
      <w:footerReference r:id="rId6" w:type="default"/>
    </w:sectPr>
    <w:p>
      <w:pPr>
        <w:spacing w:lineRule="auto"/>
      </w:pPr>
      <w:r>
        <w:rPr/>
        <w:t xml:space="preserve"/>
      </w:r>
    </w:p>
    <w:p>
      <w:pPr>
        <w:spacing w:lineRule="auto"/>
      </w:pPr>
      <w:r>
        <w:rPr/>
        <w:t xml:space="preserve"/>
      </w:r>
    </w:p>
    <w:p>
      <w:pPr>
        <w:pStyle w:val="Heading1"/>
        <w:spacing w:lineRule="auto"/>
      </w:pPr>
      <w:r>
        <w:rPr>
          <w:color w:val="1F4E79"/>
        </w:rPr>
        <w:t xml:space="preserve">Segurança da Informação para Escritório de Contabilidade — Conformidade LGPD</w:t>
      </w:r>
    </w:p>
    <w:p>
      <w:pPr>
        <w:jc w:val="both"/>
        <w:spacing w:lineRule="auto"/>
      </w:pPr>
      <w:r>
        <w:rPr>
          <w:b/>
        </w:rPr>
        <w:t xml:space="preserve">Data de Elaboração:</w:t>
      </w:r>
      <w:r>
        <w:rPr/>
        <w:t xml:space="preserve"> 7 de outubro de 2026</w:t>
      </w:r>
    </w:p>
    <w:p>
      <w:pPr>
        <w:jc w:val="both"/>
        <w:spacing w:lineRule="auto"/>
      </w:pPr>
      <w:r>
        <w:rPr>
          <w:b/>
        </w:rPr>
        <w:t xml:space="preserve">Escopo:</w:t>
      </w:r>
      <w:r>
        <w:rPr/>
        <w:t xml:space="preserve"> Este documento estabelece as políticas, procedimentos técnicos, físicos e operacionais de segurança da informação para escritório de contabilidade, garantindo a conformidade com a Lei Geral de Proteção de Dados (LGPD) e boas práticas internacionais de cibersegurança.</w:t>
      </w:r>
    </w:p>
    <w:p>
      <w:pPr>
        <w:pStyle w:val="Heading2"/>
        <w:spacing w:lineRule="auto"/>
      </w:pPr>
      <w:r>
        <w:rPr>
          <w:color w:val="1F4E79"/>
        </w:rPr>
        <w:t xml:space="preserve">1. Introdução e Contexto</w:t>
      </w:r>
    </w:p>
    <w:p>
      <w:pPr>
        <w:jc w:val="both"/>
        <w:spacing w:lineRule="auto"/>
      </w:pPr>
      <w:r>
        <w:rPr/>
        <w:t xml:space="preserve">Escritórios de contabilidade lidam diariamente com informações altamente sensíveis: dados financeiros, fiscais, pessoais e patrimoniais de clientes e colaboradores. A segurança desses dados é obrigação legal e moral, especialmente sob o regime da LGPD (Lei nº 13.709/2018).</w:t>
      </w:r>
    </w:p>
    <w:p>
      <w:pPr>
        <w:jc w:val="both"/>
        <w:spacing w:lineRule="auto"/>
      </w:pPr>
      <w:r>
        <w:rPr/>
        <w:t xml:space="preserve">A LGPD exige que organizações que processem dados pessoais implementem medidas técnicas e administrativas apropriadas para proteger esses dados contra acesso não autorizado, destruição, perda, alteração ou divulgação acidental. Este documento detalha como um escritório de contabilidade deve estruturar sua segurança da informação para atender a essas obrigações.</w:t>
      </w:r>
    </w:p>
    <w:p>
      <w:pPr>
        <w:jc w:val="both"/>
        <w:spacing w:lineRule="auto"/>
      </w:pPr>
      <w:r>
        <w:rPr>
          <w:b/>
        </w:rPr>
        <w:t xml:space="preserve">Benefícios da implementação:</w:t>
      </w:r>
    </w:p>
    <w:p>
      <w:pPr>
        <w:numPr>
          <w:ilvl w:val="0"/>
          <w:numId w:val="1"/>
        </w:numPr>
        <w:spacing w:lineRule="auto"/>
      </w:pPr>
      <w:r>
        <w:rPr/>
        <w:t xml:space="preserve">Redução de riscos de vazamento de dados e fraudes</w:t>
      </w:r>
    </w:p>
    <w:p>
      <w:pPr>
        <w:numPr>
          <w:ilvl w:val="0"/>
          <w:numId w:val="1"/>
        </w:numPr>
        <w:spacing w:lineRule="auto"/>
      </w:pPr>
      <w:r>
        <w:rPr/>
        <w:t xml:space="preserve">Proteção reputacional e confiança de clientes</w:t>
      </w:r>
    </w:p>
    <w:p>
      <w:pPr>
        <w:numPr>
          <w:ilvl w:val="0"/>
          <w:numId w:val="1"/>
        </w:numPr>
        <w:spacing w:lineRule="auto"/>
      </w:pPr>
      <w:r>
        <w:rPr/>
        <w:t xml:space="preserve">Conformidade legal com LGPD e legislação tributária</w:t>
      </w:r>
    </w:p>
    <w:p>
      <w:pPr>
        <w:numPr>
          <w:ilvl w:val="0"/>
          <w:numId w:val="1"/>
        </w:numPr>
        <w:spacing w:lineRule="auto"/>
      </w:pPr>
      <w:r>
        <w:rPr/>
        <w:t xml:space="preserve">Resposta rápida e eficaz a incidentes de segurança</w:t>
      </w:r>
    </w:p>
    <w:p>
      <w:pPr>
        <w:numPr>
          <w:ilvl w:val="0"/>
          <w:numId w:val="1"/>
        </w:numPr>
        <w:spacing w:lineRule="auto"/>
      </w:pPr>
      <w:r>
        <w:rPr/>
        <w:t xml:space="preserve">Continuidade operacional em casos de desastres</w:t>
      </w:r>
    </w:p>
    <w:p>
      <w:pPr>
        <w:numPr>
          <w:ilvl w:val="0"/>
          <w:numId w:val="1"/>
        </w:numPr>
        <w:spacing w:lineRule="auto"/>
      </w:pPr>
      <w:r>
        <w:rPr/>
        <w:t xml:space="preserve">Documentação robusta para auditorias internas e externas</w:t>
      </w:r>
    </w:p>
    <w:p>
      <w:pPr>
        <w:pStyle w:val="Heading2"/>
        <w:spacing w:lineRule="auto"/>
      </w:pPr>
      <w:r>
        <w:rPr>
          <w:color w:val="1F4E79"/>
        </w:rPr>
        <w:t xml:space="preserve">2. Políticas de Segurança — Classificação de Dados, Controle de Acesso e Autenticação</w:t>
      </w:r>
    </w:p>
    <w:p>
      <w:pPr>
        <w:pStyle w:val="Heading3"/>
        <w:spacing w:lineRule="auto"/>
      </w:pPr>
      <w:r>
        <w:rPr>
          <w:color w:val="2E5E8C"/>
        </w:rPr>
        <w:t xml:space="preserve">2.1 Classificação de Dados</w:t>
      </w:r>
    </w:p>
    <w:p>
      <w:pPr>
        <w:jc w:val="both"/>
        <w:spacing w:lineRule="auto"/>
      </w:pPr>
      <w:r>
        <w:rPr/>
        <w:t xml:space="preserve">A classificação de dados é o primeiro passo para definir o nível de proteção necessário. No contexto de um escritório de contabilidade, os dados devem ser categorizados conforme a sensibilidade e o impacto potencial de sua exposição.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2026-10-03T20:19:49.425Z</dcterms:created>
  <dcterms:modified xsi:type="dcterms:W3CDTF">2026-10-03T20:19:49.425Z</dcterms:modified>
</cp:coreProperties>
</file>