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Liberation Sans" w:hAnsi="Liberation Sans"/>
          <w:b/>
          <w:color w:val="4A5560"/>
          <w:sz w:val="16"/>
        </w:rPr>
        <w:t>DOC-08</w:t>
      </w:r>
    </w:p>
    <w:p>
      <w:pPr>
        <w:spacing w:after="40"/>
      </w:pPr>
      <w:r>
        <w:rPr>
          <w:rFonts w:ascii="Liberation Sans" w:hAnsi="Liberation Sans"/>
          <w:b/>
          <w:color w:val="14365C"/>
          <w:sz w:val="30"/>
        </w:rPr>
        <w:t>POLÍTICA DE RETENÇÃO E ELIMINAÇÃO DE DADOS</w:t>
      </w:r>
    </w:p>
    <w:p>
      <w:pPr>
        <w:spacing w:after="200"/>
      </w:pPr>
      <w:r>
        <w:rPr>
          <w:rFonts w:ascii="Liberation Sans" w:hAnsi="Liberation Sans"/>
          <w:color w:val="4A5560"/>
          <w:sz w:val="20"/>
        </w:rPr>
        <w:t>Término do tratamento e conservação autorizada — arts. 15 e 16 da Lei nº 13.709/2018</w:t>
      </w:r>
    </w:p>
    <w:p>
      <w:pPr>
        <w:pBdr>
          <w:bottom w:val="single" w:sz="6" w:space="1" w:color="C9D1DA"/>
        </w:pBdr>
        <w:spacing w:after="160"/>
      </w:pPr>
    </w:p>
    <w:p>
      <w:pPr>
        <w:spacing w:before="240" w:after="80"/>
      </w:pPr>
      <w:r>
        <w:rPr>
          <w:rFonts w:ascii="Liberation Sans" w:hAnsi="Liberation Sans"/>
          <w:b/>
          <w:color w:val="14365C"/>
          <w:sz w:val="23"/>
        </w:rPr>
        <w:t>1. Fundamento e regra geral</w:t>
      </w:r>
    </w:p>
    <w:p>
      <w:pPr>
        <w:jc w:val="both"/>
      </w:pPr>
      <w:r>
        <w:rPr>
          <w:i w:val="0"/>
          <w:sz w:val="21"/>
        </w:rPr>
        <w:t>O art. 15 da LGPD estabelece que o tratamento termina quando a finalidade é alcançada ou os dados deixam de ser necessários, pelo fim do período de tratamento, por comunicação do titular ou por determinação da ANPD. O art. 16 determina a eliminação após o término, autorizando a conservação apenas para: cumprimento de obrigação legal ou regulatória; estudo por órgão de pesquisa, com anonimização sempre que possível; transferência a terceiro respeitados os requisitos legais; ou uso exclusivo do controlador, vedado o acesso por terceiro e desde que anonimizados.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9468"/>
            <w:shd w:fill="F4F7FA"/>
            <w:tcBorders>
              <w:left w:val="single" w:sz="18" w:color="A62121"/>
              <w:top w:val="nil" w:sz="0" w:color="A62121"/>
              <w:bottom w:val="nil" w:sz="0" w:color="A62121"/>
              <w:right w:val="nil" w:sz="0" w:color="A62121"/>
            </w:tcBorders>
          </w:tcPr>
          <w:p>
            <w:pPr>
              <w:jc w:val="both"/>
            </w:pPr>
            <w:r>
              <w:rPr>
                <w:rFonts w:ascii="Liberation Sans" w:hAnsi="Liberation Sans"/>
                <w:b/>
                <w:color w:val="A62121"/>
                <w:sz w:val="17"/>
              </w:rPr>
              <w:t xml:space="preserve">A REGRA QUE CONTRARIA A PRÁTICA DO SETOR  </w:t>
            </w:r>
            <w:r>
              <w:rPr>
                <w:sz w:val="19"/>
              </w:rPr>
              <w:t>Guardar documento sem finalidade atual e sem hipótese do art. 16 não é prudência: é descumprimento. No ramo contábil o reflexo é direto — manter indefinidamente a base de um ex-cliente 'por segurança' só se sustenta enquanto houver prazo legal de guarda ou prazo prescricional em curso, e isso precisa estar escrito, com data de corte.</w:t>
            </w:r>
          </w:p>
        </w:tc>
      </w:tr>
    </w:tbl>
    <w:p>
      <w:pPr>
        <w:spacing w:after="60"/>
      </w:pPr>
    </w:p>
    <w:p>
      <w:pPr>
        <w:spacing w:before="240" w:after="80"/>
      </w:pPr>
      <w:r>
        <w:rPr>
          <w:rFonts w:ascii="Liberation Sans" w:hAnsi="Liberation Sans"/>
          <w:b/>
          <w:color w:val="14365C"/>
          <w:sz w:val="23"/>
        </w:rPr>
        <w:t>2. Como preencher a tabela de prazos</w:t>
      </w:r>
    </w:p>
    <w:p>
      <w:pPr>
        <w:pStyle w:val="ListNumber"/>
        <w:spacing w:after="40"/>
        <w:jc w:val="both"/>
      </w:pPr>
      <w:r>
        <w:rPr>
          <w:sz w:val="21"/>
        </w:rPr>
        <w:t>O prazo NÃO é escolhido: ele decorre da norma aplicável ao documento (trabalhista, previdenciária, fiscal, civil) ou do prazo prescricional da pretensão que se quer defender. Cite a norma na coluna de fundamento.</w:t>
      </w:r>
    </w:p>
    <w:p>
      <w:pPr>
        <w:pStyle w:val="ListNumber"/>
        <w:spacing w:after="40"/>
        <w:jc w:val="both"/>
      </w:pPr>
      <w:r>
        <w:rPr>
          <w:sz w:val="21"/>
        </w:rPr>
        <w:t>Nunca registre 'indeterminado' ou 'conforme necessidade'. Se o prazo depende de evento, declare o evento como critério de contagem.</w:t>
      </w:r>
    </w:p>
    <w:p>
      <w:pPr>
        <w:pStyle w:val="ListNumber"/>
        <w:spacing w:after="40"/>
        <w:jc w:val="both"/>
      </w:pPr>
      <w:r>
        <w:rPr>
          <w:sz w:val="21"/>
        </w:rPr>
        <w:t>Quando o escritório é OPERADOR, o prazo é determinado pelo cliente-controlador: registre o prazo instruído e a referência contratual.</w:t>
      </w:r>
    </w:p>
    <w:p>
      <w:pPr>
        <w:pStyle w:val="ListNumber"/>
        <w:spacing w:after="40"/>
        <w:jc w:val="both"/>
      </w:pPr>
      <w:r>
        <w:rPr>
          <w:sz w:val="21"/>
        </w:rPr>
        <w:t>Confira a tabela contra o ROPA: toda categoria de dado registrada precisa ter uma linha aqui.</w:t>
      </w:r>
    </w:p>
    <w:p>
      <w:pPr>
        <w:spacing w:before="240" w:after="80"/>
      </w:pPr>
      <w:r>
        <w:rPr>
          <w:rFonts w:ascii="Liberation Sans" w:hAnsi="Liberation Sans"/>
          <w:b/>
          <w:color w:val="14365C"/>
          <w:sz w:val="23"/>
        </w:rPr>
        <w:t>3. Tabela de prazos de guarda</w:t>
      </w:r>
    </w:p>
    <w:p>
      <w:pPr>
        <w:jc w:val="both"/>
      </w:pPr>
      <w:r>
        <w:rPr>
          <w:i/>
          <w:sz w:val="21"/>
        </w:rPr>
        <w:t>Preencher a coluna de prazo e de fundamento com a norma vigente aplicável. Os prazos não foram preenchidos propositadamente: devem ser confirmados com o responsável jurídico, porque variam por documento e sofrem alteração legislativa.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78"/>
        <w:gridCol w:w="1578"/>
        <w:gridCol w:w="1578"/>
        <w:gridCol w:w="1578"/>
        <w:gridCol w:w="1578"/>
        <w:gridCol w:w="1578"/>
      </w:tblGrid>
      <w:tr>
        <w:tc>
          <w:tcPr>
            <w:tcW w:type="dxa" w:w="2041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Documento / registro</w:t>
            </w:r>
          </w:p>
        </w:tc>
        <w:tc>
          <w:tcPr>
            <w:tcW w:type="dxa" w:w="907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Papel</w:t>
            </w:r>
          </w:p>
        </w:tc>
        <w:tc>
          <w:tcPr>
            <w:tcW w:type="dxa" w:w="907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Prazo</w:t>
            </w:r>
          </w:p>
        </w:tc>
        <w:tc>
          <w:tcPr>
            <w:tcW w:type="dxa" w:w="1474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Critério de contagem</w:t>
            </w:r>
          </w:p>
        </w:tc>
        <w:tc>
          <w:tcPr>
            <w:tcW w:type="dxa" w:w="2041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Fundamento</w:t>
            </w:r>
          </w:p>
        </w:tc>
        <w:tc>
          <w:tcPr>
            <w:tcW w:type="dxa" w:w="1361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Destino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5"/>
              </w:rPr>
              <w:t>Ficha de registro de empregado e CTPS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Controlador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[prazo]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5"/>
              </w:rPr>
              <w:t>Término do vínculo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5"/>
              </w:rPr>
              <w:t>[norma trabalhista/previdenciária]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  <w:t>Eliminação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5"/>
              </w:rPr>
              <w:t>Folha de pagamento e encargos — colaboradores do escritório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Controlador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[prazo]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5"/>
              </w:rPr>
              <w:t>Competência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5"/>
              </w:rPr>
              <w:t>[norma]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  <w:t>Eliminação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5"/>
              </w:rPr>
              <w:t>ASO e exames ocupacionais — colaboradores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Controlador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[prazo]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5"/>
              </w:rPr>
              <w:t>Término do vínculo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5"/>
              </w:rPr>
              <w:t>[norma de medicina do trabalho]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  <w:t>Eliminação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5"/>
              </w:rPr>
              <w:t>Atestado médico — colaboradores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Controlador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[prazo]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5"/>
              </w:rPr>
              <w:t>Data do atestado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5"/>
              </w:rPr>
              <w:t>[norma]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  <w:t>Eliminação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5"/>
              </w:rPr>
              <w:t>Registro de ponto biométrico — template biométrico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Controlador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[prazo]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5"/>
              </w:rPr>
              <w:t>Término do vínculo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5"/>
              </w:rPr>
              <w:t>Art. 16 c/c norma de jornada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  <w:t>Eliminação do template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5"/>
              </w:rPr>
              <w:t>Currículo de candidato não contratado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Controlador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[prazo]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5"/>
              </w:rPr>
              <w:t>Encerramento do processo seletivo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5"/>
              </w:rPr>
              <w:t>Finalidade alcançada (art. 15, I); consentimento se banco de talentos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  <w:t>Eliminação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5"/>
              </w:rPr>
              <w:t>Contrato de prestação de serviços e distrato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Controlador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[prazo]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5"/>
              </w:rPr>
              <w:t>Extinção do contrato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5"/>
              </w:rPr>
              <w:t>Exercício regular de direitos (art. 7º, VI) — prazo prescricional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  <w:t>Eliminação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5"/>
              </w:rPr>
              <w:t>Cadastro de cliente pessoa física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Controlador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[prazo]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5"/>
              </w:rPr>
              <w:t>Encerramento da relação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5"/>
              </w:rPr>
              <w:t>[norma fiscal] e prescrição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  <w:t>Eliminação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5"/>
              </w:rPr>
              <w:t>Documentos fiscais emitidos e recebidos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Controlador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[prazo]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5"/>
              </w:rPr>
              <w:t>Exercício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5"/>
              </w:rPr>
              <w:t>[legislação tributária]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  <w:t>Eliminação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5"/>
              </w:rPr>
              <w:t>Escrituração contábil e fiscal de cliente PJ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Operador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[prazo instruído]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5"/>
              </w:rPr>
              <w:t>Conforme instrução do cliente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5"/>
              </w:rPr>
              <w:t>Instrução contratual + [norma]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  <w:t>Devolução ou eliminação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5"/>
              </w:rPr>
              <w:t>Documentos de folha dos empregados do cliente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Operador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[prazo instruído]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5"/>
              </w:rPr>
              <w:t>Conforme instrução do cliente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5"/>
              </w:rPr>
              <w:t>Instrução contratual + [norma]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  <w:t>Devolução ou eliminação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5"/>
              </w:rPr>
              <w:t>Declaração de IR de pessoa física e comprovantes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Controlador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[prazo]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5"/>
              </w:rPr>
              <w:t>Entrega da declaração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5"/>
              </w:rPr>
              <w:t>[legislação tributária]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  <w:t>Eliminação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5"/>
              </w:rPr>
              <w:t>Registro de atendimento a titular (LGPD)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Controlador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[prazo]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5"/>
              </w:rPr>
              <w:t>Data da resposta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5"/>
              </w:rPr>
              <w:t>Prestação de contas (art. 6º, X)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  <w:t>Eliminação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5"/>
              </w:rPr>
              <w:t>Registro de incidentes de segurança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Controlador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Mínimo 5 anos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5"/>
              </w:rPr>
              <w:t>Data do registro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5"/>
              </w:rPr>
              <w:t>Art. 10 do Regulamento da Res. CD/ANPD nº 15/2024 — inclusive do incidente NÃO comunicado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  <w:t>Eliminação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5"/>
              </w:rPr>
              <w:t>Logs de acesso a sistemas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Controlador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[prazo]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5"/>
              </w:rPr>
              <w:t>Data do evento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5"/>
              </w:rPr>
              <w:t>Segurança (art. 46)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  <w:t>Eliminação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5"/>
              </w:rPr>
              <w:t>Gravação de videomonitoramento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Controlador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[prazo curto]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5"/>
              </w:rPr>
              <w:t>Data da captura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5"/>
              </w:rPr>
              <w:t>Necessidade (art. 6º, III)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  <w:t>Sobregravação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5"/>
              </w:rPr>
              <w:t>Cópias de segurança (backup)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Ambos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[ciclo de rotação]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5"/>
              </w:rPr>
              <w:t>Data da cópia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5"/>
              </w:rPr>
              <w:t>Disponibilidade (art. 46)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  <w:t>Rotação automática</w:t>
            </w:r>
          </w:p>
        </w:tc>
      </w:tr>
    </w:tbl>
    <w:p>
      <w:pPr>
        <w:spacing w:after="60"/>
      </w:pPr>
    </w:p>
    <w:p>
      <w:pPr>
        <w:spacing w:before="240" w:after="80"/>
      </w:pPr>
      <w:r>
        <w:rPr>
          <w:rFonts w:ascii="Liberation Sans" w:hAnsi="Liberation Sans"/>
          <w:b/>
          <w:color w:val="14365C"/>
          <w:sz w:val="23"/>
        </w:rPr>
        <w:t>4. Regras operacionais</w:t>
      </w:r>
    </w:p>
    <w:p>
      <w:pPr>
        <w:spacing w:before="160" w:after="40"/>
      </w:pPr>
      <w:r>
        <w:rPr>
          <w:rFonts w:ascii="Liberation Sans" w:hAnsi="Liberation Sans"/>
          <w:b/>
          <w:color w:val="4A5560"/>
          <w:sz w:val="19"/>
        </w:rPr>
        <w:t>4.1 Execução do descarte</w:t>
      </w:r>
    </w:p>
    <w:p>
      <w:pPr>
        <w:jc w:val="both"/>
      </w:pPr>
      <w:r>
        <w:rPr>
          <w:i w:val="0"/>
          <w:sz w:val="21"/>
        </w:rPr>
        <w:t>O descarte é executado [periodicidade: recomenda-se semestral] por [responsável], com conferência do Encarregado. Cada execução gera registro com data, escopo, volume, método e responsável — é esse registro, e não a política, que comprova a aplicação do art. 16.</w:t>
      </w:r>
    </w:p>
    <w:p>
      <w:pPr>
        <w:spacing w:before="160" w:after="40"/>
      </w:pPr>
      <w:r>
        <w:rPr>
          <w:rFonts w:ascii="Liberation Sans" w:hAnsi="Liberation Sans"/>
          <w:b/>
          <w:color w:val="4A5560"/>
          <w:sz w:val="19"/>
        </w:rPr>
        <w:t>4.2 Cópias de segurança — o ponto cego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9468"/>
            <w:shd w:fill="F4F7FA"/>
            <w:tcBorders>
              <w:left w:val="single" w:sz="18" w:color="B3610E"/>
              <w:top w:val="nil" w:sz="0" w:color="B3610E"/>
              <w:bottom w:val="nil" w:sz="0" w:color="B3610E"/>
              <w:right w:val="nil" w:sz="0" w:color="B3610E"/>
            </w:tcBorders>
          </w:tcPr>
          <w:p>
            <w:pPr>
              <w:jc w:val="both"/>
            </w:pPr>
            <w:r>
              <w:rPr>
                <w:rFonts w:ascii="Liberation Sans" w:hAnsi="Liberation Sans"/>
                <w:b/>
                <w:color w:val="B3610E"/>
                <w:sz w:val="17"/>
              </w:rPr>
              <w:t xml:space="preserve">BACKUP NÃO É ALCANÇADO PELA EXCLUSÃO EM PRODUÇÃO  </w:t>
            </w:r>
            <w:r>
              <w:rPr>
                <w:sz w:val="19"/>
              </w:rPr>
              <w:t>Eliminar o dado no sistema não o elimina no backup. Declare a regra: os dados eliminados permanecem nas cópias de segurança até o fim do ciclo de rotação de [prazo], vedada a restauração seletiva para finalidade diversa da recuperação de desastre. Sem essa declaração, a política se contradiz na primeira auditoria.</w:t>
            </w:r>
          </w:p>
        </w:tc>
      </w:tr>
    </w:tbl>
    <w:p>
      <w:pPr>
        <w:spacing w:after="60"/>
      </w:pPr>
    </w:p>
    <w:p>
      <w:pPr>
        <w:spacing w:before="160" w:after="40"/>
      </w:pPr>
      <w:r>
        <w:rPr>
          <w:rFonts w:ascii="Liberation Sans" w:hAnsi="Liberation Sans"/>
          <w:b/>
          <w:color w:val="4A5560"/>
          <w:sz w:val="19"/>
        </w:rPr>
        <w:t>4.3 Arquivo físico</w:t>
      </w:r>
    </w:p>
    <w:p>
      <w:pPr>
        <w:jc w:val="both"/>
      </w:pPr>
      <w:r>
        <w:rPr>
          <w:i w:val="0"/>
          <w:sz w:val="21"/>
        </w:rPr>
        <w:t>Documentos em papel seguem os mesmos prazos. A guarda é feita em [local, mobiliário com chave], com acesso restrito a [funções]. O descarte é feito por fragmentação [ou destruição certificada por terceiro, com certificado arquivado]. Descartar documento com dado pessoal em lixo comum é violação do art. 46.</w:t>
      </w:r>
    </w:p>
    <w:p>
      <w:pPr>
        <w:spacing w:before="160" w:after="40"/>
      </w:pPr>
      <w:r>
        <w:rPr>
          <w:rFonts w:ascii="Liberation Sans" w:hAnsi="Liberation Sans"/>
          <w:b/>
          <w:color w:val="4A5560"/>
          <w:sz w:val="19"/>
        </w:rPr>
        <w:t>4.4 Dados sob responsabilidade de cliente-controlador</w:t>
      </w:r>
    </w:p>
    <w:p>
      <w:pPr>
        <w:jc w:val="both"/>
      </w:pPr>
      <w:r>
        <w:rPr>
          <w:i w:val="0"/>
          <w:sz w:val="21"/>
        </w:rPr>
        <w:t>Quando o escritório atua como operador, a eliminação depende de instrução do cliente. Ao término do contrato, aplicar o procedimento: (i) notificar o cliente sobre o destino dos dados; (ii) executar devolução em formato utilizável ou eliminação, conforme instrução escrita; (iii) emitir termo de devolução ou de eliminação; (iv) manter apenas o que o escritório precisa guardar por obrigação legal própria ou para defesa de direitos, registrando a hipótese do art. 16.</w:t>
      </w:r>
    </w:p>
    <w:p>
      <w:pPr>
        <w:spacing w:before="160" w:after="40"/>
      </w:pPr>
      <w:r>
        <w:rPr>
          <w:rFonts w:ascii="Liberation Sans" w:hAnsi="Liberation Sans"/>
          <w:b/>
          <w:color w:val="4A5560"/>
          <w:sz w:val="19"/>
        </w:rPr>
        <w:t>4.5 Exceções e suspensão de descarte</w:t>
      </w:r>
    </w:p>
    <w:p>
      <w:pPr>
        <w:jc w:val="both"/>
      </w:pPr>
      <w:r>
        <w:rPr>
          <w:i w:val="0"/>
          <w:sz w:val="21"/>
        </w:rPr>
        <w:t>Dados sob determinação judicial, litígio em curso, fiscalização ou bloqueio legal ficam retidos até [critério], com registro da exceção, do fundamento e da data de reavaliação. A suspensão de descarte é deliberada em ata do comitê.</w:t>
      </w:r>
    </w:p>
    <w:p>
      <w:pPr>
        <w:spacing w:before="160" w:after="40"/>
      </w:pPr>
      <w:r>
        <w:rPr>
          <w:rFonts w:ascii="Liberation Sans" w:hAnsi="Liberation Sans"/>
          <w:b/>
          <w:color w:val="4A5560"/>
          <w:sz w:val="19"/>
        </w:rPr>
        <w:t>4.6 Anonimização como alternativa</w:t>
      </w:r>
    </w:p>
    <w:p>
      <w:pPr>
        <w:jc w:val="both"/>
      </w:pPr>
      <w:r>
        <w:rPr>
          <w:i w:val="0"/>
          <w:sz w:val="21"/>
        </w:rPr>
        <w:t>A anonimização substitui a eliminação apenas se a reidentificação não for possível por meios técnicos razoáveis e disponíveis na ocasião do tratamento (art. 5º, III). Renomear campos, mascarar parcialmente o CPF ou remover o nome mantendo identificadores indiretos NÃO é anonimização.</w:t>
      </w:r>
    </w:p>
    <w:p>
      <w:pPr>
        <w:spacing w:before="240" w:after="80"/>
      </w:pPr>
      <w:r>
        <w:rPr>
          <w:rFonts w:ascii="Liberation Sans" w:hAnsi="Liberation Sans"/>
          <w:b/>
          <w:color w:val="14365C"/>
          <w:sz w:val="23"/>
        </w:rPr>
        <w:t>5. Registro de execução de descarte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94"/>
        <w:gridCol w:w="1894"/>
        <w:gridCol w:w="1894"/>
        <w:gridCol w:w="1894"/>
        <w:gridCol w:w="1894"/>
      </w:tblGrid>
      <w:tr>
        <w:tc>
          <w:tcPr>
            <w:tcW w:type="dxa" w:w="1247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Data</w:t>
            </w:r>
          </w:p>
        </w:tc>
        <w:tc>
          <w:tcPr>
            <w:tcW w:type="dxa" w:w="2835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Escopo (sistema / base / arquivo)</w:t>
            </w:r>
          </w:p>
        </w:tc>
        <w:tc>
          <w:tcPr>
            <w:tcW w:type="dxa" w:w="2268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Método e volume</w:t>
            </w:r>
          </w:p>
        </w:tc>
        <w:tc>
          <w:tcPr>
            <w:tcW w:type="dxa" w:w="1361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Responsável</w:t>
            </w:r>
          </w:p>
        </w:tc>
        <w:tc>
          <w:tcPr>
            <w:tcW w:type="dxa" w:w="1361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Conferido por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</w:tbl>
    <w:p>
      <w:pPr>
        <w:spacing w:after="60"/>
      </w:pPr>
    </w:p>
    <w:p>
      <w:pPr>
        <w:spacing w:before="240" w:after="80"/>
      </w:pPr>
      <w:r>
        <w:rPr>
          <w:rFonts w:ascii="Liberation Sans" w:hAnsi="Liberation Sans"/>
          <w:b/>
          <w:color w:val="14365C"/>
          <w:sz w:val="23"/>
        </w:rPr>
        <w:t>6. Termo de eliminação / devolução ao término de contrato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34"/>
        <w:gridCol w:w="4734"/>
      </w:tblGrid>
      <w:tr>
        <w:tc>
          <w:tcPr>
            <w:tcW w:type="dxa" w:w="3061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6009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Conteúdo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Cliente</w:t>
            </w:r>
          </w:p>
        </w:tc>
        <w:tc>
          <w:tcPr>
            <w:tcW w:type="dxa" w:w="6009"/>
          </w:tcPr>
          <w:p>
            <w:pPr>
              <w:spacing w:after="20"/>
            </w:pPr>
            <w:r/>
            <w:r>
              <w:rPr>
                <w:sz w:val="18"/>
              </w:rPr>
              <w:t>[razão social e CNPJ]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Contrato encerrado em</w:t>
            </w:r>
          </w:p>
        </w:tc>
        <w:tc>
          <w:tcPr>
            <w:tcW w:type="dxa" w:w="6009"/>
          </w:tcPr>
          <w:p>
            <w:pPr>
              <w:spacing w:after="20"/>
            </w:pPr>
            <w:r/>
            <w:r>
              <w:rPr>
                <w:sz w:val="18"/>
              </w:rPr>
              <w:t>____/____/______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Dados objeto do tratamento</w:t>
            </w:r>
          </w:p>
        </w:tc>
        <w:tc>
          <w:tcPr>
            <w:tcW w:type="dxa" w:w="6009"/>
          </w:tcPr>
          <w:p>
            <w:pPr>
              <w:spacing w:after="20"/>
            </w:pPr>
            <w:r/>
            <w:r>
              <w:rPr>
                <w:sz w:val="18"/>
              </w:rPr>
              <w:t>[descrição]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Destino instruído pelo cliente</w:t>
            </w:r>
          </w:p>
        </w:tc>
        <w:tc>
          <w:tcPr>
            <w:tcW w:type="dxa" w:w="6009"/>
          </w:tcPr>
          <w:p>
            <w:pPr>
              <w:spacing w:after="20"/>
            </w:pPr>
            <w:r/>
            <w:r>
              <w:rPr>
                <w:sz w:val="18"/>
              </w:rPr>
              <w:t>devolução / eliminação / anonimização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Data de execução</w:t>
            </w:r>
          </w:p>
        </w:tc>
        <w:tc>
          <w:tcPr>
            <w:tcW w:type="dxa" w:w="6009"/>
          </w:tcPr>
          <w:p>
            <w:pPr>
              <w:spacing w:after="20"/>
            </w:pPr>
            <w:r/>
            <w:r>
              <w:rPr>
                <w:sz w:val="18"/>
              </w:rPr>
              <w:t>____/____/______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Método</w:t>
            </w:r>
          </w:p>
        </w:tc>
        <w:tc>
          <w:tcPr>
            <w:tcW w:type="dxa" w:w="6009"/>
          </w:tcPr>
          <w:p>
            <w:pPr>
              <w:spacing w:after="20"/>
            </w:pPr>
            <w:r/>
            <w:r>
              <w:rPr>
                <w:sz w:val="18"/>
              </w:rPr>
              <w:t>[descrição técnica]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Dados retidos pelo escritório e fundamento</w:t>
            </w:r>
          </w:p>
        </w:tc>
        <w:tc>
          <w:tcPr>
            <w:tcW w:type="dxa" w:w="6009"/>
          </w:tcPr>
          <w:p>
            <w:pPr>
              <w:spacing w:after="20"/>
            </w:pPr>
            <w:r/>
            <w:r>
              <w:rPr>
                <w:sz w:val="18"/>
              </w:rPr>
              <w:t>[ex.: documentos de emissão própria, por obrigação fiscal — art. 16, I]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Executado por / conferido por</w:t>
            </w:r>
          </w:p>
        </w:tc>
        <w:tc>
          <w:tcPr>
            <w:tcW w:type="dxa" w:w="6009"/>
          </w:tcPr>
          <w:p>
            <w:pPr>
              <w:spacing w:after="20"/>
            </w:pPr>
            <w:r/>
            <w:r>
              <w:rPr>
                <w:sz w:val="18"/>
              </w:rPr>
              <w:t>[nomes]</w:t>
            </w:r>
          </w:p>
        </w:tc>
      </w:tr>
    </w:tbl>
    <w:p>
      <w:pPr>
        <w:spacing w:after="60"/>
      </w:pPr>
    </w:p>
    <w:p>
      <w:pPr>
        <w:spacing w:before="280"/>
      </w:pPr>
      <w:r>
        <w:rPr>
          <w:sz w:val="21"/>
        </w:rPr>
        <w:t>[CIDADE] / [UF], _____ de _________________ de 20____.</w:t>
      </w:r>
    </w:p>
    <w:p>
      <w:pPr>
        <w:spacing w:after="3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c>
          <w:tcPr>
            <w:tcW w:type="dxa" w:w="3156"/>
          </w:tcPr>
          <w:p>
            <w:pPr>
              <w:jc w:val="center"/>
            </w:pPr>
            <w:r/>
            <w:r>
              <w:rPr>
                <w:sz w:val="20"/>
              </w:rPr>
              <w:t>__________________________________</w:t>
            </w:r>
          </w:p>
        </w:tc>
        <w:tc>
          <w:tcPr>
            <w:tcW w:type="dxa" w:w="3156"/>
          </w:tcPr>
          <w:p>
            <w:pPr>
              <w:jc w:val="center"/>
            </w:pPr>
            <w:r/>
            <w:r>
              <w:rPr>
                <w:sz w:val="20"/>
              </w:rPr>
              <w:t>__________________________________</w:t>
            </w:r>
          </w:p>
        </w:tc>
        <w:tc>
          <w:tcPr>
            <w:tcW w:type="dxa" w:w="3156"/>
          </w:tcPr>
          <w:p>
            <w:pPr>
              <w:jc w:val="center"/>
            </w:pPr>
            <w:r/>
            <w:r>
              <w:rPr>
                <w:sz w:val="20"/>
              </w:rPr>
              <w:t>__________________________________</w:t>
            </w:r>
          </w:p>
        </w:tc>
      </w:tr>
      <w:tr>
        <w:tc>
          <w:tcPr>
            <w:tcW w:type="dxa" w:w="3156"/>
          </w:tcPr>
          <w:p>
            <w:pPr>
              <w:jc w:val="center"/>
            </w:pPr>
            <w:r/>
            <w:r>
              <w:rPr>
                <w:rFonts w:ascii="Liberation Sans" w:hAnsi="Liberation Sans"/>
                <w:b/>
                <w:sz w:val="18"/>
              </w:rPr>
              <w:t>Pedro [SOBRENOME COMPLETO]</w:t>
            </w:r>
          </w:p>
          <w:p>
            <w:pPr>
              <w:jc w:val="center"/>
            </w:pPr>
            <w:r>
              <w:rPr>
                <w:rFonts w:ascii="Liberation Sans" w:hAnsi="Liberation Sans"/>
                <w:color w:val="4A5560"/>
                <w:sz w:val="17"/>
              </w:rPr>
              <w:t>Encarregado</w:t>
            </w:r>
          </w:p>
        </w:tc>
        <w:tc>
          <w:tcPr>
            <w:tcW w:type="dxa" w:w="3156"/>
          </w:tcPr>
          <w:p>
            <w:pPr>
              <w:jc w:val="center"/>
            </w:pPr>
            <w:r/>
            <w:r>
              <w:rPr>
                <w:rFonts w:ascii="Liberation Sans" w:hAnsi="Liberation Sans"/>
                <w:b/>
                <w:sz w:val="18"/>
              </w:rPr>
              <w:t>[Nome]</w:t>
            </w:r>
          </w:p>
          <w:p>
            <w:pPr>
              <w:jc w:val="center"/>
            </w:pPr>
            <w:r>
              <w:rPr>
                <w:rFonts w:ascii="Liberation Sans" w:hAnsi="Liberation Sans"/>
                <w:color w:val="4A5560"/>
                <w:sz w:val="17"/>
              </w:rPr>
              <w:t>Jurídico</w:t>
            </w:r>
          </w:p>
        </w:tc>
        <w:tc>
          <w:tcPr>
            <w:tcW w:type="dxa" w:w="3156"/>
          </w:tcPr>
          <w:p>
            <w:pPr>
              <w:jc w:val="center"/>
            </w:pPr>
            <w:r/>
            <w:r>
              <w:rPr>
                <w:rFonts w:ascii="Liberation Sans" w:hAnsi="Liberation Sans"/>
                <w:b/>
                <w:sz w:val="18"/>
              </w:rPr>
              <w:t>Rogers [SOBRENOME COMPLETO]</w:t>
            </w:r>
          </w:p>
          <w:p>
            <w:pPr>
              <w:jc w:val="center"/>
            </w:pPr>
            <w:r>
              <w:rPr>
                <w:rFonts w:ascii="Liberation Sans" w:hAnsi="Liberation Sans"/>
                <w:color w:val="4A5560"/>
                <w:sz w:val="17"/>
              </w:rPr>
              <w:t>Controlador</w:t>
            </w:r>
          </w:p>
        </w:tc>
      </w:tr>
    </w:tbl>
    <w:p>
      <w:pPr>
        <w:pBdr>
          <w:bottom w:val="single" w:sz="6" w:space="1" w:color="C9D1DA"/>
        </w:pBdr>
        <w:spacing w:after="160"/>
      </w:pPr>
    </w:p>
    <w:p>
      <w:pPr>
        <w:jc w:val="both"/>
      </w:pPr>
      <w:r>
        <w:rPr>
          <w:rFonts w:ascii="Liberation Sans" w:hAnsi="Liberation Sans"/>
          <w:color w:val="4A5560"/>
          <w:sz w:val="15"/>
        </w:rPr>
        <w:t>Controle de versão — Versão 1.0  |  Aprovado em: ____/____/______  |  Revisão anual  |  Próxima revisão: ____/____/______  |  Responsável pela guarda: Encarregado.  Documento de uso interno; disponibilizar à ANPD mediante requisição.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4A5560"/>
        <w:sz w:val="15"/>
      </w:rPr>
      <w:t xml:space="preserve">DOC-08   </w:t>
    </w:r>
    <w:fldSimple w:instr="PAGE">
      <w:r>
        <w:rPr>
          <w:sz w:val="15"/>
        </w:rPr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color w:val="4A5560"/>
        <w:sz w:val="15"/>
      </w:rPr>
      <w:t>[RAZÃO SOCIAL DO ESCRITÓRIO] — Programa de Governança em Privacidade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erif" w:hAnsi="Liberation Serif" w:eastAsia="Liberation Seri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