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Liberation Sans" w:hAnsi="Liberation Sans"/>
          <w:b/>
          <w:color w:val="4A5560"/>
          <w:sz w:val="16"/>
        </w:rPr>
        <w:t>DOC-10</w:t>
      </w:r>
    </w:p>
    <w:p>
      <w:pPr>
        <w:spacing w:after="40"/>
      </w:pPr>
      <w:r>
        <w:rPr>
          <w:rFonts w:ascii="Liberation Sans" w:hAnsi="Liberation Sans"/>
          <w:b/>
          <w:color w:val="14365C"/>
          <w:sz w:val="30"/>
        </w:rPr>
        <w:t>PLANO DE RESPOSTA A INCIDENTES DE SEGURANÇA</w:t>
      </w:r>
    </w:p>
    <w:p>
      <w:pPr>
        <w:spacing w:after="200"/>
      </w:pPr>
      <w:r>
        <w:rPr>
          <w:rFonts w:ascii="Liberation Sans" w:hAnsi="Liberation Sans"/>
          <w:color w:val="4A5560"/>
          <w:sz w:val="20"/>
        </w:rPr>
        <w:t>Art. 48 da LGPD e Regulamento aprovado pela Resolução CD/ANPD nº 15/2024</w:t>
      </w:r>
    </w:p>
    <w:p>
      <w:pPr>
        <w:pBdr>
          <w:bottom w:val="single" w:sz="6" w:space="1" w:color="C9D1DA"/>
        </w:pBd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4F7FA"/>
            <w:tcBorders>
              <w:left w:val="single" w:sz="18" w:color="A62121"/>
              <w:top w:val="nil" w:sz="0" w:color="A62121"/>
              <w:bottom w:val="nil" w:sz="0" w:color="A62121"/>
              <w:right w:val="nil" w:sz="0" w:color="A62121"/>
            </w:tcBorders>
          </w:tcPr>
          <w:p>
            <w:pPr>
              <w:jc w:val="both"/>
            </w:pPr>
            <w:r>
              <w:rPr>
                <w:rFonts w:ascii="Liberation Sans" w:hAnsi="Liberation Sans"/>
                <w:b/>
                <w:color w:val="A62121"/>
                <w:sz w:val="17"/>
              </w:rPr>
              <w:t xml:space="preserve">PRAZO CRÍTICO: 3 DIAS ÚTEIS  </w:t>
            </w:r>
            <w:r>
              <w:rPr>
                <w:sz w:val="19"/>
              </w:rPr>
              <w:t>O art. 6º do Anexo da Resolução CD/ANPD nº 15/2024 fixa o prazo de 3 (três) dias úteis para comunicar o incidente à ANPD, contados DO CONHECIMENTO, PELO CONTROLADOR, DE QUE O INCIDENTE AFETOU DADOS PESSOAIS — e não da data do ataque nem da conclusão da investigação técnica. O escritório está fora do regime de pequeno porte (ver DOC-01), portanto NÃO tem direito à contagem em dobro do § 8º.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1. Objetivo e abrangência</w:t>
      </w:r>
    </w:p>
    <w:p>
      <w:pPr>
        <w:jc w:val="both"/>
      </w:pPr>
      <w:r>
        <w:rPr>
          <w:i w:val="0"/>
          <w:sz w:val="21"/>
        </w:rPr>
        <w:t>Estabelecer o procedimento de detecção, contenção, avaliação, comunicação e encerramento de incidentes de segurança com dados pessoais. Aplica-se a todos os sistemas, repositórios, arquivos físicos e colaboradores do escritório, bem como aos incidentes ocorridos em operadores contratados.</w:t>
      </w: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2. Definição</w:t>
      </w:r>
    </w:p>
    <w:p>
      <w:pPr>
        <w:jc w:val="both"/>
      </w:pPr>
      <w:r>
        <w:rPr>
          <w:i w:val="0"/>
          <w:sz w:val="21"/>
        </w:rPr>
        <w:t>Incidente de segurança é qualquer evento adverso CONFIRMADO relacionado à violação das propriedades de confidencialidade, integridade, disponibilidade e autenticidade da segurança de dados pessoais (art. 3º, XII, do Anexo da Resolução nº 15/2024). Exemplos no contexto do escritório: envio de folha de pagamento ao cliente errado; acesso indevido de colaborador a dados fora de sua carteira; ransomware; perda de notebook sem cifragem; vazamento por fornecedor de sistema; descarte de documento em lixo comum; invasão de e-mail corporativo.</w:t>
      </w: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3. Equipe de resposta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c>
          <w:tcPr>
            <w:tcW w:type="dxa" w:w="1474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Papel</w:t>
            </w:r>
          </w:p>
        </w:tc>
        <w:tc>
          <w:tcPr>
            <w:tcW w:type="dxa" w:w="1928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Titular</w:t>
            </w:r>
          </w:p>
        </w:tc>
        <w:tc>
          <w:tcPr>
            <w:tcW w:type="dxa" w:w="136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Contato</w:t>
            </w:r>
          </w:p>
        </w:tc>
        <w:tc>
          <w:tcPr>
            <w:tcW w:type="dxa" w:w="4309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Responsabilidade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Coordenação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Rogers [SOBRENOME COMPLETO]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  <w:t>[telefone]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7"/>
              </w:rPr>
              <w:t>Conduzir a resposta; decidir escalonamento e acionamento externo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Técnico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[Analista de TI]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  <w:t>[telefone]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7"/>
              </w:rPr>
              <w:t>Contenção, erradicação, preservação de evidências e logs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Encarregado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Pedro [SOBRENOME COMPLETO]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  <w:t>[telefone]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7"/>
              </w:rPr>
              <w:t>Avaliar risco relevante; comunicar à ANPD e aos titulares; subscrever a comunicação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Jurídico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[nome/assessoria]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  <w:t>[telefone]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7"/>
              </w:rPr>
              <w:t>Obrigações legais e contratuais; comunicação a clientes-controladores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Comunicação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[nome]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  <w:t>[telefone]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7"/>
              </w:rPr>
              <w:t>Mensagem a titulares, clientes e, se necessário, ao público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4. Fluxo e marcos de tempo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204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Etapa</w:t>
            </w:r>
          </w:p>
        </w:tc>
        <w:tc>
          <w:tcPr>
            <w:tcW w:type="dxa" w:w="170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Prazo</w:t>
            </w:r>
          </w:p>
        </w:tc>
        <w:tc>
          <w:tcPr>
            <w:tcW w:type="dxa" w:w="5329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Ação e registro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6"/>
              </w:rPr>
              <w:t>1. Detecção e registro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6"/>
              </w:rPr>
              <w:t>Imediato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sz w:val="16"/>
              </w:rPr>
              <w:t>Registrar data e hora da detecção, quem detectou e o canal. Acionar a Coordenação e o Encarregado. Abrir ficha de incidente.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6"/>
              </w:rPr>
              <w:t>2. Contenção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6"/>
              </w:rPr>
              <w:t>Imediata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sz w:val="16"/>
              </w:rPr>
              <w:t>Interromper a propagação SEM destruir evidências: isolar máquina, revogar credencial, bloquear conta, suspender integração. Preservar logs antes de qualquer reinstalação.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6"/>
              </w:rPr>
              <w:t>3. Confirmação de que dados pessoais foram afetados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6"/>
              </w:rPr>
              <w:t>Assim que apurado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sz w:val="16"/>
              </w:rPr>
              <w:t>MARCO QUE INICIA O PRAZO DOS 3 DIAS ÚTEIS. Registrar data e hora com precisão e identificar quem confirmou.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6"/>
              </w:rPr>
              <w:t>4. Avaliação de risco relevante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6"/>
              </w:rPr>
              <w:t>Até 24 horas do marco 3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sz w:val="16"/>
              </w:rPr>
              <w:t>Aplicar a árvore de decisão do item 5. Registrar o resultado e o fundamento, comunique-se ou não.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6"/>
              </w:rPr>
              <w:t>5. Comunicação à ANPD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6"/>
              </w:rPr>
              <w:t>Até 3 dias úteis do marco 3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sz w:val="16"/>
              </w:rPr>
              <w:t>Formulário eletrônico da ANPD, com os 12 itens do item 6 deste plano, subscrito pelo Encarregado e ACOMPANHADO do documento comprobatório de vínculo (art. 6º, § 5º e § 6º).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6"/>
              </w:rPr>
              <w:t>6. Comunicação aos titulares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6"/>
              </w:rPr>
              <w:t>Até 3 dias úteis do marco 3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sz w:val="16"/>
              </w:rPr>
              <w:t>PRAZO PRÓPRIO E AUTÔNOMO (art. 9º), com os 7 itens do item 7 deste plano, em linguagem simples, de forma direta e individualizada. Quando o escritório é operador, a comunicação ao titular cabe ao cliente-controlador — notifique-o imediatamente.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6"/>
              </w:rPr>
              <w:t>7. Declaração de comunicação aos titulares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6"/>
              </w:rPr>
              <w:t>Até 3 dias úteis do término do prazo do marco 6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sz w:val="16"/>
              </w:rPr>
              <w:t>Juntar ao processo declaração de que a comunicação foi realizada, com os meios utilizados (art. 9º, § 4º).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6"/>
              </w:rPr>
              <w:t>8. Complementação à ANPD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6"/>
              </w:rPr>
              <w:t>Até 20 dias úteis da comunicação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sz w:val="16"/>
              </w:rPr>
              <w:t>De maneira fundamentada, nos termos do art. 6º, § 3º.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6"/>
              </w:rPr>
              <w:t>9. Erradicação e recuperação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6"/>
              </w:rPr>
              <w:t>Conforme a natureza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sz w:val="16"/>
              </w:rPr>
              <w:t>Remover a causa, restaurar a partir de backup testado, validar integridade.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6"/>
              </w:rPr>
              <w:t>10. Encerramento e lições aprendidas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6"/>
              </w:rPr>
              <w:t>Até 30 dias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sz w:val="16"/>
              </w:rPr>
              <w:t>Relatório final, causa raiz, correções implantadas e atualização deste plano. Levar ao comitê.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4F7FA"/>
            <w:tcBorders>
              <w:left w:val="single" w:sz="18" w:color="B3610E"/>
              <w:top w:val="nil" w:sz="0" w:color="B3610E"/>
              <w:bottom w:val="nil" w:sz="0" w:color="B3610E"/>
              <w:right w:val="nil" w:sz="0" w:color="B3610E"/>
            </w:tcBorders>
          </w:tcPr>
          <w:p>
            <w:pPr>
              <w:jc w:val="both"/>
            </w:pPr>
            <w:r>
              <w:rPr>
                <w:rFonts w:ascii="Liberation Sans" w:hAnsi="Liberation Sans"/>
                <w:b/>
                <w:color w:val="B3610E"/>
                <w:sz w:val="17"/>
              </w:rPr>
              <w:t xml:space="preserve">NOTIFICAÇÃO DO OPERADOR AO CONTROLADOR  </w:t>
            </w:r>
            <w:r>
              <w:rPr>
                <w:sz w:val="19"/>
              </w:rPr>
              <w:t>Se o incidente ocorrer em fornecedor (sistema contábil, nuvem, folha), o prazo do escritório continua sendo de 3 dias úteis do seu próprio conhecimento. Por isso o contrato do fornecedor deve impor notificação em até 24 horas — ver cláusulas do DOC-14. Inversamente, quando o escritório é operador de um cliente, DEVE notificar o cliente-controlador em até 24 horas para que ele cumpra o prazo dele.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5. Árvore de decisão — comunicar ou não</w:t>
      </w:r>
    </w:p>
    <w:p>
      <w:pPr>
        <w:jc w:val="both"/>
      </w:pPr>
      <w:r>
        <w:rPr>
          <w:i w:val="0"/>
          <w:sz w:val="21"/>
        </w:rPr>
        <w:t>O art. 5º do Anexo da Resolução nº 15/2024 estabelece teste CUMULATIVO. Comunique se AMBAS as condições forem verdadeiras: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1928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Condição</w:t>
            </w:r>
          </w:p>
        </w:tc>
        <w:tc>
          <w:tcPr>
            <w:tcW w:type="dxa" w:w="5783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Conteúdo</w:t>
            </w:r>
          </w:p>
        </w:tc>
        <w:tc>
          <w:tcPr>
            <w:tcW w:type="dxa" w:w="136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Verificado?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(a) Impacto significativo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  <w:r>
              <w:rPr>
                <w:sz w:val="17"/>
              </w:rPr>
              <w:t>O incidente pode afetar significativamente interesses e direitos fundamentais dos titulares — por exemplo, impedir o exercício de direitos ou o uso de um serviço, ou causar discriminação, violação à integridade física, à imagem ou à reputação, fraude financeira ou roubo de identidade (§ 1º).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  <w:t>Sim / Não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(b) Pelo menos um elemento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  <w:r>
              <w:rPr>
                <w:sz w:val="17"/>
              </w:rPr>
              <w:t>I — dados sensíveis; II — dados de crianças, adolescentes ou idosos; III — dados financeiros; IV — dados de autenticação em sistemas; V — dados protegidos por sigilo legal, judicial ou profissional; VI — dados em larga escala (incisos do caput do art. 5º). Larga escala considera número significativo de titulares, volume de dados, duração, frequência e extensão geográfica (§ 2º).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  <w:t>Sim / Não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4F7FA"/>
            <w:tcBorders>
              <w:left w:val="single" w:sz="18" w:color="A62121"/>
              <w:top w:val="nil" w:sz="0" w:color="A62121"/>
              <w:bottom w:val="nil" w:sz="0" w:color="A62121"/>
              <w:right w:val="nil" w:sz="0" w:color="A62121"/>
            </w:tcBorders>
          </w:tcPr>
          <w:p>
            <w:pPr>
              <w:jc w:val="both"/>
            </w:pPr>
            <w:r>
              <w:rPr>
                <w:rFonts w:ascii="Liberation Sans" w:hAnsi="Liberation Sans"/>
                <w:b/>
                <w:color w:val="A62121"/>
                <w:sz w:val="17"/>
              </w:rPr>
              <w:t xml:space="preserve">ALERTA ESPECÍFICO PARA ESCRITÓRIO CONTÁBIL  </w:t>
            </w:r>
            <w:r>
              <w:rPr>
                <w:sz w:val="19"/>
              </w:rPr>
              <w:t>O perfil de dados do escritório ativa a condição (b) com facilidade: folha de pagamento envolve dados financeiros (III); atestados e ASO são dados sensíveis (I); dependentes e menor aprendiz são dados de adolescentes (II); credenciais de acesso a eSocial e certificado digital são dados de autenticação (IV); informação contábil de cliente pode envolver sigilo profissional (V). Na prática, a maioria dos incidentes relevantes aqui satisfaz (b) — o que decide é a condição (a).</w:t>
            </w:r>
          </w:p>
        </w:tc>
      </w:tr>
    </w:tbl>
    <w:p>
      <w:pPr>
        <w:spacing w:after="60"/>
      </w:pPr>
    </w:p>
    <w:p>
      <w:pPr>
        <w:jc w:val="both"/>
      </w:pPr>
      <w:r>
        <w:rPr>
          <w:i w:val="0"/>
          <w:sz w:val="21"/>
        </w:rPr>
        <w:t>SE NÃO COMUNICAR, REGISTRE A DECISÃO E O FUNDAMENTO, E GUARDE O REGISTRO POR NO MÍNIMO CINCO ANOS. O art. 10 do Regulamento obriga a manter o registro de todo incidente, inclusive do não comunicado, e o art. 6º, § 7º, autoriza a ANPD a instaurar procedimento de apuração; sem registro, não há como demonstrar que houve avaliação.</w:t>
      </w: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6. Conteúdo obrigatório da comunicação à ANPD</w:t>
      </w:r>
    </w:p>
    <w:p>
      <w:pPr>
        <w:jc w:val="both"/>
      </w:pPr>
      <w:r>
        <w:rPr>
          <w:i/>
          <w:sz w:val="21"/>
        </w:rPr>
        <w:t>Os doze itens do art. 6º, § 2º. Preencher DURANTE a resposta, não ao final.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680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4535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Informação exigida</w:t>
            </w:r>
          </w:p>
        </w:tc>
        <w:tc>
          <w:tcPr>
            <w:tcW w:type="dxa" w:w="3855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Conteúdo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Natureza e categoria dos dados pessoais afetados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7"/>
              </w:rPr>
              <w:t>II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Número de titulares afetados, discriminando crianças, adolescentes e idosos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7"/>
              </w:rPr>
              <w:t>III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Medidas técnicas e de segurança adotadas antes e após o incidente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7"/>
              </w:rPr>
              <w:t>IV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Riscos relacionados e possíveis impactos aos titulares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7"/>
              </w:rPr>
              <w:t>V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Motivos da demora, se a comunicação não foi feita no prazo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7"/>
              </w:rPr>
              <w:t>VI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Medidas adotadas ou a adotar para reverter ou mitigar os efeitos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7"/>
              </w:rPr>
              <w:t>VII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Data da ocorrência (se determinável) e data do conhecimento pelo controlador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7"/>
              </w:rPr>
              <w:t>VIII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Dados do encarregado ou de quem representa o controlador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7"/>
              </w:rPr>
              <w:t>IX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Identificação do controlador e, se for o caso, declaração de ATPP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7"/>
              </w:rPr>
              <w:t>X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Identificação do operador, quando aplicável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7"/>
              </w:rPr>
              <w:t>XI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Descrição do incidente, incluindo a causa principal se identificável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7"/>
              </w:rPr>
              <w:t>XII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Total de titulares cujos dados são tratados nas atividades afetadas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7. Conteúdo obrigatório da comunicação AO TITULAR</w:t>
      </w:r>
    </w:p>
    <w:p>
      <w:pPr>
        <w:jc w:val="both"/>
      </w:pPr>
      <w:r>
        <w:rPr>
          <w:i/>
          <w:sz w:val="21"/>
        </w:rPr>
        <w:t>Os sete itens do art. 9º. A comunicação deve usar linguagem simples e de fácil entendimento e ocorrer de forma direta e individualizada — telefone, e-mail, mensagem ou carta —, sempre que os titulares sejam identificáveis. Se isso for inviável, divulgar em site, aplicativo, redes sociais e canais de atendimento, com fácil visualização, por no mínimo 3 (três) meses (§ 3º).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680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4535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Informação exigida</w:t>
            </w:r>
          </w:p>
        </w:tc>
        <w:tc>
          <w:tcPr>
            <w:tcW w:type="dxa" w:w="3855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Conteúdo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7"/>
              </w:rPr>
              <w:t>I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Natureza e categoria dos dados pessoais afetados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7"/>
              </w:rPr>
              <w:t>II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Medidas técnicas e de segurança utilizadas para proteção dos dados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7"/>
              </w:rPr>
              <w:t>III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Riscos relacionados e possíveis impactos aos titulares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7"/>
              </w:rPr>
              <w:t>IV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Motivos da demora, se a comunicação não foi feita no prazo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7"/>
              </w:rPr>
              <w:t>V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Medidas adotadas ou a adotar para reverter ou mitigar os efeitos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7"/>
              </w:rPr>
              <w:t>VI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Data do conhecimento do incidente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7"/>
              </w:rPr>
              <w:t>VII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Contato para obtenção de informações e dados do encarregado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4F7FA"/>
            <w:tcBorders>
              <w:left w:val="single" w:sz="18" w:color="1E7A47"/>
              <w:top w:val="nil" w:sz="0" w:color="1E7A47"/>
              <w:bottom w:val="nil" w:sz="0" w:color="1E7A47"/>
              <w:right w:val="nil" w:sz="0" w:color="1E7A47"/>
            </w:tcBorders>
          </w:tcPr>
          <w:p>
            <w:pPr>
              <w:jc w:val="both"/>
            </w:pPr>
            <w:r>
              <w:rPr>
                <w:rFonts w:ascii="Liberation Sans" w:hAnsi="Liberation Sans"/>
                <w:b/>
                <w:color w:val="1E7A47"/>
                <w:sz w:val="17"/>
              </w:rPr>
              <w:t xml:space="preserve">RECOMENDAÇÕES AO TITULAR CONTAM COMO BOA PRÁTICA  </w:t>
            </w:r>
            <w:r>
              <w:rPr>
                <w:sz w:val="19"/>
              </w:rPr>
              <w:t>O art. 9º, § 5º, prevê que incluir na comunicação recomendações aptas a reverter ou mitigar os efeitos pode ser considerado boa prática para os fins do art. 52, § 1º, IX, da LGPD — ou seja, pesa favoravelmente na dosimetria. Exemplo no contexto do escritório: orientar a troca de senha, o monitoramento de extrato e o alerta contra tentativas de golpe que usem os dados vazados.</w:t>
            </w:r>
          </w:p>
        </w:tc>
      </w:tr>
    </w:tbl>
    <w:p>
      <w:pPr>
        <w:spacing w:after="60"/>
      </w:pPr>
    </w:p>
    <w:p>
      <w:pPr>
        <w:jc w:val="both"/>
      </w:pPr>
      <w:r>
        <w:rPr>
          <w:i w:val="0"/>
          <w:sz w:val="21"/>
        </w:rPr>
        <w:t>Após a comunicação, é obrigatório juntar ao processo DECLARAÇÃO de que ela foi realizada, indicando os meios utilizados, em até 3 (três) dias úteis contados do término do prazo de comunicação (art. 9º, § 4º).</w:t>
      </w: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8. Dossiê permanente — preparar ANTES do incidente</w:t>
      </w:r>
    </w:p>
    <w:p>
      <w:pPr>
        <w:pStyle w:val="ListNumber"/>
        <w:spacing w:after="40"/>
        <w:jc w:val="both"/>
      </w:pPr>
      <w:r>
        <w:rPr>
          <w:sz w:val="21"/>
        </w:rPr>
        <w:t>documento comprobatório de vínculo do Encarregado (contrato de trabalho, termo de aceite do DOC-02, anotação em CTPS) digitalizado — localização: [caminho/sistema];</w:t>
      </w:r>
    </w:p>
    <w:p>
      <w:pPr>
        <w:pStyle w:val="ListNumber"/>
        <w:spacing w:after="40"/>
        <w:jc w:val="both"/>
      </w:pPr>
      <w:r>
        <w:rPr>
          <w:sz w:val="21"/>
        </w:rPr>
        <w:t>procuração com poderes de representação perante a ANPD, se a comunicação puder ser feita por representante;</w:t>
      </w:r>
    </w:p>
    <w:p>
      <w:pPr>
        <w:pStyle w:val="ListNumber"/>
        <w:spacing w:after="40"/>
        <w:jc w:val="both"/>
      </w:pPr>
      <w:r>
        <w:rPr>
          <w:sz w:val="21"/>
        </w:rPr>
        <w:t>inventário de sistemas, responsáveis e volumes (extraído do ROPA);</w:t>
      </w:r>
    </w:p>
    <w:p>
      <w:pPr>
        <w:pStyle w:val="ListNumber"/>
        <w:spacing w:after="40"/>
        <w:jc w:val="both"/>
      </w:pPr>
      <w:r>
        <w:rPr>
          <w:sz w:val="21"/>
        </w:rPr>
        <w:t>lista de contatos de emergência: equipe interna, fornecedores críticos, assessoria jurídica, suporte dos sistemas;</w:t>
      </w:r>
    </w:p>
    <w:p>
      <w:pPr>
        <w:pStyle w:val="ListNumber"/>
        <w:spacing w:after="40"/>
        <w:jc w:val="both"/>
      </w:pPr>
      <w:r>
        <w:rPr>
          <w:sz w:val="21"/>
        </w:rPr>
        <w:t>contatos dos clientes-controladores para notificação imediata;</w:t>
      </w:r>
    </w:p>
    <w:p>
      <w:pPr>
        <w:pStyle w:val="ListNumber"/>
        <w:spacing w:after="40"/>
        <w:jc w:val="both"/>
      </w:pPr>
      <w:r>
        <w:rPr>
          <w:sz w:val="21"/>
        </w:rPr>
        <w:t>modelo de aviso ao titular, pré-aprovado pelo jurídico;</w:t>
      </w:r>
    </w:p>
    <w:p>
      <w:pPr>
        <w:pStyle w:val="ListNumber"/>
        <w:spacing w:after="40"/>
        <w:jc w:val="both"/>
      </w:pPr>
      <w:r>
        <w:rPr>
          <w:sz w:val="21"/>
        </w:rPr>
        <w:t>credenciais de acesso ao formulário eletrônico da ANPD e instruções de uso.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4F7FA"/>
            <w:tcBorders>
              <w:left w:val="single" w:sz="18" w:color="A62121"/>
              <w:top w:val="nil" w:sz="0" w:color="A62121"/>
              <w:bottom w:val="nil" w:sz="0" w:color="A62121"/>
              <w:right w:val="nil" w:sz="0" w:color="A62121"/>
            </w:tcBorders>
          </w:tcPr>
          <w:p>
            <w:pPr>
              <w:jc w:val="both"/>
            </w:pPr>
            <w:r>
              <w:rPr>
                <w:rFonts w:ascii="Liberation Sans" w:hAnsi="Liberation Sans"/>
                <w:b/>
                <w:color w:val="A62121"/>
                <w:sz w:val="17"/>
              </w:rPr>
              <w:t xml:space="preserve">POR QUE O DOSSIÊ É CRÍTICO  </w:t>
            </w:r>
            <w:r>
              <w:rPr>
                <w:sz w:val="19"/>
              </w:rPr>
              <w:t>O § 6º do art. 6º exige que o documento de vínculo seja apresentado JUNTO com a comunicação, dentro dos 3 dias úteis. Obter contrato de trabalho e procuração sob pressão, durante uma crise, é o modo mais comum de perder o prazo — e o § 7º autoriza a ANPD a instaurar procedimento de apuração nessa hipótese.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9. Ficha de registro de incidente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4F7FA"/>
            <w:tcBorders>
              <w:left w:val="single" w:sz="18" w:color="A62121"/>
              <w:top w:val="nil" w:sz="0" w:color="A62121"/>
              <w:bottom w:val="nil" w:sz="0" w:color="A62121"/>
              <w:right w:val="nil" w:sz="0" w:color="A62121"/>
            </w:tcBorders>
          </w:tcPr>
          <w:p>
            <w:pPr>
              <w:jc w:val="both"/>
            </w:pPr>
            <w:r>
              <w:rPr>
                <w:rFonts w:ascii="Liberation Sans" w:hAnsi="Liberation Sans"/>
                <w:b/>
                <w:color w:val="A62121"/>
                <w:sz w:val="17"/>
              </w:rPr>
              <w:t xml:space="preserve">GUARDA OBRIGATÓRIA DE 5 ANOS, INCLUSIVE DO INCIDENTE NÃO COMUNICADO  </w:t>
            </w:r>
            <w:r>
              <w:rPr>
                <w:sz w:val="19"/>
              </w:rPr>
              <w:t>O art. 10 do Regulamento obriga o controlador a manter o registro do incidente — INCLUSIVE daquele não comunicado à ANPD e aos titulares — pelo prazo mínimo de cinco anos contados da data do registro. Os oito itens do § 1º são o conteúdo mínimo e estão marcados com (art. 10) na ficha abaixo. Descartar a ficha de um incidente que você decidiu não comunicar é, isoladamente, uma infração.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4535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535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Conteúdo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INC-____/20____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Data e hora da detecção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Quem detectou / canal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Data de conhecimento do incidente (art. 10, § 1º, I)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Data e hora da confirmação de afetação de dados pessoais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MARCO DO PRAZO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Descrição geral das circunstâncias em que ocorreu (art. 10, § 1º, II)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Causa raiz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Sistemas e repositórios afetados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Natureza e categoria de dados afetados (art. 10, § 1º, III)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Há dado sensível? Qual?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Número de titulares afetados (art. 10, § 1º, IV) — crianças, adolescentes e idosos à parte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Avaliação do risco e possíveis danos aos titulares (art. 10, § 1º, V)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Papel do escritório no tratamento afetado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controlador / operador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Cliente-controlador notificado em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Resultado da avaliação do art. 5º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comunicar / não comunicar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Motivos da ausência de comunicação (art. 10, § 1º, VIII)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Medidas de correção e mitigação dos efeitos (art. 10, § 1º, VI)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Forma e conteúdo da comunicação à ANPD e aos titulares (art. 10, § 1º, VII)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Data da comunicação à ANPD / protocolo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Data da comunicação aos titulares / meio utilizado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Data da declaração de comunicação aos titulares (art. 9º, § 4º)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Data da complementação à ANPD (art. 6º, § 3º)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Data de encerramento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Guardar até (mínimo 5 anos do registro)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____/____/______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  <w:t>Responsável pelo registro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10. Teste anual obrigatório (simulado)</w:t>
      </w:r>
    </w:p>
    <w:p>
      <w:pPr>
        <w:jc w:val="both"/>
      </w:pPr>
      <w:r>
        <w:rPr>
          <w:i w:val="0"/>
          <w:sz w:val="21"/>
        </w:rPr>
        <w:t>O plano deve ser testado no mínimo anualmente, com registro. Sem relatório de simulado, o plano é documento arquivado, não controle operante.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306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6009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Conteúdo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7"/>
              </w:rPr>
              <w:t>Data do simulado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7"/>
              </w:rPr>
              <w:t>Cenário aplicado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sz w:val="17"/>
              </w:rPr>
              <w:t>[ex.: ransomware no servidor de arquivos com folha de 40 clientes; ou envio de ASO ao e-mail errado]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7"/>
              </w:rPr>
              <w:t>Participantes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7"/>
              </w:rPr>
              <w:t>Tempo até a detecção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7"/>
              </w:rPr>
              <w:t>Tempo até a contenção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7"/>
              </w:rPr>
              <w:t>Tempo até a decisão do art. 5º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7"/>
              </w:rPr>
              <w:t>Comunicação seria feita no prazo?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sz w:val="17"/>
              </w:rPr>
              <w:t>sim / não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7"/>
              </w:rPr>
              <w:t>Falhas identificadas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7"/>
              </w:rPr>
              <w:t>Plano de correção e prazos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7"/>
              </w:rPr>
              <w:t>Levado ao comitê em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sz w:val="17"/>
              </w:rPr>
              <w:t>Ata nº ____</w:t>
            </w:r>
          </w:p>
        </w:tc>
      </w:tr>
    </w:tbl>
    <w:p>
      <w:pPr>
        <w:spacing w:after="60"/>
      </w:pPr>
    </w:p>
    <w:p>
      <w:pPr>
        <w:spacing w:before="280"/>
      </w:pPr>
      <w:r>
        <w:rPr>
          <w:sz w:val="21"/>
        </w:rPr>
        <w:t>[CIDADE] / [UF], _____ de _________________ de 20____.</w:t>
      </w:r>
    </w:p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3156"/>
          </w:tcPr>
          <w:p>
            <w:pPr>
              <w:jc w:val="center"/>
            </w:pPr>
            <w:r/>
            <w:r>
              <w:rPr>
                <w:sz w:val="20"/>
              </w:rPr>
              <w:t>__________________________________</w:t>
            </w:r>
          </w:p>
        </w:tc>
        <w:tc>
          <w:tcPr>
            <w:tcW w:type="dxa" w:w="3156"/>
          </w:tcPr>
          <w:p>
            <w:pPr>
              <w:jc w:val="center"/>
            </w:pPr>
            <w:r/>
            <w:r>
              <w:rPr>
                <w:sz w:val="20"/>
              </w:rPr>
              <w:t>__________________________________</w:t>
            </w:r>
          </w:p>
        </w:tc>
        <w:tc>
          <w:tcPr>
            <w:tcW w:type="dxa" w:w="3156"/>
          </w:tcPr>
          <w:p>
            <w:pPr>
              <w:jc w:val="center"/>
            </w:pPr>
            <w:r/>
            <w:r>
              <w:rPr>
                <w:sz w:val="20"/>
              </w:rPr>
              <w:t>__________________________________</w:t>
            </w:r>
          </w:p>
        </w:tc>
      </w:tr>
      <w:tr>
        <w:tc>
          <w:tcPr>
            <w:tcW w:type="dxa" w:w="3156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sz w:val="18"/>
              </w:rPr>
              <w:t>Pedro [SOBRENOME COMPLETO]</w:t>
            </w:r>
          </w:p>
          <w:p>
            <w:pPr>
              <w:jc w:val="center"/>
            </w:pPr>
            <w:r>
              <w:rPr>
                <w:rFonts w:ascii="Liberation Sans" w:hAnsi="Liberation Sans"/>
                <w:color w:val="4A5560"/>
                <w:sz w:val="17"/>
              </w:rPr>
              <w:t>Encarregado</w:t>
            </w:r>
          </w:p>
        </w:tc>
        <w:tc>
          <w:tcPr>
            <w:tcW w:type="dxa" w:w="3156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sz w:val="18"/>
              </w:rPr>
              <w:t>[Nome]</w:t>
            </w:r>
          </w:p>
          <w:p>
            <w:pPr>
              <w:jc w:val="center"/>
            </w:pPr>
            <w:r>
              <w:rPr>
                <w:rFonts w:ascii="Liberation Sans" w:hAnsi="Liberation Sans"/>
                <w:color w:val="4A5560"/>
                <w:sz w:val="17"/>
              </w:rPr>
              <w:t>TI / Segurança</w:t>
            </w:r>
          </w:p>
        </w:tc>
        <w:tc>
          <w:tcPr>
            <w:tcW w:type="dxa" w:w="3156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sz w:val="18"/>
              </w:rPr>
              <w:t>Rogers [SOBRENOME COMPLETO]</w:t>
            </w:r>
          </w:p>
          <w:p>
            <w:pPr>
              <w:jc w:val="center"/>
            </w:pPr>
            <w:r>
              <w:rPr>
                <w:rFonts w:ascii="Liberation Sans" w:hAnsi="Liberation Sans"/>
                <w:color w:val="4A5560"/>
                <w:sz w:val="17"/>
              </w:rPr>
              <w:t>Controlador</w:t>
            </w:r>
          </w:p>
        </w:tc>
      </w:tr>
    </w:tbl>
    <w:p>
      <w:pPr>
        <w:pBdr>
          <w:bottom w:val="single" w:sz="6" w:space="1" w:color="C9D1DA"/>
        </w:pBdr>
        <w:spacing w:after="160"/>
      </w:pPr>
    </w:p>
    <w:p>
      <w:pPr>
        <w:jc w:val="both"/>
      </w:pPr>
      <w:r>
        <w:rPr>
          <w:rFonts w:ascii="Liberation Sans" w:hAnsi="Liberation Sans"/>
          <w:color w:val="4A5560"/>
          <w:sz w:val="15"/>
        </w:rPr>
        <w:t>Controle de versão — Versão 1.0  |  Aprovado em: ____/____/______  |  Revisão anual  |  Próxima revisão: ____/____/______  |  Responsável pela guarda: Encarregado.  Documento de uso interno; disponibilizar à ANPD mediante requisição.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4A5560"/>
        <w:sz w:val="15"/>
      </w:rPr>
      <w:t xml:space="preserve">DOC-10   </w:t>
    </w:r>
    <w:fldSimple w:instr="PAGE">
      <w:r>
        <w:rPr>
          <w:sz w:val="15"/>
        </w:rPr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4A5560"/>
        <w:sz w:val="15"/>
      </w:rPr>
      <w:t>[RAZÃO SOCIAL DO ESCRITÓRIO] — Programa de Governança em Privacidade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erif" w:hAnsi="Liberation Serif" w:eastAsia="Liberation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