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DOC-12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PROGRAMA DE TREINAMENTO E LISTA DE PRESENÇA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Art. 41, § 2º, III, e art. 50 da Lei nº 13.709/2018</w:t>
      </w:r>
    </w:p>
    <w:p>
      <w:pPr>
        <w:pBdr>
          <w:bottom w:val="single" w:sz="6" w:space="1" w:color="C9D1DA"/>
        </w:pBdr>
        <w:spacing w:after="1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1. Fundamento</w:t>
      </w:r>
    </w:p>
    <w:p>
      <w:pPr>
        <w:jc w:val="both"/>
      </w:pPr>
      <w:r>
        <w:rPr>
          <w:i w:val="0"/>
          <w:sz w:val="21"/>
        </w:rPr>
        <w:t>Compete ao Encarregado orientar os funcionários e os contratados do escritório a respeito das práticas a serem tomadas em relação à proteção de dados pessoais (art. 41, § 2º, III). O art. 52, § 1º, VIII, valoriza na dosimetria de eventual sanção a adoção REITERADA E DEMONSTRADA de mecanismos e procedimentos internos — o que exige série histórica de registros, não um treinamento isolado.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2. Plano 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c>
          <w:tcPr>
            <w:tcW w:type="dxa" w:w="181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Treinamento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Público</w:t>
            </w:r>
          </w:p>
        </w:tc>
        <w:tc>
          <w:tcPr>
            <w:tcW w:type="dxa" w:w="79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Carga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Periodicidade</w:t>
            </w:r>
          </w:p>
        </w:tc>
        <w:tc>
          <w:tcPr>
            <w:tcW w:type="dxa" w:w="340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Conteúdo essencial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Fundamentos de LGPD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Todos os 18 colaboradores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[2h]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Anual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6"/>
              </w:rPr>
              <w:t>Conceitos, dados pessoais e sensíveis, princípios, bases legais, direitos dos titulares, como reportar incidente, como encaminhar pedido de titular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Dados sensíveis na rotina contábil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Folha/DP e quem acessa ASO e atestados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[1h30]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Anual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6"/>
              </w:rPr>
              <w:t>Art. 11, acesso restrito, guarda segregada, vedação de encaminhamento por canal inseguro, descarte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Papel de operador e instruções do cliente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Analistas contábeis e fiscais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[1h]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Anual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6"/>
              </w:rPr>
              <w:t>Diferença controlador/operador, vedação de uso para finalidade própria, o que fazer ao receber pedido de titular de cliente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Segurança prática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Todos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[1h]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Anual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6"/>
              </w:rPr>
              <w:t>Senhas e segundo fator, phishing, uso de dispositivo pessoal, envio de arquivo a cliente, mesa limpa, descarte de papel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Resposta a incidentes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Equipe de resposta do DOC-10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[2h]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Anual + simulado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6"/>
              </w:rPr>
              <w:t>Fluxo, marcos de tempo, prazo de 3 dias úteis, dossiê permanente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Integração (onboarding)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Novos colaboradores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[1h]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Até [15] dias da admissão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6"/>
              </w:rPr>
              <w:t>Fundamentos + regras internas da função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Reciclagem extraordinária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Público afetado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[variável]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Após incidente, mudança normativa ou alteração de processo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6"/>
              </w:rPr>
              <w:t>Tema específico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3. Lista de presença</w:t>
      </w:r>
    </w:p>
    <w:p>
      <w:pPr>
        <w:jc w:val="both"/>
      </w:pPr>
      <w:r>
        <w:rPr>
          <w:i/>
          <w:sz w:val="21"/>
        </w:rPr>
        <w:t>Uma lista por turma. Esta é a evidência exigida pelo checklist — e o material aplicado, na versão efetivamente usada, deve ser arquivado junto.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94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123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Título do treinamento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Data e horário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sz w:val="18"/>
              </w:rPr>
              <w:t>____/____/______, de ____:____ a ____:____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Carga horária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Instrutor e qualificação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Modalidade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sz w:val="18"/>
              </w:rPr>
              <w:t>presencial / remoto / e-learning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Público-alvo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Material aplicado (arquivo e versão)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Conteúdo programático efetivamente aplicado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56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#</w:t>
            </w:r>
          </w:p>
        </w:tc>
        <w:tc>
          <w:tcPr>
            <w:tcW w:type="dxa" w:w="362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Nome completo</w:t>
            </w:r>
          </w:p>
        </w:tc>
        <w:tc>
          <w:tcPr>
            <w:tcW w:type="dxa" w:w="226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Função / área</w:t>
            </w:r>
          </w:p>
        </w:tc>
        <w:tc>
          <w:tcPr>
            <w:tcW w:type="dxa" w:w="260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Assinatura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  <w:sz w:val="21"/>
        </w:rPr>
        <w:t>Cobertura: ______ participantes de ______ previstos (______%). Pendentes e prazo de reposição: ______________________________________________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[Instrutor]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Instrutor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4. Avaliação de aprendizagem</w:t>
      </w:r>
    </w:p>
    <w:p>
      <w:pPr>
        <w:jc w:val="both"/>
      </w:pPr>
      <w:r>
        <w:rPr>
          <w:i/>
          <w:sz w:val="21"/>
        </w:rPr>
        <w:t>Avaliação simples, aplicada ao final. É o que converte presença em evidência de eficácia e permite identificar quem precisa de reforço.</w:t>
      </w:r>
    </w:p>
    <w:p>
      <w:pPr>
        <w:pStyle w:val="ListNumber"/>
        <w:spacing w:after="40"/>
        <w:jc w:val="both"/>
      </w:pPr>
      <w:r>
        <w:rPr>
          <w:sz w:val="21"/>
        </w:rPr>
        <w:t>Atestado médico de empregado de cliente é dado sensível? Justifique.</w:t>
      </w:r>
    </w:p>
    <w:p>
      <w:pPr>
        <w:pStyle w:val="ListNumber"/>
        <w:spacing w:after="40"/>
        <w:jc w:val="both"/>
      </w:pPr>
      <w:r>
        <w:rPr>
          <w:sz w:val="21"/>
        </w:rPr>
        <w:t>Ao receber um pedido de empregado de cliente solicitando acesso aos próprios dados de folha, qual é o procedimento correto e por quê?</w:t>
      </w:r>
    </w:p>
    <w:p>
      <w:pPr>
        <w:pStyle w:val="ListNumber"/>
        <w:spacing w:after="40"/>
        <w:jc w:val="both"/>
      </w:pPr>
      <w:r>
        <w:rPr>
          <w:sz w:val="21"/>
        </w:rPr>
        <w:t>Qual o prazo para comunicar à ANPD um incidente com risco relevante, e de que momento ele é contado?</w:t>
      </w:r>
    </w:p>
    <w:p>
      <w:pPr>
        <w:pStyle w:val="ListNumber"/>
        <w:spacing w:after="40"/>
        <w:jc w:val="both"/>
      </w:pPr>
      <w:r>
        <w:rPr>
          <w:sz w:val="21"/>
        </w:rPr>
        <w:t>Cite duas situações da sua rotina que configuram incidente de segurança.</w:t>
      </w:r>
    </w:p>
    <w:p>
      <w:pPr>
        <w:pStyle w:val="ListNumber"/>
        <w:spacing w:after="40"/>
        <w:jc w:val="both"/>
      </w:pPr>
      <w:r>
        <w:rPr>
          <w:sz w:val="21"/>
        </w:rPr>
        <w:t>O cliente pede que você envie a folha completa por WhatsApp. Qual a conduta?</w:t>
      </w:r>
    </w:p>
    <w:p>
      <w:pPr>
        <w:pStyle w:val="ListNumber"/>
        <w:spacing w:after="40"/>
        <w:jc w:val="both"/>
      </w:pPr>
      <w:r>
        <w:rPr>
          <w:sz w:val="21"/>
        </w:rPr>
        <w:t>Pode-se usar legítimo interesse para tratar biometria? Por quê?</w:t>
      </w:r>
    </w:p>
    <w:p>
      <w:pPr>
        <w:pStyle w:val="ListNumber"/>
        <w:spacing w:after="40"/>
        <w:jc w:val="both"/>
      </w:pPr>
      <w:r>
        <w:rPr>
          <w:sz w:val="21"/>
        </w:rPr>
        <w:t>Um colega pede acesso a dados de cliente que não está na carteira dele. Qual a conduta?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340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Participante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Acertos</w:t>
            </w:r>
          </w:p>
        </w:tc>
        <w:tc>
          <w:tcPr>
            <w:tcW w:type="dxa" w:w="204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26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Reforço necessário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aprovado / reforço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5. Controle de cobertura 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</w:tblGrid>
      <w:tr>
        <w:tc>
          <w:tcPr>
            <w:tcW w:type="dxa" w:w="249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124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Previstos</w:t>
            </w:r>
          </w:p>
        </w:tc>
        <w:tc>
          <w:tcPr>
            <w:tcW w:type="dxa" w:w="124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Treinados</w:t>
            </w:r>
          </w:p>
        </w:tc>
        <w:tc>
          <w:tcPr>
            <w:tcW w:type="dxa" w:w="90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%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Pendentes</w:t>
            </w:r>
          </w:p>
        </w:tc>
        <w:tc>
          <w:tcPr>
            <w:tcW w:type="dxa" w:w="147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Prazo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Sócios / direção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Folha / DP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Contábil / fiscal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TI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Administrativo / recepção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Estagiários / aprendizes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Terceiros com acesso a dados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TOTAL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B3610E"/>
              <w:top w:val="nil" w:sz="0" w:color="B3610E"/>
              <w:bottom w:val="nil" w:sz="0" w:color="B3610E"/>
              <w:right w:val="nil" w:sz="0" w:color="B3610E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B3610E"/>
                <w:sz w:val="17"/>
              </w:rPr>
              <w:t xml:space="preserve">NÃO ESQUEÇA OS TERCEIROS  </w:t>
            </w:r>
            <w:r>
              <w:rPr>
                <w:sz w:val="19"/>
              </w:rPr>
              <w:t>O art. 41, § 2º, III, fala em funcionários E CONTRATADOS. Serviço de limpeza com acesso a salas onde há documento em papel, suporte de TI terceirizado e estagiários entram na conta de cobertura.</w:t>
            </w:r>
          </w:p>
        </w:tc>
      </w:tr>
    </w:tbl>
    <w:p>
      <w:pPr>
        <w:spacing w:after="60"/>
      </w:pPr>
    </w:p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DOC-12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