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Roy Aggarwal</w:t>
      </w:r>
    </w:p>
    <w:p>
      <w:pPr>
        <w:pStyle w:val="Normal"/>
        <w:rPr/>
      </w:pPr>
      <w:r>
        <w:rPr/>
        <w:t>Notes to Wireframes</w:t>
      </w:r>
    </w:p>
    <w:p>
      <w:pPr>
        <w:pStyle w:val="Normal"/>
        <w:rPr/>
      </w:pPr>
      <w:r>
        <w:rPr/>
      </w:r>
    </w:p>
    <w:p>
      <w:pPr>
        <w:pStyle w:val="Normal"/>
        <w:rPr/>
      </w:pPr>
      <w:r>
        <w:rPr/>
      </w:r>
    </w:p>
    <w:p>
      <w:pPr>
        <w:pStyle w:val="Normal"/>
        <w:rPr>
          <w:b/>
          <w:b/>
          <w:bCs/>
        </w:rPr>
      </w:pPr>
      <w:r>
        <w:rPr>
          <w:b/>
          <w:bCs/>
        </w:rPr>
        <w:t>Desktop</w:t>
      </w:r>
    </w:p>
    <w:p>
      <w:pPr>
        <w:pStyle w:val="Normal"/>
        <w:numPr>
          <w:ilvl w:val="0"/>
          <w:numId w:val="1"/>
        </w:numPr>
        <w:rPr>
          <w:b w:val="false"/>
          <w:b w:val="false"/>
          <w:bCs w:val="false"/>
        </w:rPr>
      </w:pPr>
      <w:r>
        <w:rPr>
          <w:b w:val="false"/>
          <w:bCs w:val="false"/>
        </w:rPr>
        <w:t>M</w:t>
      </w:r>
      <w:r>
        <w:rPr>
          <w:b w:val="false"/>
          <w:bCs w:val="false"/>
        </w:rPr>
        <w:t>y m</w:t>
      </w:r>
      <w:r>
        <w:rPr>
          <w:b w:val="false"/>
          <w:bCs w:val="false"/>
        </w:rPr>
        <w:t xml:space="preserve">enu redesign used the existing menu in the top left corner </w:t>
      </w:r>
      <w:r>
        <w:rPr>
          <w:b w:val="false"/>
          <w:bCs w:val="false"/>
        </w:rPr>
        <w:t xml:space="preserve">of art.yale.edu </w:t>
      </w:r>
      <w:r>
        <w:rPr>
          <w:b w:val="false"/>
          <w:bCs w:val="false"/>
        </w:rPr>
        <w:t>as a starting point</w:t>
      </w:r>
    </w:p>
    <w:p>
      <w:pPr>
        <w:pStyle w:val="Normal"/>
        <w:numPr>
          <w:ilvl w:val="0"/>
          <w:numId w:val="1"/>
        </w:numPr>
        <w:rPr>
          <w:b w:val="false"/>
          <w:b w:val="false"/>
          <w:bCs w:val="false"/>
        </w:rPr>
      </w:pPr>
      <w:r>
        <w:rPr>
          <w:b w:val="false"/>
          <w:bCs w:val="false"/>
        </w:rPr>
        <w:t xml:space="preserve">Menus shown are top level only, </w:t>
      </w:r>
      <w:r>
        <w:rPr>
          <w:b w:val="false"/>
          <w:bCs w:val="false"/>
        </w:rPr>
        <w:t>m</w:t>
      </w:r>
      <w:r>
        <w:rPr>
          <w:b w:val="false"/>
          <w:bCs w:val="false"/>
        </w:rPr>
        <w:t xml:space="preserve">enu </w:t>
      </w:r>
      <w:r>
        <w:rPr>
          <w:b w:val="false"/>
          <w:bCs w:val="false"/>
        </w:rPr>
        <w:t xml:space="preserve">item </w:t>
      </w:r>
      <w:r>
        <w:rPr>
          <w:b w:val="false"/>
          <w:bCs w:val="false"/>
        </w:rPr>
        <w:t>click</w:t>
      </w:r>
      <w:r>
        <w:rPr>
          <w:b w:val="false"/>
          <w:bCs w:val="false"/>
        </w:rPr>
        <w:t>s</w:t>
      </w:r>
      <w:r>
        <w:rPr>
          <w:b w:val="false"/>
          <w:bCs w:val="false"/>
        </w:rPr>
        <w:t xml:space="preserve"> lead to </w:t>
      </w:r>
      <w:r>
        <w:rPr>
          <w:b w:val="false"/>
          <w:bCs w:val="false"/>
        </w:rPr>
        <w:t xml:space="preserve">their respective </w:t>
      </w:r>
      <w:r>
        <w:rPr>
          <w:b w:val="false"/>
          <w:bCs w:val="false"/>
        </w:rPr>
        <w:t>dedicated page</w:t>
      </w:r>
      <w:r>
        <w:rPr>
          <w:b w:val="false"/>
          <w:bCs w:val="false"/>
        </w:rPr>
        <w:t>s</w:t>
      </w:r>
    </w:p>
    <w:p>
      <w:pPr>
        <w:pStyle w:val="Normal"/>
        <w:numPr>
          <w:ilvl w:val="0"/>
          <w:numId w:val="1"/>
        </w:numPr>
        <w:rPr>
          <w:b w:val="false"/>
          <w:b w:val="false"/>
          <w:bCs w:val="false"/>
        </w:rPr>
      </w:pPr>
      <w:r>
        <w:rPr>
          <w:b w:val="false"/>
          <w:bCs w:val="false"/>
        </w:rPr>
        <w:t>Judgment</w:t>
      </w:r>
      <w:r>
        <w:rPr>
          <w:b w:val="false"/>
          <w:bCs w:val="false"/>
        </w:rPr>
        <w:t xml:space="preserve"> call on what menu items were dropped</w:t>
      </w:r>
    </w:p>
    <w:p>
      <w:pPr>
        <w:pStyle w:val="Normal"/>
        <w:numPr>
          <w:ilvl w:val="0"/>
          <w:numId w:val="1"/>
        </w:numPr>
        <w:rPr>
          <w:b w:val="false"/>
          <w:b w:val="false"/>
          <w:bCs w:val="false"/>
        </w:rPr>
      </w:pPr>
      <w:r>
        <w:rPr>
          <w:b w:val="false"/>
          <w:bCs w:val="false"/>
        </w:rPr>
        <w:t>Judgment call on what menu items to keep and how to structure a menu hierarchy</w:t>
      </w:r>
    </w:p>
    <w:p>
      <w:pPr>
        <w:pStyle w:val="Normal"/>
        <w:numPr>
          <w:ilvl w:val="0"/>
          <w:numId w:val="1"/>
        </w:numPr>
        <w:rPr>
          <w:b w:val="false"/>
          <w:b w:val="false"/>
          <w:bCs w:val="false"/>
        </w:rPr>
      </w:pPr>
      <w:r>
        <w:rPr>
          <w:b w:val="false"/>
          <w:bCs w:val="false"/>
        </w:rPr>
        <w:t>Excepting “Student”, all menu items have no second level dropdown structure</w:t>
      </w:r>
    </w:p>
    <w:p>
      <w:pPr>
        <w:pStyle w:val="Normal"/>
        <w:numPr>
          <w:ilvl w:val="0"/>
          <w:numId w:val="0"/>
        </w:numPr>
        <w:ind w:left="720" w:hanging="0"/>
        <w:rPr>
          <w:b w:val="false"/>
          <w:b w:val="false"/>
          <w:bCs w:val="false"/>
        </w:rPr>
      </w:pPr>
      <w:r>
        <w:rPr>
          <w:b w:val="false"/>
          <w:bCs w:val="false"/>
        </w:rPr>
      </w:r>
    </w:p>
    <w:p>
      <w:pPr>
        <w:pStyle w:val="Normal"/>
        <w:numPr>
          <w:ilvl w:val="0"/>
          <w:numId w:val="1"/>
        </w:numPr>
        <w:rPr>
          <w:b w:val="false"/>
          <w:b w:val="false"/>
          <w:bCs w:val="false"/>
        </w:rPr>
      </w:pPr>
      <w:r>
        <w:rPr>
          <w:b w:val="false"/>
          <w:bCs w:val="false"/>
        </w:rPr>
        <w:t xml:space="preserve">I chose to focus on the Student menu </w:t>
      </w:r>
      <w:r>
        <w:rPr>
          <w:b w:val="false"/>
          <w:bCs w:val="false"/>
        </w:rPr>
        <w:t>and draw attention to that focus with a 5-item dropdown pick list. The first row below are the items in a pick list, the second and third rows are children of the first row.</w:t>
      </w:r>
    </w:p>
    <w:p>
      <w:pPr>
        <w:pStyle w:val="Normal"/>
        <w:numPr>
          <w:ilvl w:val="0"/>
          <w:numId w:val="0"/>
        </w:numPr>
        <w:ind w:left="720" w:hanging="0"/>
        <w:rPr>
          <w:b w:val="false"/>
          <w:b w:val="false"/>
          <w:bCs w:val="false"/>
        </w:rPr>
      </w:pPr>
      <w:r>
        <w:rPr>
          <w:b w:val="false"/>
          <w:bCs w:val="false"/>
        </w:rPr>
      </w:r>
    </w:p>
    <w:p>
      <w:pPr>
        <w:pStyle w:val="Normal"/>
        <w:numPr>
          <w:ilvl w:val="0"/>
          <w:numId w:val="0"/>
        </w:numPr>
        <w:ind w:left="720" w:hanging="0"/>
        <w:rPr>
          <w:b w:val="false"/>
          <w:b w:val="false"/>
          <w:bCs w:val="false"/>
        </w:rPr>
      </w:pPr>
      <w:r>
        <w:rPr>
          <w:b w:val="false"/>
          <w:bCs w:val="false"/>
        </w:rPr>
        <w:t>ADMISSIONS</w:t>
        <w:tab/>
        <w:tab/>
        <w:t>FINANCIAL AID</w:t>
        <w:tab/>
        <w:tab/>
      </w:r>
      <w:r>
        <w:rPr>
          <w:b w:val="false"/>
          <w:bCs w:val="false"/>
        </w:rPr>
        <w:t>UNDERGRADUATE</w:t>
        <w:tab/>
        <w:tab/>
        <w:t>POSTGRADUATE</w:t>
        <w:tab/>
        <w:tab/>
        <w:t>SUMMER PROGRAMS</w:t>
      </w:r>
    </w:p>
    <w:p>
      <w:pPr>
        <w:pStyle w:val="Normal"/>
        <w:numPr>
          <w:ilvl w:val="0"/>
          <w:numId w:val="0"/>
        </w:numPr>
        <w:ind w:left="2880" w:hanging="0"/>
        <w:rPr>
          <w:b w:val="false"/>
          <w:b w:val="false"/>
          <w:bCs w:val="false"/>
        </w:rPr>
      </w:pPr>
      <w:r>
        <w:rPr>
          <w:b w:val="false"/>
          <w:bCs w:val="false"/>
        </w:rPr>
        <w:t>-</w:t>
      </w:r>
      <w:r>
        <w:rPr>
          <w:b w:val="false"/>
          <w:bCs w:val="false"/>
        </w:rPr>
        <w:t>Campus Loans Office</w:t>
        <w:tab/>
        <w:tab/>
        <w:t>-Study Areas</w:t>
        <w:tab/>
        <w:tab/>
        <w:tab/>
        <w:t>-Study Areas</w:t>
      </w:r>
      <w:r>
        <w:rPr>
          <w:b w:val="false"/>
          <w:bCs w:val="false"/>
        </w:rPr>
        <w:tab/>
        <w:tab/>
        <w:tab/>
        <w:t>-</w:t>
      </w:r>
      <w:r>
        <w:rPr>
          <w:b w:val="false"/>
          <w:bCs w:val="false"/>
        </w:rPr>
        <w:t>Kids</w:t>
      </w:r>
    </w:p>
    <w:p>
      <w:pPr>
        <w:pStyle w:val="Normal"/>
        <w:numPr>
          <w:ilvl w:val="0"/>
          <w:numId w:val="0"/>
        </w:numPr>
        <w:ind w:left="2880" w:hanging="0"/>
        <w:rPr>
          <w:b w:val="false"/>
          <w:b w:val="false"/>
          <w:bCs w:val="false"/>
        </w:rPr>
      </w:pPr>
      <w:r>
        <w:rPr>
          <w:b w:val="false"/>
          <w:bCs w:val="false"/>
        </w:rPr>
        <w:t>-</w:t>
      </w:r>
      <w:r>
        <w:rPr>
          <w:b w:val="false"/>
          <w:bCs w:val="false"/>
        </w:rPr>
        <w:t>Government Contacts</w:t>
        <w:tab/>
        <w:t>-Course Calendar</w:t>
        <w:tab/>
        <w:tab/>
        <w:t>-Course Calendar</w:t>
        <w:tab/>
        <w:tab/>
        <w:t>-Continuing Ed.</w:t>
      </w:r>
    </w:p>
    <w:p>
      <w:pPr>
        <w:pStyle w:val="Normal"/>
        <w:rPr>
          <w:b w:val="false"/>
          <w:b w:val="false"/>
          <w:bCs w:val="false"/>
        </w:rPr>
      </w:pPr>
      <w:r>
        <w:rPr>
          <w:b w:val="false"/>
          <w:bCs w:val="false"/>
        </w:rPr>
      </w:r>
    </w:p>
    <w:p>
      <w:pPr>
        <w:pStyle w:val="Normal"/>
        <w:rPr>
          <w:b/>
          <w:b/>
          <w:bCs/>
        </w:rPr>
      </w:pPr>
      <w:r>
        <w:rPr>
          <w:b/>
          <w:bCs/>
        </w:rPr>
        <w:t>Tablet &amp; Mobile</w:t>
      </w:r>
    </w:p>
    <w:p>
      <w:pPr>
        <w:pStyle w:val="Normal"/>
        <w:numPr>
          <w:ilvl w:val="0"/>
          <w:numId w:val="2"/>
        </w:numPr>
        <w:rPr>
          <w:b w:val="false"/>
          <w:b w:val="false"/>
          <w:bCs w:val="false"/>
        </w:rPr>
      </w:pPr>
      <w:r>
        <w:rPr>
          <w:b w:val="false"/>
          <w:bCs w:val="false"/>
        </w:rPr>
        <w:t>Design was based on the desktop design</w:t>
      </w:r>
    </w:p>
    <w:p>
      <w:pPr>
        <w:pStyle w:val="Normal"/>
        <w:numPr>
          <w:ilvl w:val="0"/>
          <w:numId w:val="2"/>
        </w:numPr>
        <w:rPr>
          <w:b w:val="false"/>
          <w:b w:val="false"/>
          <w:bCs w:val="false"/>
        </w:rPr>
      </w:pPr>
      <w:r>
        <w:rPr>
          <w:b w:val="false"/>
          <w:bCs w:val="false"/>
        </w:rPr>
        <w:t>Mobile is the same view as tablet, just a smaller form factor</w:t>
      </w:r>
    </w:p>
    <w:p>
      <w:pPr>
        <w:pStyle w:val="Normal"/>
        <w:numPr>
          <w:ilvl w:val="0"/>
          <w:numId w:val="2"/>
        </w:numPr>
        <w:rPr>
          <w:b w:val="false"/>
          <w:b w:val="false"/>
          <w:bCs w:val="false"/>
        </w:rPr>
      </w:pPr>
      <w:r>
        <w:rPr>
          <w:b w:val="false"/>
          <w:bCs w:val="false"/>
        </w:rPr>
        <w:t>There was deliberately no “Support” button placed at the bottom. This was done in order to preserve white space, and also to not duplicate the “?” (help) icon at the top right corner of the screen.</w:t>
      </w:r>
    </w:p>
    <w:p>
      <w:pPr>
        <w:pStyle w:val="Normal"/>
        <w:rPr>
          <w:b w:val="false"/>
          <w:b w:val="false"/>
          <w:bCs w:val="false"/>
        </w:rPr>
      </w:pPr>
      <w:r>
        <w:rPr>
          <w:b w:val="false"/>
          <w:bCs w:val="false"/>
        </w:rPr>
      </w:r>
    </w:p>
    <w:p>
      <w:pPr>
        <w:pStyle w:val="Normal"/>
        <w:rPr>
          <w:b w:val="false"/>
          <w:b w:val="false"/>
          <w:bCs w:val="false"/>
        </w:rPr>
      </w:pPr>
      <w:r>
        <w:rPr>
          <w:b w:val="false"/>
          <w:bCs w:val="false"/>
        </w:rPr>
      </w:r>
    </w:p>
    <w:sectPr>
      <w:type w:val="nextPage"/>
      <w:pgSz w:orient="landscape" w:w="15840" w:h="122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1"/>
    <w:family w:val="swiss"/>
    <w:pitch w:val="default"/>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Calibri" w:hAnsi="Calibri"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w:rPr>
  </w:style>
  <w:style w:type="paragraph" w:styleId="Caption">
    <w:name w:val="Caption"/>
    <w:basedOn w:val="Normal"/>
    <w:qFormat/>
    <w:pPr>
      <w:suppressLineNumbers/>
      <w:spacing w:before="120" w:after="120"/>
    </w:pPr>
    <w:rPr>
      <w:rFonts w:ascii="Calibri" w:hAnsi="Calibri" w:cs="Arial"/>
      <w:i/>
      <w:iCs/>
      <w:sz w:val="24"/>
      <w:szCs w:val="24"/>
    </w:rPr>
  </w:style>
  <w:style w:type="paragraph" w:styleId="Index">
    <w:name w:val="Index"/>
    <w:basedOn w:val="Normal"/>
    <w:qFormat/>
    <w:pPr>
      <w:suppressLineNumbers/>
    </w:pPr>
    <w:rPr>
      <w:rFonts w:ascii="Calibri" w:hAnsi="Calibr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TotalTime>
  <Application>LibreOffice/6.2.2.2$Windows_x86 LibreOffice_project/2b840030fec2aae0fd2658d8d4f9548af4e3518d</Application>
  <Pages>1</Pages>
  <Words>210</Words>
  <Characters>967</Characters>
  <CharactersWithSpaces>1158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2019-09-12T15:34:46Z</dcterms:created>
  <dc:creator/>
  <dc:description/>
  <dc:language>en-US</dc:language>
  <cp:lastModifiedBy/>
  <dcterms:modified xsi:type="dcterms:W3CDTF">2019-09-12T19:43:22Z</dcterms:modified>
  <cp:revision>2</cp:revision>
  <dc:subject/>
  <dc:title/>
</cp:coreProperties>
</file>