
<file path=[Content_Types].xml><?xml version="1.0" encoding="utf-8"?>
<Types xmlns="http://schemas.openxmlformats.org/package/2006/content-types">
  <Default Extension="tmp"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080" w:type="dxa"/>
        <w:tblCellMar>
          <w:top w:w="43" w:type="dxa"/>
          <w:left w:w="115" w:type="dxa"/>
          <w:bottom w:w="43" w:type="dxa"/>
          <w:right w:w="115" w:type="dxa"/>
        </w:tblCellMar>
        <w:tblLook w:val="04A0" w:firstRow="1" w:lastRow="0" w:firstColumn="1" w:lastColumn="0" w:noHBand="0" w:noVBand="1"/>
      </w:tblPr>
      <w:tblGrid>
        <w:gridCol w:w="1033"/>
        <w:gridCol w:w="9047"/>
      </w:tblGrid>
      <w:tr w:rsidR="00502279" w:rsidRPr="00502279" w14:paraId="07233D56" w14:textId="77777777" w:rsidTr="001550CE">
        <w:tc>
          <w:tcPr>
            <w:tcW w:w="1033" w:type="dxa"/>
          </w:tcPr>
          <w:p w14:paraId="3FF75B14" w14:textId="77777777" w:rsidR="00502279" w:rsidRPr="00EF718C" w:rsidRDefault="00502279" w:rsidP="00536C3D">
            <w:pPr>
              <w:pStyle w:val="SubjectLine"/>
            </w:pPr>
            <w:r w:rsidRPr="00EF718C">
              <w:t>Date:</w:t>
            </w:r>
          </w:p>
        </w:tc>
        <w:tc>
          <w:tcPr>
            <w:tcW w:w="9047" w:type="dxa"/>
          </w:tcPr>
          <w:p w14:paraId="0F6DECD4" w14:textId="0CCC2ACC" w:rsidR="00502279" w:rsidRPr="00502279" w:rsidRDefault="00C34609" w:rsidP="00EF718C">
            <w:r>
              <w:t xml:space="preserve">August </w:t>
            </w:r>
            <w:r w:rsidR="005365D1">
              <w:t>2</w:t>
            </w:r>
            <w:r w:rsidR="0000160C">
              <w:t>1</w:t>
            </w:r>
            <w:r w:rsidR="00B34551" w:rsidRPr="00F50384">
              <w:t>, 2018</w:t>
            </w:r>
          </w:p>
        </w:tc>
      </w:tr>
      <w:tr w:rsidR="00502279" w:rsidRPr="00502279" w14:paraId="2BE6AA10" w14:textId="77777777" w:rsidTr="001550CE">
        <w:tc>
          <w:tcPr>
            <w:tcW w:w="1033" w:type="dxa"/>
          </w:tcPr>
          <w:p w14:paraId="6DF4C82F" w14:textId="77777777" w:rsidR="00502279" w:rsidRPr="00EF718C" w:rsidRDefault="00502279" w:rsidP="00536C3D">
            <w:pPr>
              <w:pStyle w:val="SubjectLine"/>
            </w:pPr>
            <w:r w:rsidRPr="00EF718C">
              <w:t>To:</w:t>
            </w:r>
          </w:p>
        </w:tc>
        <w:tc>
          <w:tcPr>
            <w:tcW w:w="9047" w:type="dxa"/>
          </w:tcPr>
          <w:p w14:paraId="62B098E6" w14:textId="77777777" w:rsidR="00502279" w:rsidRPr="00502279" w:rsidRDefault="00B34551" w:rsidP="004823F1">
            <w:r>
              <w:t>Allison Wood, San Diego Association of Governments</w:t>
            </w:r>
          </w:p>
        </w:tc>
      </w:tr>
      <w:tr w:rsidR="00502279" w:rsidRPr="00502279" w14:paraId="653C6AFA" w14:textId="77777777" w:rsidTr="001550CE">
        <w:tc>
          <w:tcPr>
            <w:tcW w:w="1033" w:type="dxa"/>
          </w:tcPr>
          <w:p w14:paraId="4B1700FA" w14:textId="77777777" w:rsidR="00502279" w:rsidRPr="00EF718C" w:rsidRDefault="00502279" w:rsidP="00536C3D">
            <w:pPr>
              <w:pStyle w:val="SubjectLine"/>
            </w:pPr>
            <w:r w:rsidRPr="00EF718C">
              <w:t>From:</w:t>
            </w:r>
          </w:p>
        </w:tc>
        <w:tc>
          <w:tcPr>
            <w:tcW w:w="9047" w:type="dxa"/>
          </w:tcPr>
          <w:p w14:paraId="4C8D5681" w14:textId="77777777" w:rsidR="00502279" w:rsidRPr="00502279" w:rsidRDefault="00B34551" w:rsidP="007A5D7C">
            <w:pPr>
              <w:jc w:val="both"/>
            </w:pPr>
            <w:r>
              <w:t>Brenda Hom and Poonam Boparai</w:t>
            </w:r>
          </w:p>
        </w:tc>
      </w:tr>
      <w:tr w:rsidR="00502279" w:rsidRPr="00502279" w14:paraId="41C8C674" w14:textId="77777777" w:rsidTr="001550CE">
        <w:tc>
          <w:tcPr>
            <w:tcW w:w="1033" w:type="dxa"/>
          </w:tcPr>
          <w:p w14:paraId="59E0EA09" w14:textId="77777777" w:rsidR="00502279" w:rsidRPr="00EF718C" w:rsidRDefault="00502279" w:rsidP="00536C3D">
            <w:pPr>
              <w:pStyle w:val="SubjectLine"/>
            </w:pPr>
            <w:r w:rsidRPr="00EF718C">
              <w:t>Subject:</w:t>
            </w:r>
          </w:p>
        </w:tc>
        <w:tc>
          <w:tcPr>
            <w:tcW w:w="9047" w:type="dxa"/>
          </w:tcPr>
          <w:p w14:paraId="247F46B8" w14:textId="19194A6A" w:rsidR="00502279" w:rsidRPr="004823F1" w:rsidRDefault="00B34551" w:rsidP="00D738E3">
            <w:pPr>
              <w:rPr>
                <w:b/>
              </w:rPr>
            </w:pPr>
            <w:r>
              <w:rPr>
                <w:b/>
              </w:rPr>
              <w:t xml:space="preserve">SANDAG Electric Vehicle Off-Model Calculator Methodology for </w:t>
            </w:r>
            <w:r w:rsidR="00364A47">
              <w:rPr>
                <w:b/>
              </w:rPr>
              <w:t>SCS Compliance – 2019 San Diego Forward: The Regional Plan</w:t>
            </w:r>
          </w:p>
        </w:tc>
      </w:tr>
      <w:tr w:rsidR="00502279" w:rsidRPr="00502279" w14:paraId="01B2A246" w14:textId="77777777" w:rsidTr="001550CE">
        <w:tc>
          <w:tcPr>
            <w:tcW w:w="1033" w:type="dxa"/>
            <w:tcBorders>
              <w:bottom w:val="single" w:sz="4" w:space="0" w:color="auto"/>
            </w:tcBorders>
          </w:tcPr>
          <w:p w14:paraId="4E72202A" w14:textId="77777777" w:rsidR="00502279" w:rsidRPr="00EF718C" w:rsidRDefault="00502279" w:rsidP="001550CE">
            <w:pPr>
              <w:rPr>
                <w:b/>
                <w:sz w:val="24"/>
              </w:rPr>
            </w:pPr>
          </w:p>
        </w:tc>
        <w:tc>
          <w:tcPr>
            <w:tcW w:w="9047" w:type="dxa"/>
            <w:tcBorders>
              <w:bottom w:val="single" w:sz="4" w:space="0" w:color="auto"/>
            </w:tcBorders>
          </w:tcPr>
          <w:p w14:paraId="0B48C4CD" w14:textId="77777777" w:rsidR="00502279" w:rsidRPr="00502279" w:rsidRDefault="00502279" w:rsidP="00EF718C"/>
        </w:tc>
      </w:tr>
    </w:tbl>
    <w:p w14:paraId="3D081AF1" w14:textId="5201880D" w:rsidR="007A5D7C" w:rsidRDefault="007A5D7C" w:rsidP="006B752E">
      <w:pPr>
        <w:pStyle w:val="BodyText"/>
      </w:pPr>
    </w:p>
    <w:p w14:paraId="79C78CC2" w14:textId="36A4F3B0" w:rsidR="000A7309" w:rsidRDefault="00B34551" w:rsidP="006B752E">
      <w:pPr>
        <w:pStyle w:val="BodyText"/>
      </w:pPr>
      <w:r>
        <w:t>The San Diego Association of Governments (SANDAG) tasked Ascent with preparing a</w:t>
      </w:r>
      <w:r w:rsidR="001732C1">
        <w:t xml:space="preserve"> carbon dioxide </w:t>
      </w:r>
      <w:r>
        <w:t>(</w:t>
      </w:r>
      <w:r w:rsidR="001732C1">
        <w:t>CO</w:t>
      </w:r>
      <w:r w:rsidR="001732C1" w:rsidRPr="001732C1">
        <w:rPr>
          <w:vertAlign w:val="subscript"/>
        </w:rPr>
        <w:t>2</w:t>
      </w:r>
      <w:r>
        <w:t>) emission</w:t>
      </w:r>
      <w:r w:rsidR="00A53757">
        <w:t>s</w:t>
      </w:r>
      <w:r>
        <w:t xml:space="preserve"> calculator for regional electric vehicle (EV) programs </w:t>
      </w:r>
      <w:r w:rsidR="00AE295F">
        <w:t xml:space="preserve">that </w:t>
      </w:r>
      <w:r w:rsidR="00A53757">
        <w:t>would</w:t>
      </w:r>
      <w:r>
        <w:t xml:space="preserve"> be considered “off-model” </w:t>
      </w:r>
      <w:r w:rsidR="00A36666">
        <w:t>greenhouse gas (GHG)</w:t>
      </w:r>
      <w:r>
        <w:t xml:space="preserve"> </w:t>
      </w:r>
      <w:r w:rsidR="00AE295F">
        <w:t xml:space="preserve">reduction strategies in San Diego Forward: The </w:t>
      </w:r>
      <w:r w:rsidR="000A0DD4">
        <w:t xml:space="preserve">2019-2050 </w:t>
      </w:r>
      <w:r w:rsidR="00AE295F">
        <w:t>Regional Plan</w:t>
      </w:r>
      <w:r w:rsidR="000A0DD4">
        <w:t xml:space="preserve"> (2019 Regional Plan)</w:t>
      </w:r>
      <w:r w:rsidR="00AE295F">
        <w:t xml:space="preserve">. </w:t>
      </w:r>
      <w:r w:rsidR="00C416AE">
        <w:t xml:space="preserve">The </w:t>
      </w:r>
      <w:r w:rsidR="003558B6">
        <w:t xml:space="preserve">2019 </w:t>
      </w:r>
      <w:r w:rsidR="000A0DD4">
        <w:t>Regional Plan</w:t>
      </w:r>
      <w:r w:rsidR="00AE295F">
        <w:t xml:space="preserve"> is SANDAG’s third Regional Transportation Plan and Sustainable Communities Strategy</w:t>
      </w:r>
      <w:r w:rsidR="00020F41">
        <w:t xml:space="preserve"> (RTP/SCS)</w:t>
      </w:r>
      <w:r w:rsidR="00AE295F">
        <w:t xml:space="preserve"> pursuant to Senate Bill (SB) 375. </w:t>
      </w:r>
    </w:p>
    <w:p w14:paraId="391929BD" w14:textId="73808551" w:rsidR="000A7309" w:rsidRDefault="000A7309" w:rsidP="000A7309">
      <w:pPr>
        <w:pStyle w:val="BodyText"/>
      </w:pPr>
      <w:r w:rsidRPr="00C65FD9">
        <w:t>SB 375</w:t>
      </w:r>
      <w:r w:rsidR="005E0A51">
        <w:t xml:space="preserve">, </w:t>
      </w:r>
      <w:r w:rsidRPr="00C65FD9">
        <w:t xml:space="preserve">signed into law </w:t>
      </w:r>
      <w:r w:rsidR="005E0A51">
        <w:t xml:space="preserve">in 2008, </w:t>
      </w:r>
      <w:r w:rsidRPr="00C65FD9">
        <w:t xml:space="preserve">aligns regional </w:t>
      </w:r>
      <w:r w:rsidR="005E0A51">
        <w:t>transportation planning efforts</w:t>
      </w:r>
      <w:r w:rsidRPr="00C65FD9">
        <w:t xml:space="preserve"> and land use and housing allocation</w:t>
      </w:r>
      <w:r>
        <w:t xml:space="preserve"> with overall </w:t>
      </w:r>
      <w:r w:rsidR="000739C6">
        <w:t>S</w:t>
      </w:r>
      <w:r>
        <w:t>tate GHG reduction goals</w:t>
      </w:r>
      <w:r w:rsidRPr="00C65FD9">
        <w:t>.</w:t>
      </w:r>
      <w:r w:rsidR="005E0A51">
        <w:t xml:space="preserve"> </w:t>
      </w:r>
      <w:r>
        <w:t>Assembly Bill</w:t>
      </w:r>
      <w:r w:rsidR="005B3367">
        <w:t xml:space="preserve"> (AB)</w:t>
      </w:r>
      <w:r>
        <w:t xml:space="preserve"> 32 </w:t>
      </w:r>
      <w:r w:rsidR="00C34609">
        <w:t xml:space="preserve">(2006) </w:t>
      </w:r>
      <w:r>
        <w:t>and Executive Order (EO) S-3-05</w:t>
      </w:r>
      <w:r w:rsidR="00C306AB">
        <w:t xml:space="preserve"> </w:t>
      </w:r>
      <w:r w:rsidR="00C34609">
        <w:t>(2005) established targets</w:t>
      </w:r>
      <w:r w:rsidR="00C306AB">
        <w:t xml:space="preserve"> for </w:t>
      </w:r>
      <w:r>
        <w:t xml:space="preserve">the </w:t>
      </w:r>
      <w:r w:rsidR="000739C6">
        <w:t>S</w:t>
      </w:r>
      <w:r>
        <w:t xml:space="preserve">tate </w:t>
      </w:r>
      <w:r w:rsidR="00C306AB">
        <w:t xml:space="preserve">to </w:t>
      </w:r>
      <w:r>
        <w:t xml:space="preserve">reduce its GHG emissions to 1990 levels by 2020 and 80 percent below 1990 levels by 2050. SB 32, signed in 2016, set an intermediate target of </w:t>
      </w:r>
      <w:r w:rsidR="003E52B7">
        <w:t xml:space="preserve">reducing statewide emissions to </w:t>
      </w:r>
      <w:r>
        <w:t>40 percent below 1990 levels by 2030.</w:t>
      </w:r>
      <w:r w:rsidR="00C306AB">
        <w:t xml:space="preserve"> Given that transportation accounts for nearly 40 </w:t>
      </w:r>
      <w:r w:rsidR="00C306AB" w:rsidRPr="00247431">
        <w:t xml:space="preserve">percent of the </w:t>
      </w:r>
      <w:r w:rsidR="000739C6" w:rsidRPr="00247431">
        <w:t>s</w:t>
      </w:r>
      <w:r w:rsidR="00C306AB" w:rsidRPr="00247431">
        <w:t xml:space="preserve">tate’s emissions, the efforts in </w:t>
      </w:r>
      <w:r w:rsidR="009E67EE" w:rsidRPr="00247431">
        <w:t xml:space="preserve">SB 375 </w:t>
      </w:r>
      <w:r w:rsidR="00C306AB" w:rsidRPr="00247431">
        <w:t>to reduce</w:t>
      </w:r>
      <w:r w:rsidR="000739C6" w:rsidRPr="00247431">
        <w:t xml:space="preserve"> regional</w:t>
      </w:r>
      <w:r w:rsidR="00C306AB" w:rsidRPr="00247431">
        <w:t xml:space="preserve"> transportation</w:t>
      </w:r>
      <w:r w:rsidR="000739C6" w:rsidRPr="00247431">
        <w:t>-related emissions</w:t>
      </w:r>
      <w:r w:rsidR="00C306AB" w:rsidRPr="00247431">
        <w:t xml:space="preserve"> </w:t>
      </w:r>
      <w:r w:rsidR="00C34609">
        <w:t>are</w:t>
      </w:r>
      <w:r w:rsidR="009E67EE" w:rsidRPr="00247431">
        <w:t xml:space="preserve"> key </w:t>
      </w:r>
      <w:r w:rsidR="00C306AB" w:rsidRPr="00247431">
        <w:t xml:space="preserve">to supporting </w:t>
      </w:r>
      <w:r w:rsidR="009E67EE" w:rsidRPr="00247431">
        <w:t>the State’s GHG reductio</w:t>
      </w:r>
      <w:r w:rsidR="00C306AB" w:rsidRPr="00247431">
        <w:t xml:space="preserve">ns goals. </w:t>
      </w:r>
      <w:r w:rsidR="005F1CF5" w:rsidRPr="00247431">
        <w:t>(</w:t>
      </w:r>
      <w:r w:rsidR="005E0A51" w:rsidRPr="00247431">
        <w:t>California Air Resources Board [</w:t>
      </w:r>
      <w:r w:rsidR="005F1CF5" w:rsidRPr="00247431">
        <w:t>CARB</w:t>
      </w:r>
      <w:r w:rsidR="005E0A51" w:rsidRPr="00247431">
        <w:t>]</w:t>
      </w:r>
      <w:r w:rsidR="005F1CF5" w:rsidRPr="00247431">
        <w:t xml:space="preserve"> 2017, 2018</w:t>
      </w:r>
      <w:r w:rsidR="00247431" w:rsidRPr="00102B13">
        <w:t>a</w:t>
      </w:r>
      <w:r w:rsidR="005F1CF5" w:rsidRPr="00247431">
        <w:t>).</w:t>
      </w:r>
    </w:p>
    <w:p w14:paraId="6295E39F" w14:textId="1D7BB7F5" w:rsidR="005E0A51" w:rsidRDefault="005E0A51" w:rsidP="005E0A51">
      <w:pPr>
        <w:pStyle w:val="BodyText"/>
      </w:pPr>
      <w:r w:rsidRPr="00C65FD9">
        <w:t>SB 375 requires metropolitan planning organizations (MPOs)</w:t>
      </w:r>
      <w:r>
        <w:t>, such as SANDAG,</w:t>
      </w:r>
      <w:r w:rsidRPr="00C65FD9">
        <w:t xml:space="preserve"> to adopt a</w:t>
      </w:r>
      <w:r>
        <w:t>n</w:t>
      </w:r>
      <w:r w:rsidRPr="00C65FD9">
        <w:t xml:space="preserve"> SCS or Alternative Planning Strategy, showing land use allocation in each MPO’s Regional Transportation Plan. </w:t>
      </w:r>
      <w:r>
        <w:t>The California Air Resources Board (</w:t>
      </w:r>
      <w:r w:rsidRPr="00C65FD9">
        <w:t>CARB</w:t>
      </w:r>
      <w:r>
        <w:t>)</w:t>
      </w:r>
      <w:r w:rsidRPr="00C65FD9">
        <w:t>, in consultation with the MPOs, provide</w:t>
      </w:r>
      <w:r w:rsidR="00A64731">
        <w:t>s</w:t>
      </w:r>
      <w:r w:rsidRPr="00C65FD9">
        <w:t xml:space="preserve"> each affected region with reduction targets for GHGs emitted by passenger cars and light trucks in their respective</w:t>
      </w:r>
      <w:r>
        <w:t xml:space="preserve"> regions for 2020 and 2035. SANDAG </w:t>
      </w:r>
      <w:r w:rsidRPr="00C65FD9">
        <w:t xml:space="preserve">serves as the MPO for </w:t>
      </w:r>
      <w:r>
        <w:t xml:space="preserve">San Diego </w:t>
      </w:r>
      <w:r w:rsidR="00A64731">
        <w:t>c</w:t>
      </w:r>
      <w:r>
        <w:t xml:space="preserve">ounty and </w:t>
      </w:r>
      <w:r w:rsidRPr="00C65FD9">
        <w:t xml:space="preserve">adopted </w:t>
      </w:r>
      <w:r w:rsidR="003D506F" w:rsidRPr="003D506F">
        <w:t>San Diego Forward: The 2015 Regional Plan</w:t>
      </w:r>
      <w:r>
        <w:t xml:space="preserve"> in </w:t>
      </w:r>
      <w:r w:rsidR="00107BA5">
        <w:t xml:space="preserve">October </w:t>
      </w:r>
      <w:r>
        <w:t>2015</w:t>
      </w:r>
      <w:r w:rsidRPr="00C65FD9">
        <w:t>.  In March 2018, CARB adopted the Target Update for the SB 375 targets tasking SA</w:t>
      </w:r>
      <w:r>
        <w:t>NDAG</w:t>
      </w:r>
      <w:r w:rsidRPr="00C65FD9">
        <w:t xml:space="preserve"> to achieve a </w:t>
      </w:r>
      <w:r>
        <w:t>15</w:t>
      </w:r>
      <w:r w:rsidRPr="00C65FD9">
        <w:t xml:space="preserve"> percent and a 19 percent </w:t>
      </w:r>
      <w:r w:rsidRPr="00247431">
        <w:t>per capita reduction</w:t>
      </w:r>
      <w:r w:rsidR="00FB7917" w:rsidRPr="00247431">
        <w:t xml:space="preserve"> in CO</w:t>
      </w:r>
      <w:r w:rsidR="00FB7917" w:rsidRPr="00296689">
        <w:rPr>
          <w:vertAlign w:val="subscript"/>
        </w:rPr>
        <w:t>2</w:t>
      </w:r>
      <w:r w:rsidR="00FB7917" w:rsidRPr="00247431">
        <w:t xml:space="preserve"> emissions</w:t>
      </w:r>
      <w:r w:rsidRPr="00247431">
        <w:t xml:space="preserve"> from 2005 levels by 2020 and 2035, respectively (CARB 201</w:t>
      </w:r>
      <w:r w:rsidR="00247431" w:rsidRPr="00296689">
        <w:t>8</w:t>
      </w:r>
      <w:r w:rsidR="00167E3A" w:rsidRPr="00247431">
        <w:t>b</w:t>
      </w:r>
      <w:r w:rsidRPr="00247431">
        <w:t>).</w:t>
      </w:r>
    </w:p>
    <w:p w14:paraId="087F5476" w14:textId="691EF485" w:rsidR="00475676" w:rsidRDefault="00167E3A">
      <w:pPr>
        <w:pStyle w:val="BodyText"/>
      </w:pPr>
      <w:r>
        <w:t xml:space="preserve">In order to </w:t>
      </w:r>
      <w:r w:rsidR="006B26F5">
        <w:t xml:space="preserve">ensure that the emissions reductions are solely attributed to MPO </w:t>
      </w:r>
      <w:r w:rsidR="00852564">
        <w:t>actions</w:t>
      </w:r>
      <w:r w:rsidR="006B26F5">
        <w:t>, CARB sets a number of stipulations in its recommended SB 375 SCS GHG reduction methodology.</w:t>
      </w:r>
      <w:r w:rsidR="00735521">
        <w:t xml:space="preserve"> CARB recommends that </w:t>
      </w:r>
      <w:r w:rsidR="00735521">
        <w:lastRenderedPageBreak/>
        <w:t xml:space="preserve">MPOs </w:t>
      </w:r>
      <w:r>
        <w:t xml:space="preserve">use a </w:t>
      </w:r>
      <w:r w:rsidR="00735521">
        <w:t>post-processed</w:t>
      </w:r>
      <w:r>
        <w:t xml:space="preserve"> set of vehicle emissions factors </w:t>
      </w:r>
      <w:r w:rsidR="00FB7917">
        <w:t xml:space="preserve">in CARB’s EMissions FACtor (EMFAC) model that prevent MPOs from taking credit from </w:t>
      </w:r>
      <w:r w:rsidR="002D7388">
        <w:t xml:space="preserve">improving </w:t>
      </w:r>
      <w:r w:rsidR="00296689">
        <w:t>S</w:t>
      </w:r>
      <w:r w:rsidR="002D7388">
        <w:t>tate and federal</w:t>
      </w:r>
      <w:r>
        <w:t xml:space="preserve"> vehicle </w:t>
      </w:r>
      <w:r w:rsidR="00A71A1F">
        <w:t xml:space="preserve">efficiency </w:t>
      </w:r>
      <w:r w:rsidR="00FB7917">
        <w:t xml:space="preserve">standards </w:t>
      </w:r>
      <w:r>
        <w:t xml:space="preserve">to achieve the assigned </w:t>
      </w:r>
      <w:r w:rsidR="00A71A1F">
        <w:t>targets</w:t>
      </w:r>
      <w:r w:rsidR="002D7388">
        <w:t xml:space="preserve">. This </w:t>
      </w:r>
      <w:r w:rsidR="00A71A1F">
        <w:t>stipulation generally leads</w:t>
      </w:r>
      <w:r w:rsidR="002D7388">
        <w:t xml:space="preserve"> MPOs to</w:t>
      </w:r>
      <w:r w:rsidR="00A71A1F">
        <w:t xml:space="preserve"> reduce emissions by </w:t>
      </w:r>
      <w:r w:rsidR="006B26F5">
        <w:t>reducing vehicle miles traveled (VMT) through land use and transportation planning strategies</w:t>
      </w:r>
      <w:r w:rsidR="00FB7917">
        <w:t>. Although</w:t>
      </w:r>
      <w:r w:rsidR="006B26F5">
        <w:t xml:space="preserve"> </w:t>
      </w:r>
      <w:r w:rsidR="00FB7917">
        <w:t>planning efforts may account for the majority of CO</w:t>
      </w:r>
      <w:r w:rsidR="00FB7917" w:rsidRPr="00F34C87">
        <w:rPr>
          <w:vertAlign w:val="subscript"/>
        </w:rPr>
        <w:t>2</w:t>
      </w:r>
      <w:r w:rsidR="00FB7917">
        <w:t xml:space="preserve"> emission reductions under SB 375</w:t>
      </w:r>
      <w:r w:rsidR="00735521">
        <w:t xml:space="preserve">, CARB allows for the inclusion of “off-model” strategies where MPOs can take </w:t>
      </w:r>
      <w:r w:rsidR="00A71A1F">
        <w:t xml:space="preserve">emissions reductions </w:t>
      </w:r>
      <w:r w:rsidR="00735521">
        <w:t>cr</w:t>
      </w:r>
      <w:r w:rsidR="00735521" w:rsidRPr="002F1614">
        <w:t xml:space="preserve">edit </w:t>
      </w:r>
      <w:r w:rsidR="00FB7917" w:rsidRPr="002F1614">
        <w:t>for transportation</w:t>
      </w:r>
      <w:r w:rsidR="00735521" w:rsidRPr="002F1614">
        <w:t xml:space="preserve"> programs and other activities that are not fully captured in t</w:t>
      </w:r>
      <w:r w:rsidR="00A71A1F" w:rsidRPr="002F1614">
        <w:t>he regional transportation model, such as SANDAG’s Activity Based Model (ABM)</w:t>
      </w:r>
      <w:r w:rsidR="00735521" w:rsidRPr="002F1614">
        <w:t xml:space="preserve"> (CARB 2011). </w:t>
      </w:r>
      <w:r w:rsidR="00A1193F" w:rsidRPr="002F1614">
        <w:t>The</w:t>
      </w:r>
      <w:r w:rsidR="00A71A1F" w:rsidRPr="002F1614">
        <w:t xml:space="preserve"> “off-model” strategy</w:t>
      </w:r>
      <w:r w:rsidR="00A1193F" w:rsidRPr="002F1614">
        <w:t xml:space="preserve"> pro</w:t>
      </w:r>
      <w:r w:rsidR="00A1193F">
        <w:t xml:space="preserve">grams may include transportation demand management </w:t>
      </w:r>
      <w:r w:rsidR="00A71A1F">
        <w:t>(TDM) and</w:t>
      </w:r>
      <w:r w:rsidR="00A1193F">
        <w:t xml:space="preserve"> EV programs, which are not generally correlated with land use planning. </w:t>
      </w:r>
      <w:r w:rsidR="00475676">
        <w:t>The “off-model” quantification of the emissions reductions from SANDAG’s EV programs under the 2019 Regional Plan is the subject of this memorandum.</w:t>
      </w:r>
      <w:r w:rsidR="00852564">
        <w:t xml:space="preserve"> </w:t>
      </w:r>
    </w:p>
    <w:p w14:paraId="3427790E" w14:textId="77777777" w:rsidR="00A1193F" w:rsidRDefault="00A1193F" w:rsidP="00A1193F">
      <w:pPr>
        <w:pStyle w:val="Heading4"/>
      </w:pPr>
      <w:r>
        <w:t>2019 Regional Plan EV Off-Model Approach</w:t>
      </w:r>
    </w:p>
    <w:p w14:paraId="546DA9D6" w14:textId="718D2CC3" w:rsidR="00A1193F" w:rsidRDefault="00A1193F" w:rsidP="00F34C87">
      <w:pPr>
        <w:pStyle w:val="Heading5"/>
      </w:pPr>
      <w:r>
        <w:t>Background</w:t>
      </w:r>
      <w:r w:rsidR="00F42BC8">
        <w:t xml:space="preserve"> and Purpose</w:t>
      </w:r>
    </w:p>
    <w:p w14:paraId="62353CAB" w14:textId="7EE5C827" w:rsidR="00AD4BDE" w:rsidRDefault="00AD4BDE" w:rsidP="00AD4BDE">
      <w:pPr>
        <w:pStyle w:val="BodyText"/>
        <w:rPr>
          <w:lang w:val="en"/>
        </w:rPr>
      </w:pPr>
      <w:r>
        <w:rPr>
          <w:lang w:val="en"/>
        </w:rPr>
        <w:t>An</w:t>
      </w:r>
      <w:r w:rsidRPr="00AD4BDE">
        <w:rPr>
          <w:lang w:val="en"/>
        </w:rPr>
        <w:t xml:space="preserve"> exhaustive evaluation of the California passenger vehicle market and technology </w:t>
      </w:r>
      <w:r>
        <w:rPr>
          <w:lang w:val="en"/>
        </w:rPr>
        <w:t xml:space="preserve">conducted by CARB found </w:t>
      </w:r>
      <w:r w:rsidRPr="00AD4BDE">
        <w:rPr>
          <w:lang w:val="en"/>
        </w:rPr>
        <w:t>that the GHG emission standards currently in place for model years 2022-2025 are readily feasible at or below the costs estimated in 201</w:t>
      </w:r>
      <w:r>
        <w:rPr>
          <w:lang w:val="en"/>
        </w:rPr>
        <w:t xml:space="preserve">2 </w:t>
      </w:r>
      <w:r w:rsidRPr="00AD4BDE">
        <w:rPr>
          <w:lang w:val="en"/>
        </w:rPr>
        <w:t xml:space="preserve">when the </w:t>
      </w:r>
      <w:r>
        <w:rPr>
          <w:lang w:val="en"/>
        </w:rPr>
        <w:t xml:space="preserve">Advanced Clean Cars Program </w:t>
      </w:r>
      <w:r w:rsidRPr="00AD4BDE">
        <w:rPr>
          <w:lang w:val="en"/>
        </w:rPr>
        <w:t>standards were adopted with support from automakers. Continuing on the path to meeting the 2025 standards will deliver significant clean-air and public health benefits for Californians and cost-savings for consumers. The</w:t>
      </w:r>
      <w:r>
        <w:rPr>
          <w:lang w:val="en"/>
        </w:rPr>
        <w:t xml:space="preserve"> </w:t>
      </w:r>
      <w:r w:rsidRPr="00AD4BDE">
        <w:rPr>
          <w:lang w:val="en"/>
        </w:rPr>
        <w:t>Midterm Review of Advanced Clean Cars Program report confirm</w:t>
      </w:r>
      <w:r>
        <w:rPr>
          <w:lang w:val="en"/>
        </w:rPr>
        <w:t>ed</w:t>
      </w:r>
      <w:r w:rsidRPr="00AD4BDE">
        <w:rPr>
          <w:lang w:val="en"/>
        </w:rPr>
        <w:t xml:space="preserve"> that the previously adopted package of GHG standards</w:t>
      </w:r>
      <w:r>
        <w:rPr>
          <w:lang w:val="en"/>
        </w:rPr>
        <w:t xml:space="preserve"> and </w:t>
      </w:r>
      <w:r w:rsidRPr="00AD4BDE">
        <w:rPr>
          <w:lang w:val="en"/>
        </w:rPr>
        <w:t>technology-forcing zero</w:t>
      </w:r>
      <w:r w:rsidR="00665A81">
        <w:rPr>
          <w:lang w:val="en"/>
        </w:rPr>
        <w:t xml:space="preserve"> </w:t>
      </w:r>
      <w:r w:rsidRPr="00AD4BDE">
        <w:rPr>
          <w:lang w:val="en"/>
        </w:rPr>
        <w:t>emission vehicle standards are appropriate. The report indicate</w:t>
      </w:r>
      <w:r>
        <w:rPr>
          <w:lang w:val="en"/>
        </w:rPr>
        <w:t>d</w:t>
      </w:r>
      <w:r w:rsidRPr="00AD4BDE">
        <w:rPr>
          <w:lang w:val="en"/>
        </w:rPr>
        <w:t xml:space="preserve"> that existing programs in California will add at least 1 million zero</w:t>
      </w:r>
      <w:r w:rsidR="00665A81">
        <w:rPr>
          <w:lang w:val="en"/>
        </w:rPr>
        <w:t xml:space="preserve"> </w:t>
      </w:r>
      <w:r w:rsidRPr="00AD4BDE">
        <w:rPr>
          <w:lang w:val="en"/>
        </w:rPr>
        <w:t>emission vehicles on its roads and highways by 2025</w:t>
      </w:r>
      <w:r w:rsidR="00E244A4">
        <w:rPr>
          <w:lang w:val="en"/>
        </w:rPr>
        <w:t>.</w:t>
      </w:r>
      <w:r w:rsidR="00E244A4" w:rsidRPr="00E244A4">
        <w:rPr>
          <w:lang w:val="en"/>
        </w:rPr>
        <w:t xml:space="preserve"> CARB staff’s analysis found that conventional technology to achieve th</w:t>
      </w:r>
      <w:r w:rsidR="00E244A4">
        <w:rPr>
          <w:lang w:val="en"/>
        </w:rPr>
        <w:t>e</w:t>
      </w:r>
      <w:r w:rsidR="00E244A4" w:rsidRPr="00E244A4">
        <w:rPr>
          <w:lang w:val="en"/>
        </w:rPr>
        <w:t>se standards is moving at a faster pace than originally expected, and that achieving th</w:t>
      </w:r>
      <w:r w:rsidR="00E244A4">
        <w:rPr>
          <w:lang w:val="en"/>
        </w:rPr>
        <w:t>e</w:t>
      </w:r>
      <w:r w:rsidR="00E244A4" w:rsidRPr="00E244A4">
        <w:rPr>
          <w:lang w:val="en"/>
        </w:rPr>
        <w:t>se vehicle emission limits is feasible, and will result in cost-savings for consumers.</w:t>
      </w:r>
      <w:r w:rsidR="00E244A4">
        <w:rPr>
          <w:lang w:val="en"/>
        </w:rPr>
        <w:t xml:space="preserve"> In the </w:t>
      </w:r>
      <w:r w:rsidR="00D879A5">
        <w:rPr>
          <w:lang w:val="en"/>
        </w:rPr>
        <w:t xml:space="preserve">report, </w:t>
      </w:r>
      <w:r w:rsidR="00E244A4">
        <w:rPr>
          <w:lang w:val="en"/>
        </w:rPr>
        <w:t>CARB also recommend</w:t>
      </w:r>
      <w:r w:rsidR="00D879A5">
        <w:rPr>
          <w:lang w:val="en"/>
        </w:rPr>
        <w:t>ed</w:t>
      </w:r>
      <w:r w:rsidR="00E244A4" w:rsidRPr="00E244A4">
        <w:rPr>
          <w:lang w:val="en"/>
        </w:rPr>
        <w:t xml:space="preserve"> that California make a major push to develop new post-2025 standards while working with automakers, federal regulators and partner states to further develop the market for electric cars.</w:t>
      </w:r>
      <w:r w:rsidR="00D879A5">
        <w:rPr>
          <w:lang w:val="en"/>
        </w:rPr>
        <w:t xml:space="preserve"> CARB projects that</w:t>
      </w:r>
      <w:r w:rsidR="00D879A5" w:rsidRPr="00D879A5">
        <w:rPr>
          <w:lang w:val="en"/>
        </w:rPr>
        <w:t xml:space="preserve"> the zero</w:t>
      </w:r>
      <w:r w:rsidR="000C1F46">
        <w:rPr>
          <w:lang w:val="en"/>
        </w:rPr>
        <w:t xml:space="preserve"> </w:t>
      </w:r>
      <w:r w:rsidR="00D879A5" w:rsidRPr="00D879A5">
        <w:rPr>
          <w:lang w:val="en"/>
        </w:rPr>
        <w:t>emission market will see more than 20 new electric and plug-in model introductions</w:t>
      </w:r>
      <w:r w:rsidR="00D879A5">
        <w:rPr>
          <w:lang w:val="en"/>
        </w:rPr>
        <w:t xml:space="preserve"> with greater driving range at mass-market prices and </w:t>
      </w:r>
      <w:r w:rsidR="00D879A5" w:rsidRPr="00D879A5">
        <w:rPr>
          <w:lang w:val="en"/>
        </w:rPr>
        <w:t>more choices of body styles, brands, and consumer utility</w:t>
      </w:r>
      <w:r w:rsidR="00D879A5">
        <w:rPr>
          <w:lang w:val="en"/>
        </w:rPr>
        <w:t xml:space="preserve"> in the next few years</w:t>
      </w:r>
      <w:r w:rsidR="00E244A4">
        <w:rPr>
          <w:lang w:val="en"/>
        </w:rPr>
        <w:t xml:space="preserve"> (</w:t>
      </w:r>
      <w:r w:rsidR="00E244A4" w:rsidRPr="0095347D">
        <w:rPr>
          <w:lang w:val="en"/>
        </w:rPr>
        <w:t>CARB 2017</w:t>
      </w:r>
      <w:r w:rsidR="0095347D">
        <w:rPr>
          <w:lang w:val="en"/>
        </w:rPr>
        <w:t>a</w:t>
      </w:r>
      <w:r w:rsidR="00E244A4">
        <w:rPr>
          <w:lang w:val="en"/>
        </w:rPr>
        <w:t>)</w:t>
      </w:r>
      <w:r w:rsidRPr="00AD4BDE">
        <w:rPr>
          <w:lang w:val="en"/>
        </w:rPr>
        <w:t>.</w:t>
      </w:r>
    </w:p>
    <w:p w14:paraId="0152AD95" w14:textId="14517E34" w:rsidR="00720E25" w:rsidRPr="00B245E8" w:rsidRDefault="00720E25" w:rsidP="00720E25">
      <w:pPr>
        <w:pStyle w:val="BodyText"/>
      </w:pPr>
      <w:r>
        <w:t>To establish a 2030 target as recommended by CARB</w:t>
      </w:r>
      <w:r w:rsidRPr="00B245E8">
        <w:t xml:space="preserve">, </w:t>
      </w:r>
      <w:r>
        <w:t>EO</w:t>
      </w:r>
      <w:r w:rsidRPr="00B245E8">
        <w:t xml:space="preserve"> B-48-18 was signed </w:t>
      </w:r>
      <w:r w:rsidR="00107BA5">
        <w:t>by Governor Brown</w:t>
      </w:r>
      <w:r>
        <w:t xml:space="preserve"> i</w:t>
      </w:r>
      <w:r w:rsidRPr="00B245E8">
        <w:t>n January 2018</w:t>
      </w:r>
      <w:r>
        <w:t>.</w:t>
      </w:r>
      <w:r w:rsidRPr="00B245E8">
        <w:t xml:space="preserve"> </w:t>
      </w:r>
      <w:r>
        <w:t>The EO</w:t>
      </w:r>
      <w:r w:rsidRPr="00B245E8">
        <w:t xml:space="preserve"> </w:t>
      </w:r>
      <w:r w:rsidR="00107BA5">
        <w:t>directs</w:t>
      </w:r>
      <w:r w:rsidRPr="00B245E8">
        <w:t xml:space="preserve"> all State entities to work with the private sector to have at least 5 million zero</w:t>
      </w:r>
      <w:r w:rsidR="00665A81">
        <w:t xml:space="preserve"> </w:t>
      </w:r>
      <w:r w:rsidRPr="00B245E8">
        <w:t xml:space="preserve">emission vehicles on the road by 2030, as well as install 200 hydrogen fueling stations and 250,000 electric vehicle charging stations by 2025. It specifies that 10,000 of the electric vehicle charging stations should be direct current fast chargers. </w:t>
      </w:r>
      <w:r w:rsidR="00AC4B54">
        <w:t xml:space="preserve">Therefore, </w:t>
      </w:r>
      <w:r w:rsidR="002332CA">
        <w:t xml:space="preserve">the trend </w:t>
      </w:r>
      <w:r w:rsidR="00196062">
        <w:t>in</w:t>
      </w:r>
      <w:r w:rsidR="002332CA">
        <w:t xml:space="preserve"> the State is towards a higher number of zero</w:t>
      </w:r>
      <w:r w:rsidR="008A2DB1">
        <w:t xml:space="preserve"> </w:t>
      </w:r>
      <w:r w:rsidR="002332CA">
        <w:t xml:space="preserve">emission vehicles </w:t>
      </w:r>
      <w:r w:rsidR="008A2DB1">
        <w:t xml:space="preserve">based on CARB’s analysis and the direction in EOs. It is anticipated that </w:t>
      </w:r>
      <w:r w:rsidR="0035637A">
        <w:t xml:space="preserve">the State and individual </w:t>
      </w:r>
      <w:r w:rsidR="008A2DB1">
        <w:t xml:space="preserve">regions can significantly exceed the projected number of </w:t>
      </w:r>
      <w:r w:rsidR="00DC5716">
        <w:t>zero emission vehicles in EMFAC given the right mix of regulations, incentives,</w:t>
      </w:r>
      <w:r w:rsidR="00DC5716" w:rsidRPr="00DC5716">
        <w:rPr>
          <w:lang w:val="en"/>
        </w:rPr>
        <w:t xml:space="preserve"> infrastructure</w:t>
      </w:r>
      <w:r w:rsidR="00DC5716">
        <w:rPr>
          <w:lang w:val="en"/>
        </w:rPr>
        <w:t xml:space="preserve">, </w:t>
      </w:r>
      <w:r w:rsidR="00DC5716" w:rsidRPr="00DC5716">
        <w:rPr>
          <w:lang w:val="en"/>
        </w:rPr>
        <w:t>public-private partnership</w:t>
      </w:r>
      <w:r w:rsidR="00DC5716">
        <w:rPr>
          <w:lang w:val="en"/>
        </w:rPr>
        <w:t>s,</w:t>
      </w:r>
      <w:r w:rsidR="00DC5716" w:rsidRPr="00DC5716">
        <w:rPr>
          <w:lang w:val="en"/>
        </w:rPr>
        <w:t xml:space="preserve"> </w:t>
      </w:r>
      <w:r w:rsidR="00DC5716">
        <w:rPr>
          <w:lang w:val="en"/>
        </w:rPr>
        <w:t>and</w:t>
      </w:r>
      <w:r w:rsidR="00DC5716" w:rsidRPr="00DC5716">
        <w:rPr>
          <w:lang w:val="en"/>
        </w:rPr>
        <w:t xml:space="preserve"> education and outreach campaigns</w:t>
      </w:r>
      <w:r w:rsidR="00DC5716">
        <w:rPr>
          <w:lang w:val="en"/>
        </w:rPr>
        <w:t>.</w:t>
      </w:r>
      <w:r w:rsidR="008A3C82">
        <w:rPr>
          <w:lang w:val="en"/>
        </w:rPr>
        <w:t xml:space="preserve"> This analysis provides the reductions SANDAG can expect based on proposed EV programs under the 2019 Regional Plan. </w:t>
      </w:r>
    </w:p>
    <w:p w14:paraId="12AC9166" w14:textId="77777777" w:rsidR="00720E25" w:rsidRPr="00AD4BDE" w:rsidRDefault="00720E25" w:rsidP="00AD4BDE">
      <w:pPr>
        <w:pStyle w:val="BodyText"/>
      </w:pPr>
    </w:p>
    <w:p w14:paraId="725035F8" w14:textId="3DB4FED3" w:rsidR="00104861" w:rsidRDefault="00AE295F" w:rsidP="00AE295F">
      <w:pPr>
        <w:pStyle w:val="BodyText"/>
      </w:pPr>
      <w:r>
        <w:lastRenderedPageBreak/>
        <w:t>In preparation for development of the EV off-model calculator, Ascent reviewed methods used by other MPOs</w:t>
      </w:r>
      <w:r w:rsidR="00B0302D">
        <w:t xml:space="preserve"> in California</w:t>
      </w:r>
      <w:r>
        <w:t xml:space="preserve">, including </w:t>
      </w:r>
      <w:r w:rsidR="00B0302D">
        <w:t>the Association of Bay Area Governments (ABAG) and Metropolitan Transportation Commission (MTC), Southern California Association of Governments (SCAG), and Sacramento Area Council of Governments (SACOG).</w:t>
      </w:r>
      <w:r w:rsidR="001502AF">
        <w:t xml:space="preserve"> </w:t>
      </w:r>
      <w:r w:rsidR="00C765A4">
        <w:t xml:space="preserve">In 2013, </w:t>
      </w:r>
      <w:r w:rsidR="001502AF">
        <w:t xml:space="preserve">MTC was </w:t>
      </w:r>
      <w:r w:rsidR="00104861">
        <w:t>one of the</w:t>
      </w:r>
      <w:r w:rsidR="001502AF">
        <w:t xml:space="preserve"> first </w:t>
      </w:r>
      <w:r w:rsidR="008E2D33">
        <w:t xml:space="preserve">MPOs </w:t>
      </w:r>
      <w:r w:rsidR="001502AF">
        <w:t xml:space="preserve">to develop an EV off-model methodology that accounted for </w:t>
      </w:r>
      <w:r w:rsidR="00C765A4">
        <w:t xml:space="preserve">specific </w:t>
      </w:r>
      <w:r w:rsidR="001502AF">
        <w:t>EV incentive programs</w:t>
      </w:r>
      <w:r w:rsidR="00C765A4">
        <w:t xml:space="preserve"> (</w:t>
      </w:r>
      <w:r w:rsidR="00542B09">
        <w:t>CARB</w:t>
      </w:r>
      <w:r w:rsidR="00C765A4">
        <w:t xml:space="preserve"> 2014). MTC used the same approach again in 2017 for Plan Bay Area 2040 </w:t>
      </w:r>
      <w:r w:rsidR="00104861">
        <w:t>(</w:t>
      </w:r>
      <w:r w:rsidR="00C765A4">
        <w:t>MTC 2017</w:t>
      </w:r>
      <w:r w:rsidR="00104861">
        <w:t>)</w:t>
      </w:r>
      <w:r w:rsidR="001502AF">
        <w:t xml:space="preserve">. </w:t>
      </w:r>
      <w:r w:rsidR="00104861">
        <w:t xml:space="preserve">SCAG’s 2016 RTP/SCS </w:t>
      </w:r>
      <w:r w:rsidR="00C97607">
        <w:t>adopted</w:t>
      </w:r>
      <w:r w:rsidR="00104861">
        <w:t xml:space="preserve"> MTC’s EV methodology to develop their off-model calculations (SCAG 2015). SACOG used the difference in EV market penetration forecasts between</w:t>
      </w:r>
      <w:r w:rsidR="00C20649">
        <w:t xml:space="preserve"> two version</w:t>
      </w:r>
      <w:r w:rsidR="00A63827">
        <w:t>s</w:t>
      </w:r>
      <w:r w:rsidR="00C20649">
        <w:t xml:space="preserve"> of</w:t>
      </w:r>
      <w:r w:rsidR="00104861">
        <w:t xml:space="preserve"> </w:t>
      </w:r>
      <w:r w:rsidR="00A71A1F">
        <w:t xml:space="preserve">EMFAC </w:t>
      </w:r>
      <w:r w:rsidR="00C20649">
        <w:t>(</w:t>
      </w:r>
      <w:r w:rsidR="00104861">
        <w:t>EMFAC2011 and EMFAC2014</w:t>
      </w:r>
      <w:r w:rsidR="00C20649">
        <w:t>)</w:t>
      </w:r>
      <w:r w:rsidR="00104861">
        <w:t xml:space="preserve"> to calculate EV </w:t>
      </w:r>
      <w:r w:rsidR="00C02E88">
        <w:t xml:space="preserve">off-model </w:t>
      </w:r>
      <w:r w:rsidR="00104861">
        <w:t>reductions relative to EMFAC2011</w:t>
      </w:r>
      <w:r w:rsidR="00964CF1">
        <w:t xml:space="preserve"> (SACOG 2015)</w:t>
      </w:r>
      <w:r w:rsidR="00104861">
        <w:t>.</w:t>
      </w:r>
    </w:p>
    <w:p w14:paraId="226FA158" w14:textId="29C7748C" w:rsidR="00B245E8" w:rsidRDefault="00850001" w:rsidP="00557493">
      <w:pPr>
        <w:pStyle w:val="BodyText"/>
      </w:pPr>
      <w:r>
        <w:t>The EV programs considered</w:t>
      </w:r>
      <w:r w:rsidR="00232342">
        <w:t xml:space="preserve"> by SANDAG</w:t>
      </w:r>
      <w:r>
        <w:t xml:space="preserve"> for the</w:t>
      </w:r>
      <w:r w:rsidR="00477EB6">
        <w:t xml:space="preserve"> </w:t>
      </w:r>
      <w:r w:rsidR="003558B6">
        <w:t xml:space="preserve">2019 </w:t>
      </w:r>
      <w:r>
        <w:t>Regional Plan</w:t>
      </w:r>
      <w:r w:rsidR="00C02E88">
        <w:t xml:space="preserve"> would be most similar to MTC</w:t>
      </w:r>
      <w:r w:rsidR="00833D98">
        <w:t>’s</w:t>
      </w:r>
      <w:r w:rsidR="007B27A3">
        <w:t xml:space="preserve"> approach</w:t>
      </w:r>
      <w:r w:rsidR="00764EE1">
        <w:t>,</w:t>
      </w:r>
      <w:r w:rsidR="007B27A3">
        <w:t xml:space="preserve"> </w:t>
      </w:r>
      <w:r w:rsidR="00764EE1">
        <w:t>which</w:t>
      </w:r>
      <w:r w:rsidR="00AE49CC">
        <w:t xml:space="preserve"> quantified </w:t>
      </w:r>
      <w:r w:rsidR="001732C1">
        <w:t>CO</w:t>
      </w:r>
      <w:r w:rsidR="001732C1" w:rsidRPr="001732C1">
        <w:rPr>
          <w:vertAlign w:val="subscript"/>
        </w:rPr>
        <w:t>2</w:t>
      </w:r>
      <w:r w:rsidR="00AE49CC">
        <w:t xml:space="preserve"> reductions from</w:t>
      </w:r>
      <w:r w:rsidR="007B27A3">
        <w:t xml:space="preserve"> a regional EV </w:t>
      </w:r>
      <w:r w:rsidR="00C02E88">
        <w:t>charger program and</w:t>
      </w:r>
      <w:r w:rsidR="001502AF">
        <w:t xml:space="preserve"> </w:t>
      </w:r>
      <w:r w:rsidR="007B27A3">
        <w:t xml:space="preserve">a </w:t>
      </w:r>
      <w:r w:rsidR="001502AF">
        <w:t xml:space="preserve">vehicle </w:t>
      </w:r>
      <w:r w:rsidR="00C24323">
        <w:t xml:space="preserve">incentive </w:t>
      </w:r>
      <w:r w:rsidR="00291AEC">
        <w:t xml:space="preserve">program. </w:t>
      </w:r>
      <w:r w:rsidR="0082015D">
        <w:t xml:space="preserve">The </w:t>
      </w:r>
      <w:r w:rsidR="00F146E4">
        <w:t>regional charger program would</w:t>
      </w:r>
      <w:r w:rsidR="001502AF">
        <w:t xml:space="preserve"> increase the percentage of electric vehicle miles travelled </w:t>
      </w:r>
      <w:r w:rsidR="00817B68">
        <w:t xml:space="preserve">(eVMT) </w:t>
      </w:r>
      <w:r w:rsidR="001502AF">
        <w:t>in the region by extending the electric range of plug-in hybrid electric vehicles (PHEV)</w:t>
      </w:r>
      <w:r w:rsidR="007B27A3">
        <w:t xml:space="preserve"> </w:t>
      </w:r>
      <w:r w:rsidR="00F146E4">
        <w:t xml:space="preserve">through the addition of </w:t>
      </w:r>
      <w:r w:rsidR="007B27A3">
        <w:t>public chargers</w:t>
      </w:r>
      <w:r w:rsidR="00F146E4">
        <w:t xml:space="preserve">. The vehicle </w:t>
      </w:r>
      <w:r w:rsidR="00C24323">
        <w:t xml:space="preserve">incentive </w:t>
      </w:r>
      <w:r w:rsidR="00F146E4">
        <w:t>program would encourage</w:t>
      </w:r>
      <w:r w:rsidR="00AE49CC">
        <w:t xml:space="preserve"> faster</w:t>
      </w:r>
      <w:r w:rsidR="001502AF">
        <w:t xml:space="preserve"> turnover of gasoline</w:t>
      </w:r>
      <w:r w:rsidR="00AE49CC">
        <w:t xml:space="preserve"> </w:t>
      </w:r>
      <w:r w:rsidR="001502AF">
        <w:t>passenger vehicles to battery electric vehicles (BEV) and PHEVs</w:t>
      </w:r>
      <w:r w:rsidR="007B27A3">
        <w:t xml:space="preserve"> </w:t>
      </w:r>
      <w:r w:rsidR="00AE49CC">
        <w:t xml:space="preserve">through </w:t>
      </w:r>
      <w:r w:rsidR="007B27A3">
        <w:t>rebates</w:t>
      </w:r>
      <w:r w:rsidR="003558B6" w:rsidRPr="003558B6">
        <w:t xml:space="preserve"> </w:t>
      </w:r>
      <w:r w:rsidR="003558B6">
        <w:t>relative to default vehicle populations in EMFAC</w:t>
      </w:r>
      <w:r w:rsidR="001502AF">
        <w:t>.</w:t>
      </w:r>
      <w:r w:rsidR="00166E21">
        <w:t xml:space="preserve"> </w:t>
      </w:r>
      <w:r>
        <w:t xml:space="preserve">Similar to MTC, </w:t>
      </w:r>
      <w:r w:rsidR="007B27A3">
        <w:t>SANDAG</w:t>
      </w:r>
      <w:r w:rsidR="00AE49CC">
        <w:t xml:space="preserve"> is considering a Re</w:t>
      </w:r>
      <w:r w:rsidR="007B27A3">
        <w:t xml:space="preserve">gional EV Charger </w:t>
      </w:r>
      <w:r w:rsidR="00AE49CC">
        <w:t xml:space="preserve">Program </w:t>
      </w:r>
      <w:r w:rsidR="00557425">
        <w:t xml:space="preserve">(RECP) </w:t>
      </w:r>
      <w:r w:rsidR="00AE49CC">
        <w:t>and Vehicle Incentive Program</w:t>
      </w:r>
      <w:r w:rsidR="00557425">
        <w:t xml:space="preserve"> (VIP)</w:t>
      </w:r>
      <w:r w:rsidR="00AE49CC">
        <w:t xml:space="preserve"> as part of </w:t>
      </w:r>
      <w:r w:rsidR="003558B6">
        <w:t xml:space="preserve">2019 </w:t>
      </w:r>
      <w:r w:rsidR="00F6598A">
        <w:t>Regional Plan</w:t>
      </w:r>
      <w:r w:rsidR="00096230">
        <w:t xml:space="preserve"> to increase the share of eVMT </w:t>
      </w:r>
      <w:r w:rsidR="001C2F5C">
        <w:t xml:space="preserve">and </w:t>
      </w:r>
      <w:r w:rsidR="00C461FE">
        <w:t>plug-in electric vehicle (</w:t>
      </w:r>
      <w:r w:rsidR="001C2F5C">
        <w:t>PEV</w:t>
      </w:r>
      <w:r w:rsidR="00C461FE">
        <w:t>)</w:t>
      </w:r>
      <w:r w:rsidR="001C2F5C">
        <w:t xml:space="preserve"> population </w:t>
      </w:r>
      <w:r w:rsidR="00096230">
        <w:t>in the region</w:t>
      </w:r>
      <w:r w:rsidR="00AE49CC">
        <w:t>.</w:t>
      </w:r>
      <w:r w:rsidR="00557493">
        <w:t xml:space="preserve"> </w:t>
      </w:r>
    </w:p>
    <w:p w14:paraId="37C6CE4C" w14:textId="3626AD27" w:rsidR="00557493" w:rsidRDefault="003558B6" w:rsidP="00557493">
      <w:pPr>
        <w:pStyle w:val="BodyText"/>
      </w:pPr>
      <w:r>
        <w:t>In review</w:t>
      </w:r>
      <w:r w:rsidR="004B3AFE">
        <w:t>ing</w:t>
      </w:r>
      <w:r w:rsidR="008501DC">
        <w:t xml:space="preserve"> MTC’s approach and recent EV studies released by governmental and non-governmental research groups, Ascent found that </w:t>
      </w:r>
      <w:r w:rsidR="00C04095">
        <w:t>a number of</w:t>
      </w:r>
      <w:r w:rsidR="008501DC">
        <w:t xml:space="preserve"> assumptions used in </w:t>
      </w:r>
      <w:r w:rsidR="00C04095">
        <w:t xml:space="preserve">prior </w:t>
      </w:r>
      <w:r w:rsidR="008501DC">
        <w:t>calculator</w:t>
      </w:r>
      <w:r w:rsidR="00C04095">
        <w:t>s</w:t>
      </w:r>
      <w:r w:rsidR="008501DC">
        <w:t xml:space="preserve"> could be expanded upon and better substantiated. </w:t>
      </w:r>
      <w:r w:rsidR="006B1B1D">
        <w:t xml:space="preserve">Recent EV research include new charging infrastructure studies specific to California and the SANDAG region. </w:t>
      </w:r>
      <w:r w:rsidR="008501DC">
        <w:t xml:space="preserve">Thus, Ascent </w:t>
      </w:r>
      <w:r w:rsidR="00EC5B1C">
        <w:t xml:space="preserve">updated </w:t>
      </w:r>
      <w:r w:rsidR="008501DC">
        <w:t xml:space="preserve">MTC’s approach </w:t>
      </w:r>
      <w:r w:rsidR="006B1B1D">
        <w:t xml:space="preserve">to include these studies to allow for further variability </w:t>
      </w:r>
      <w:r w:rsidR="00557493">
        <w:t xml:space="preserve">and </w:t>
      </w:r>
      <w:r w:rsidR="006B1B1D">
        <w:t>substantiation</w:t>
      </w:r>
      <w:r w:rsidR="00557493">
        <w:t xml:space="preserve"> of</w:t>
      </w:r>
      <w:r w:rsidR="006B1B1D">
        <w:t xml:space="preserve"> the</w:t>
      </w:r>
      <w:r w:rsidR="00557493">
        <w:t xml:space="preserve"> assumptions </w:t>
      </w:r>
      <w:r w:rsidR="006B1B1D">
        <w:t xml:space="preserve">and data </w:t>
      </w:r>
      <w:r w:rsidR="00557493">
        <w:t>used in the calculations</w:t>
      </w:r>
      <w:r w:rsidR="006B1B1D">
        <w:t xml:space="preserve">. </w:t>
      </w:r>
      <w:r w:rsidR="00DD5032">
        <w:t>The</w:t>
      </w:r>
      <w:r w:rsidR="00477EB6">
        <w:t xml:space="preserve"> resulting calculator replaces the</w:t>
      </w:r>
      <w:r w:rsidR="00DD5032">
        <w:t xml:space="preserve"> EV off-model</w:t>
      </w:r>
      <w:r w:rsidR="00477EB6">
        <w:t xml:space="preserve"> methodology used in </w:t>
      </w:r>
      <w:r w:rsidR="00850001">
        <w:t>San Diego Forward: The 2015 Regional Plan</w:t>
      </w:r>
      <w:r w:rsidR="00477EB6">
        <w:t xml:space="preserve">. </w:t>
      </w:r>
    </w:p>
    <w:p w14:paraId="35B01B16" w14:textId="6460A228" w:rsidR="00020F41" w:rsidRDefault="00EC5B1C" w:rsidP="00020F41">
      <w:pPr>
        <w:pStyle w:val="BodyText"/>
      </w:pPr>
      <w:r>
        <w:t>It should be noted</w:t>
      </w:r>
      <w:r w:rsidR="00020F41">
        <w:t xml:space="preserve"> that PHEVs and BEVs are herein referred together as PEVs.  PEVs and hydrogen fuel cell electric vehicles are together referre</w:t>
      </w:r>
      <w:r w:rsidR="00557493">
        <w:t>d to as zero emission vehicles (</w:t>
      </w:r>
      <w:r w:rsidR="00020F41">
        <w:t>ZEVs</w:t>
      </w:r>
      <w:r w:rsidR="00557493">
        <w:t>)</w:t>
      </w:r>
      <w:r w:rsidR="00020F41">
        <w:t>.</w:t>
      </w:r>
    </w:p>
    <w:p w14:paraId="6015C5E5" w14:textId="5D440825" w:rsidR="00A879E4" w:rsidRDefault="004626C1" w:rsidP="00F34C87">
      <w:pPr>
        <w:pStyle w:val="MMBullet3nospace"/>
      </w:pPr>
      <w:r>
        <w:t xml:space="preserve">The purpose of this EV off-model calculator </w:t>
      </w:r>
      <w:r w:rsidR="00ED2436">
        <w:t xml:space="preserve">is to estimate </w:t>
      </w:r>
      <w:r>
        <w:t xml:space="preserve">the </w:t>
      </w:r>
      <w:r w:rsidR="001732C1">
        <w:t>CO</w:t>
      </w:r>
      <w:r w:rsidR="001732C1" w:rsidRPr="001732C1">
        <w:rPr>
          <w:vertAlign w:val="subscript"/>
        </w:rPr>
        <w:t>2</w:t>
      </w:r>
      <w:r>
        <w:t xml:space="preserve"> reductions and costs associated with implementation of SANDAG’s proposed </w:t>
      </w:r>
      <w:r w:rsidR="00AC2E3C">
        <w:t>RECP</w:t>
      </w:r>
      <w:r>
        <w:t xml:space="preserve"> and </w:t>
      </w:r>
      <w:r w:rsidR="00196062">
        <w:t>VIP</w:t>
      </w:r>
      <w:r w:rsidR="002C1316">
        <w:t>. The estimated reductions would contribute towards</w:t>
      </w:r>
      <w:r>
        <w:t xml:space="preserve"> meeting SB 375 regional </w:t>
      </w:r>
      <w:r w:rsidR="001732C1">
        <w:t>CO</w:t>
      </w:r>
      <w:r w:rsidR="001732C1" w:rsidRPr="001732C1">
        <w:rPr>
          <w:vertAlign w:val="subscript"/>
        </w:rPr>
        <w:t>2</w:t>
      </w:r>
      <w:r>
        <w:t xml:space="preserve"> reduction targets for 2020 and 2035</w:t>
      </w:r>
      <w:r w:rsidR="00ED2436">
        <w:t xml:space="preserve">, </w:t>
      </w:r>
      <w:r w:rsidR="002E15FF">
        <w:t>updated</w:t>
      </w:r>
      <w:r>
        <w:t xml:space="preserve"> by CARB </w:t>
      </w:r>
      <w:r w:rsidR="002E15FF">
        <w:t>in March 2018</w:t>
      </w:r>
      <w:r w:rsidR="00ED2436">
        <w:t xml:space="preserve"> </w:t>
      </w:r>
      <w:r>
        <w:t>(CARB 2018).</w:t>
      </w:r>
      <w:r w:rsidR="00ED2436">
        <w:t xml:space="preserve"> </w:t>
      </w:r>
      <w:r>
        <w:t>This calculator</w:t>
      </w:r>
      <w:r w:rsidR="00557425">
        <w:t xml:space="preserve"> expands upon MTC’s EV off-model methodology </w:t>
      </w:r>
      <w:r w:rsidR="00134A35">
        <w:t>and applies a similar methodology to calculate emission reductions from</w:t>
      </w:r>
      <w:r w:rsidR="00557425">
        <w:t xml:space="preserve"> SANDAG’s </w:t>
      </w:r>
      <w:r w:rsidR="00786D3E">
        <w:t xml:space="preserve">proposed </w:t>
      </w:r>
      <w:r w:rsidR="00557425">
        <w:t xml:space="preserve">version of the RECP and </w:t>
      </w:r>
      <w:r w:rsidR="00196062">
        <w:t>VIP</w:t>
      </w:r>
      <w:r w:rsidR="00557425">
        <w:t>. MTC’s</w:t>
      </w:r>
      <w:r w:rsidR="005806B2">
        <w:t xml:space="preserve"> approach was </w:t>
      </w:r>
      <w:r w:rsidR="00764EE1">
        <w:t xml:space="preserve">first </w:t>
      </w:r>
      <w:r w:rsidR="005806B2">
        <w:t xml:space="preserve">developed as part of </w:t>
      </w:r>
      <w:r w:rsidR="00651FBC">
        <w:t xml:space="preserve">Plan Bay Area, </w:t>
      </w:r>
      <w:r w:rsidR="005806B2">
        <w:t>MTC’s 2013</w:t>
      </w:r>
      <w:r w:rsidR="00307B76">
        <w:t xml:space="preserve"> Metropolitan Transportation Plan and Sustainable Communities Strategy (</w:t>
      </w:r>
      <w:r w:rsidR="005806B2">
        <w:t>MTP/SCS</w:t>
      </w:r>
      <w:r w:rsidR="00307B76">
        <w:t>)</w:t>
      </w:r>
      <w:r w:rsidR="005806B2">
        <w:t>. At that time, data and studies related to EV charging, travel, and market behavior</w:t>
      </w:r>
      <w:r w:rsidR="00265CAA">
        <w:t xml:space="preserve"> </w:t>
      </w:r>
      <w:r w:rsidR="00786D3E">
        <w:t xml:space="preserve">were </w:t>
      </w:r>
      <w:r w:rsidR="00265CAA">
        <w:t xml:space="preserve">limited </w:t>
      </w:r>
      <w:r w:rsidR="00A00DDA">
        <w:t>because P</w:t>
      </w:r>
      <w:r w:rsidR="00265CAA">
        <w:t>EVs</w:t>
      </w:r>
      <w:r w:rsidR="00A00DDA">
        <w:t xml:space="preserve"> </w:t>
      </w:r>
      <w:r w:rsidR="0090005A">
        <w:t xml:space="preserve">had only been mass produced for three years </w:t>
      </w:r>
      <w:r w:rsidR="00A00DDA">
        <w:t>in the U</w:t>
      </w:r>
      <w:r w:rsidR="00786D3E">
        <w:t>.</w:t>
      </w:r>
      <w:r w:rsidR="00A00DDA">
        <w:t>S</w:t>
      </w:r>
      <w:r w:rsidR="00786D3E">
        <w:t>.</w:t>
      </w:r>
      <w:r w:rsidR="00A00DDA">
        <w:t xml:space="preserve">, starting with the </w:t>
      </w:r>
      <w:r w:rsidR="00FE6198">
        <w:t xml:space="preserve">2011 </w:t>
      </w:r>
      <w:r w:rsidR="00A00DDA">
        <w:t xml:space="preserve">Chevrolet Volt. </w:t>
      </w:r>
      <w:r w:rsidR="00252CB4">
        <w:t>SANDAG’</w:t>
      </w:r>
      <w:r w:rsidR="003653C9">
        <w:t>s EV</w:t>
      </w:r>
      <w:r w:rsidR="00252CB4">
        <w:t xml:space="preserve"> off-model calculator</w:t>
      </w:r>
      <w:r w:rsidR="005F18DA">
        <w:t xml:space="preserve"> for </w:t>
      </w:r>
      <w:r w:rsidR="00786D3E">
        <w:t xml:space="preserve">2019 </w:t>
      </w:r>
      <w:r w:rsidR="00F6598A">
        <w:t>Regional Plan</w:t>
      </w:r>
      <w:r w:rsidR="005F18DA">
        <w:t xml:space="preserve"> takes advantage of </w:t>
      </w:r>
      <w:r w:rsidR="00764EE1">
        <w:t>more</w:t>
      </w:r>
      <w:r w:rsidR="005F18DA">
        <w:t xml:space="preserve"> </w:t>
      </w:r>
      <w:r w:rsidR="00FA207C">
        <w:t xml:space="preserve">recent </w:t>
      </w:r>
      <w:r w:rsidR="005F18DA">
        <w:t xml:space="preserve">research on the EV market and </w:t>
      </w:r>
      <w:r w:rsidR="00764EE1">
        <w:t xml:space="preserve">EV </w:t>
      </w:r>
      <w:r w:rsidR="005F18DA">
        <w:t>travel</w:t>
      </w:r>
      <w:r w:rsidR="00D221D5">
        <w:t xml:space="preserve"> and charging</w:t>
      </w:r>
      <w:r w:rsidR="005F18DA">
        <w:t xml:space="preserve"> behavior, </w:t>
      </w:r>
      <w:r w:rsidR="00FA207C">
        <w:t>including</w:t>
      </w:r>
      <w:r w:rsidR="005F18DA">
        <w:t xml:space="preserve"> </w:t>
      </w:r>
      <w:r w:rsidR="00764EE1">
        <w:t xml:space="preserve">studies </w:t>
      </w:r>
      <w:r w:rsidR="00252CB4">
        <w:t xml:space="preserve">specific to California and the </w:t>
      </w:r>
      <w:r w:rsidR="005F18DA">
        <w:t>San Diego region.</w:t>
      </w:r>
      <w:r w:rsidR="00FA207C">
        <w:t xml:space="preserve"> </w:t>
      </w:r>
    </w:p>
    <w:p w14:paraId="2CF261DE" w14:textId="77777777" w:rsidR="00984612" w:rsidRDefault="00984612" w:rsidP="00F34C87">
      <w:pPr>
        <w:pStyle w:val="MMBullet3nospace"/>
      </w:pPr>
    </w:p>
    <w:p w14:paraId="0362A819" w14:textId="32A7B93B" w:rsidR="00FA207C" w:rsidRDefault="00A879E4" w:rsidP="005F18DA">
      <w:pPr>
        <w:pStyle w:val="BodyText"/>
      </w:pPr>
      <w:r>
        <w:t>Recent</w:t>
      </w:r>
      <w:r w:rsidR="00FA207C">
        <w:t xml:space="preserve"> </w:t>
      </w:r>
      <w:r w:rsidR="00A8117D">
        <w:t xml:space="preserve">policies, </w:t>
      </w:r>
      <w:r w:rsidR="00FA207C">
        <w:t xml:space="preserve">research, </w:t>
      </w:r>
      <w:r w:rsidR="009C5C79">
        <w:t>studies</w:t>
      </w:r>
      <w:r w:rsidR="00FA207C">
        <w:t xml:space="preserve">, </w:t>
      </w:r>
      <w:r w:rsidR="00A8117D">
        <w:t xml:space="preserve">and </w:t>
      </w:r>
      <w:r w:rsidR="00FA207C">
        <w:t>models</w:t>
      </w:r>
      <w:r w:rsidR="00404924">
        <w:t xml:space="preserve"> </w:t>
      </w:r>
      <w:r w:rsidR="00764EE1">
        <w:t xml:space="preserve">used to develop the </w:t>
      </w:r>
      <w:r w:rsidR="00786D3E">
        <w:t xml:space="preserve">2019 </w:t>
      </w:r>
      <w:r w:rsidR="00F6598A">
        <w:t>Regional Plan</w:t>
      </w:r>
      <w:r w:rsidR="009C5C79">
        <w:t xml:space="preserve"> </w:t>
      </w:r>
      <w:r w:rsidR="00FA207C">
        <w:t>EV off-model calculator include:</w:t>
      </w:r>
    </w:p>
    <w:p w14:paraId="5ABB7C69" w14:textId="6779E1A0" w:rsidR="00A8117D" w:rsidRDefault="00A8117D" w:rsidP="00A8117D">
      <w:pPr>
        <w:pStyle w:val="Bullet1"/>
      </w:pPr>
      <w:r>
        <w:lastRenderedPageBreak/>
        <w:t xml:space="preserve">EO B-16-12 and EO B-48-18, which set a target of 1.5 million ZEVs and 5 million ZEVs in the </w:t>
      </w:r>
      <w:r w:rsidR="00D67074">
        <w:t>S</w:t>
      </w:r>
      <w:r>
        <w:t>tate by 2025 and 2030, respectively.</w:t>
      </w:r>
    </w:p>
    <w:p w14:paraId="084FE6E7" w14:textId="7CBD08B7" w:rsidR="00994D6C" w:rsidRDefault="00994D6C" w:rsidP="00A8117D">
      <w:pPr>
        <w:pStyle w:val="Bullet1"/>
      </w:pPr>
      <w:r>
        <w:t>SB 350, which calls for a 50 percent renewable mix for the state’</w:t>
      </w:r>
      <w:r w:rsidR="00E12365">
        <w:t>s electricity grid by 2030;</w:t>
      </w:r>
    </w:p>
    <w:p w14:paraId="789A333C" w14:textId="0A6A3127" w:rsidR="00FA207C" w:rsidRDefault="009C5C79" w:rsidP="00FA207C">
      <w:pPr>
        <w:pStyle w:val="Bullet1"/>
      </w:pPr>
      <w:r w:rsidRPr="009C5C79">
        <w:rPr>
          <w:i/>
        </w:rPr>
        <w:t>California Plug-In Electric Vehicle Infrastructure Projections: 2017-2025</w:t>
      </w:r>
      <w:r>
        <w:rPr>
          <w:i/>
        </w:rPr>
        <w:t xml:space="preserve">, </w:t>
      </w:r>
      <w:r>
        <w:t xml:space="preserve">published by the California Energy Commission (CEC) in March 2018, </w:t>
      </w:r>
      <w:r w:rsidR="00FA207C">
        <w:t xml:space="preserve">which includes projections of </w:t>
      </w:r>
      <w:r w:rsidR="00BE3CFA">
        <w:t>the PEV vehicle fleet mix, charger inventory, and charging demand by county that would</w:t>
      </w:r>
      <w:r w:rsidR="00E72D1C">
        <w:t xml:space="preserve"> achieve the 1.5 million ZEV statewide target </w:t>
      </w:r>
      <w:r w:rsidR="00437E2A">
        <w:t xml:space="preserve">by 2025 </w:t>
      </w:r>
      <w:r w:rsidR="00786D3E">
        <w:t xml:space="preserve">established </w:t>
      </w:r>
      <w:r w:rsidR="00E72D1C">
        <w:t xml:space="preserve">in </w:t>
      </w:r>
      <w:r w:rsidR="00705089">
        <w:t xml:space="preserve">EO </w:t>
      </w:r>
      <w:r w:rsidR="00E72D1C">
        <w:t>B-16-12</w:t>
      </w:r>
      <w:r w:rsidR="00D52E97">
        <w:t xml:space="preserve"> (CEC 2018)</w:t>
      </w:r>
      <w:r w:rsidR="00A7609C">
        <w:t>;</w:t>
      </w:r>
    </w:p>
    <w:p w14:paraId="4823D8CF" w14:textId="433555F1" w:rsidR="00FA207C" w:rsidRDefault="009C5C79" w:rsidP="00FA207C">
      <w:pPr>
        <w:pStyle w:val="Bullet1"/>
      </w:pPr>
      <w:r w:rsidRPr="009C5C79">
        <w:rPr>
          <w:i/>
        </w:rPr>
        <w:t>Plug-in Electric Vehicle Market Growth Analysis</w:t>
      </w:r>
      <w:r>
        <w:t xml:space="preserve">, </w:t>
      </w:r>
      <w:r w:rsidR="00AC2E3C">
        <w:t xml:space="preserve">prepared </w:t>
      </w:r>
      <w:r>
        <w:t>by the Center for Sustainable Energy (CSE) for SANDAG in March 2018</w:t>
      </w:r>
      <w:r w:rsidR="00FA207C">
        <w:t xml:space="preserve">, </w:t>
      </w:r>
      <w:r w:rsidR="00A7609C">
        <w:t>which forecasts PEV sales in the San Diego region based on historical PEV sales trends in the area</w:t>
      </w:r>
      <w:r w:rsidR="00D52E97">
        <w:t xml:space="preserve"> (CSE 2018)</w:t>
      </w:r>
      <w:r w:rsidR="00A7609C">
        <w:t>;</w:t>
      </w:r>
      <w:r w:rsidR="00F41530">
        <w:t xml:space="preserve"> </w:t>
      </w:r>
    </w:p>
    <w:p w14:paraId="02B07CC6" w14:textId="7965B0DF" w:rsidR="00FA207C" w:rsidRDefault="00FA207C" w:rsidP="00FA207C">
      <w:pPr>
        <w:pStyle w:val="Bullet1"/>
      </w:pPr>
      <w:r>
        <w:t>Electric Vehicle Infrastructure Projection Tool (EVI-Pro), released in early 2018</w:t>
      </w:r>
      <w:r w:rsidR="00F41530">
        <w:t xml:space="preserve"> by the National Renewable Energy Laboratory’s (NREL)</w:t>
      </w:r>
      <w:r w:rsidR="00A36DA3">
        <w:t xml:space="preserve"> and CEC</w:t>
      </w:r>
      <w:r w:rsidR="00A7609C">
        <w:t>, which estimates the</w:t>
      </w:r>
      <w:r w:rsidR="00F41530">
        <w:t xml:space="preserve"> public</w:t>
      </w:r>
      <w:r w:rsidR="00A7609C">
        <w:t xml:space="preserve"> charging infrastructure needed to support </w:t>
      </w:r>
      <w:r w:rsidR="00A36DA3">
        <w:t>a targeted PEV mix by</w:t>
      </w:r>
      <w:r w:rsidR="00973471">
        <w:t xml:space="preserve"> 2025</w:t>
      </w:r>
      <w:r w:rsidR="00A36DA3">
        <w:t xml:space="preserve"> for various regions across the </w:t>
      </w:r>
      <w:r w:rsidR="001C2F5C">
        <w:t>state by county</w:t>
      </w:r>
      <w:r w:rsidR="00A36DA3">
        <w:t xml:space="preserve">. </w:t>
      </w:r>
      <w:r w:rsidR="00096C6D">
        <w:t>Although this tool is not publicly available</w:t>
      </w:r>
      <w:r w:rsidR="00786D3E">
        <w:t xml:space="preserve"> at this time</w:t>
      </w:r>
      <w:r w:rsidR="00096C6D">
        <w:t xml:space="preserve">, </w:t>
      </w:r>
      <w:r w:rsidR="0069346F">
        <w:t>NREL</w:t>
      </w:r>
      <w:r w:rsidR="00096C6D">
        <w:t xml:space="preserve"> and CEC</w:t>
      </w:r>
      <w:r w:rsidR="0069346F">
        <w:t xml:space="preserve"> released a web-based data viewer that summarizes the </w:t>
      </w:r>
      <w:r w:rsidR="00096C6D">
        <w:t xml:space="preserve">results of the tool for California, including </w:t>
      </w:r>
      <w:r w:rsidR="0069346F">
        <w:t>anticipated charger count</w:t>
      </w:r>
      <w:r w:rsidR="00096C6D">
        <w:t>s and charger loads</w:t>
      </w:r>
      <w:r w:rsidR="0069346F">
        <w:t xml:space="preserve">. The results of EVI-Pro were used to develop projections in CEC’s </w:t>
      </w:r>
      <w:r w:rsidR="0069346F" w:rsidRPr="009C5C79">
        <w:rPr>
          <w:i/>
        </w:rPr>
        <w:t>California Plug-In Electric Vehicle Infrastructure Projections: 2017-2025</w:t>
      </w:r>
      <w:r w:rsidR="0069346F">
        <w:rPr>
          <w:i/>
        </w:rPr>
        <w:t xml:space="preserve"> </w:t>
      </w:r>
      <w:r w:rsidR="0069346F">
        <w:t>report. (</w:t>
      </w:r>
      <w:r w:rsidR="00DD5032">
        <w:t>NREL 2018a, NREL 2018b</w:t>
      </w:r>
      <w:r w:rsidR="00D52E97">
        <w:t>);</w:t>
      </w:r>
    </w:p>
    <w:p w14:paraId="02F55B26" w14:textId="65F51E2E" w:rsidR="00FA207C" w:rsidRDefault="008311A2" w:rsidP="00FA207C">
      <w:pPr>
        <w:pStyle w:val="Bullet1"/>
      </w:pPr>
      <w:r>
        <w:t>EMFAC2017</w:t>
      </w:r>
      <w:r w:rsidR="00F41530">
        <w:t>, released in late 2017 by CARB, which updates the statewide vehicle population, emissions, and VMT forecasts by fuel type, vehicle class, and other factors, accounting for adjusted ZEV forecasts that are generally more conservative than previously assumed in EMFAC 2014</w:t>
      </w:r>
      <w:r w:rsidR="00D52E97">
        <w:t xml:space="preserve"> (CARB 2017</w:t>
      </w:r>
      <w:r w:rsidR="0095347D">
        <w:t>b</w:t>
      </w:r>
      <w:r w:rsidR="00D52E97">
        <w:t>)</w:t>
      </w:r>
      <w:r w:rsidR="00F41530">
        <w:t>.</w:t>
      </w:r>
      <w:r w:rsidR="00C21029">
        <w:t xml:space="preserve"> </w:t>
      </w:r>
      <w:r w:rsidR="00E12365">
        <w:t>EMFAC2017 also accounts for a minimum regulatory compliance scenario under the</w:t>
      </w:r>
      <w:r w:rsidR="00C21029">
        <w:t xml:space="preserve"> ZEV mandate </w:t>
      </w:r>
      <w:r w:rsidR="00E12365">
        <w:t xml:space="preserve">in </w:t>
      </w:r>
      <w:r w:rsidR="00C21029">
        <w:t>the State’s Advanced Clean Cars Program</w:t>
      </w:r>
      <w:r w:rsidR="00E12365">
        <w:t xml:space="preserve">. This mandate </w:t>
      </w:r>
      <w:r w:rsidR="00C21029">
        <w:t>requires vehicle manufacturers to produce an increasing number of ZEVs for model years 2018 through 2025</w:t>
      </w:r>
      <w:r w:rsidR="00E12365">
        <w:t>.</w:t>
      </w:r>
    </w:p>
    <w:p w14:paraId="70E72775" w14:textId="12CC6519" w:rsidR="00232342" w:rsidRDefault="004C504C" w:rsidP="000C2DCB">
      <w:pPr>
        <w:pStyle w:val="BodyText"/>
      </w:pPr>
      <w:r>
        <w:t>SANDAG’s EV off-model approach</w:t>
      </w:r>
      <w:r w:rsidR="00655E2E">
        <w:t xml:space="preserve"> is the first among the MPOs to</w:t>
      </w:r>
      <w:r>
        <w:t xml:space="preserve"> use </w:t>
      </w:r>
      <w:r w:rsidR="00E60A7B">
        <w:t>CEC’s</w:t>
      </w:r>
      <w:r w:rsidR="00221CF8">
        <w:t xml:space="preserve"> EVI-Pro</w:t>
      </w:r>
      <w:r w:rsidR="00655E2E">
        <w:t>’s region</w:t>
      </w:r>
      <w:r w:rsidR="00E60A7B">
        <w:t xml:space="preserve">-specific </w:t>
      </w:r>
      <w:r w:rsidR="0069346F">
        <w:t>results</w:t>
      </w:r>
      <w:r>
        <w:t xml:space="preserve"> to </w:t>
      </w:r>
      <w:r w:rsidR="00E60A7B">
        <w:t xml:space="preserve">account for how changes to the targeted PEV population </w:t>
      </w:r>
      <w:r w:rsidR="00705089">
        <w:t xml:space="preserve">would </w:t>
      </w:r>
      <w:r w:rsidR="00E60A7B">
        <w:t xml:space="preserve">affect the recommended number of </w:t>
      </w:r>
      <w:r>
        <w:t xml:space="preserve">chargers needed under the RECP. </w:t>
      </w:r>
      <w:r w:rsidR="00221CF8">
        <w:t>EVI-Pro</w:t>
      </w:r>
      <w:r>
        <w:t xml:space="preserve"> </w:t>
      </w:r>
      <w:r w:rsidR="00221CF8">
        <w:t xml:space="preserve">uses real-world travel data </w:t>
      </w:r>
      <w:r w:rsidR="00FC454B">
        <w:t>from mass market consumers to determine the charging infrastructure needed for residential, workplace, and public areas under a variety of scenarios (</w:t>
      </w:r>
      <w:r w:rsidR="001C2F5C">
        <w:t>Alternative Fuels Data Center [</w:t>
      </w:r>
      <w:r w:rsidR="00FC454B">
        <w:t>AFDC</w:t>
      </w:r>
      <w:r w:rsidR="001C2F5C">
        <w:t>]</w:t>
      </w:r>
      <w:r w:rsidR="00FC454B">
        <w:t xml:space="preserve"> 2018).</w:t>
      </w:r>
      <w:r w:rsidR="00E60A7B">
        <w:t xml:space="preserve"> CEC’s</w:t>
      </w:r>
      <w:r w:rsidR="00221CF8">
        <w:t xml:space="preserve"> </w:t>
      </w:r>
      <w:r w:rsidR="00FC454B">
        <w:t xml:space="preserve">EVI-Pro </w:t>
      </w:r>
      <w:r w:rsidR="00E60A7B">
        <w:t>runs also accounted</w:t>
      </w:r>
      <w:r w:rsidR="00FC454B">
        <w:t xml:space="preserve"> for charger densities, driving and charging simulations, </w:t>
      </w:r>
      <w:r w:rsidR="00232342">
        <w:t xml:space="preserve">sensitivities to fuel costs, </w:t>
      </w:r>
      <w:r w:rsidR="00FC454B">
        <w:t>and range anxiety.</w:t>
      </w:r>
      <w:r w:rsidR="001721AC">
        <w:t xml:space="preserve"> </w:t>
      </w:r>
      <w:r w:rsidR="00B91094">
        <w:t xml:space="preserve">This included a fuel price sensitivity analysis that used a cost-minimization algorithm to determine </w:t>
      </w:r>
      <w:r w:rsidR="00F93A19">
        <w:t xml:space="preserve">the demand for chargers </w:t>
      </w:r>
      <w:r w:rsidR="00B91094">
        <w:t>(e.g.,</w:t>
      </w:r>
      <w:r w:rsidR="00F93A19">
        <w:t xml:space="preserve"> </w:t>
      </w:r>
      <w:r w:rsidR="00F3439D">
        <w:t xml:space="preserve">the number of Level </w:t>
      </w:r>
      <w:r w:rsidR="00F93A19">
        <w:t>2 chargers</w:t>
      </w:r>
      <w:r w:rsidR="00F3439D">
        <w:t xml:space="preserve"> vs. </w:t>
      </w:r>
      <w:r w:rsidR="00F93A19">
        <w:t>direct current fast chargers</w:t>
      </w:r>
      <w:r w:rsidR="004D1E5F">
        <w:t xml:space="preserve"> needed to meet the demand from EVs in 2025</w:t>
      </w:r>
      <w:r w:rsidR="00F93A19">
        <w:t>)</w:t>
      </w:r>
      <w:r w:rsidR="00B91094">
        <w:t>.</w:t>
      </w:r>
      <w:r w:rsidR="004D1E5F">
        <w:t xml:space="preserve"> Ascent used the average charging demand</w:t>
      </w:r>
      <w:r w:rsidR="00852564">
        <w:t xml:space="preserve"> results from CEC’s study, between the high and low fuel</w:t>
      </w:r>
      <w:r w:rsidR="00404924">
        <w:t xml:space="preserve"> charging</w:t>
      </w:r>
      <w:r w:rsidR="00852564">
        <w:t xml:space="preserve"> price </w:t>
      </w:r>
      <w:r w:rsidR="004D1E5F">
        <w:t>scenarios</w:t>
      </w:r>
      <w:r w:rsidR="00852564">
        <w:t>.</w:t>
      </w:r>
      <w:r w:rsidR="00404924">
        <w:t xml:space="preserve"> </w:t>
      </w:r>
      <w:r w:rsidR="0069346F">
        <w:t xml:space="preserve">EVI-Pro’s </w:t>
      </w:r>
      <w:r w:rsidR="00973471">
        <w:t xml:space="preserve">results are limited to </w:t>
      </w:r>
      <w:r w:rsidR="0069346F">
        <w:t>forecast years through 2025</w:t>
      </w:r>
      <w:r w:rsidR="00E60A7B">
        <w:t xml:space="preserve">, which anticipate </w:t>
      </w:r>
      <w:r w:rsidR="00973471">
        <w:t xml:space="preserve">a maximum PEV share of </w:t>
      </w:r>
      <w:r w:rsidR="00E60A7B">
        <w:t>4.3 percent of the light</w:t>
      </w:r>
      <w:r w:rsidR="00705089">
        <w:t>-</w:t>
      </w:r>
      <w:r w:rsidR="00E60A7B">
        <w:t>duty fleet in the SANDAG region</w:t>
      </w:r>
      <w:r w:rsidR="00973471">
        <w:t>. In comparison, under EO B-16-12</w:t>
      </w:r>
      <w:r w:rsidR="00232342">
        <w:t xml:space="preserve"> and EO </w:t>
      </w:r>
      <w:r w:rsidR="00852564">
        <w:t>B-48-18</w:t>
      </w:r>
      <w:r w:rsidR="00973471">
        <w:t xml:space="preserve">, the targeted </w:t>
      </w:r>
      <w:r w:rsidR="00E60A7B">
        <w:t xml:space="preserve">statewide </w:t>
      </w:r>
      <w:r w:rsidR="00973471">
        <w:t xml:space="preserve">EV population mix is approximately </w:t>
      </w:r>
      <w:r w:rsidR="001C2F5C">
        <w:t>five</w:t>
      </w:r>
      <w:r w:rsidR="00973471">
        <w:t xml:space="preserve"> percent by 2025 and 16 percent by 2030.</w:t>
      </w:r>
      <w:r w:rsidR="000C2DCB">
        <w:t xml:space="preserve"> </w:t>
      </w:r>
    </w:p>
    <w:p w14:paraId="03108DD7" w14:textId="4B9ADAAD" w:rsidR="001D4B2B" w:rsidRDefault="001D4B2B" w:rsidP="00F34C87">
      <w:pPr>
        <w:pStyle w:val="Heading5"/>
      </w:pPr>
      <w:r>
        <w:lastRenderedPageBreak/>
        <w:t>Key Methods and Assumptions</w:t>
      </w:r>
    </w:p>
    <w:p w14:paraId="5A6D032F" w14:textId="483EC492" w:rsidR="003C056A" w:rsidRDefault="00872EBE" w:rsidP="000C2DCB">
      <w:pPr>
        <w:pStyle w:val="BodyText"/>
      </w:pPr>
      <w:r>
        <w:t>SANDAG’s EV Off-Model include</w:t>
      </w:r>
      <w:r w:rsidR="004C747D">
        <w:t xml:space="preserve">s the following key methods and assumptions used in the model’s calculations. </w:t>
      </w:r>
      <w:r w:rsidR="00936A7F">
        <w:t>The differences from MTC’s approach resulted in a more complex calculator, but also one that accounts for San Diego-specific factors.</w:t>
      </w:r>
    </w:p>
    <w:p w14:paraId="08DC16D8" w14:textId="70F8B4E0" w:rsidR="00EC5434" w:rsidRDefault="004C747D" w:rsidP="00F34C87">
      <w:pPr>
        <w:pStyle w:val="MMBullet1"/>
      </w:pPr>
      <w:r>
        <w:t>CO</w:t>
      </w:r>
      <w:r w:rsidRPr="00F34C87">
        <w:rPr>
          <w:vertAlign w:val="subscript"/>
        </w:rPr>
        <w:t>2</w:t>
      </w:r>
      <w:r>
        <w:t xml:space="preserve"> reductions from the RECP were based on difference between the total eVMT provided by a targeted </w:t>
      </w:r>
      <w:r w:rsidR="00354639">
        <w:t xml:space="preserve">regionwide number </w:t>
      </w:r>
      <w:r>
        <w:t>of</w:t>
      </w:r>
      <w:r w:rsidR="00CB3B28">
        <w:t xml:space="preserve"> non-residential</w:t>
      </w:r>
      <w:r>
        <w:t xml:space="preserve"> chargers and the eVMT anticipated in EMFAC forecasts for a given milestone year. </w:t>
      </w:r>
      <w:r w:rsidR="00BD5940">
        <w:t>The targeted number of chargers</w:t>
      </w:r>
      <w:r w:rsidR="00126AD1">
        <w:t xml:space="preserve">, </w:t>
      </w:r>
      <w:r w:rsidR="00AD16FF">
        <w:t>calculated using a</w:t>
      </w:r>
      <w:r w:rsidR="00126AD1">
        <w:t xml:space="preserve"> San Diego-specific</w:t>
      </w:r>
      <w:r w:rsidR="00AD16FF">
        <w:t xml:space="preserve"> PEV-to-charger ratio </w:t>
      </w:r>
      <w:r w:rsidR="00126AD1">
        <w:t xml:space="preserve">estimated by the CEC, </w:t>
      </w:r>
      <w:r w:rsidR="00354639">
        <w:t>would be</w:t>
      </w:r>
      <w:r w:rsidR="00126AD1">
        <w:t xml:space="preserve"> equal to</w:t>
      </w:r>
      <w:r w:rsidR="00BD5940">
        <w:t xml:space="preserve"> the sum of all existing chargers as of 2018 and any new chargers added starting from 2018. </w:t>
      </w:r>
      <w:r w:rsidR="00EC5434">
        <w:t>Although t</w:t>
      </w:r>
      <w:r w:rsidR="00126AD1">
        <w:t>he installation of</w:t>
      </w:r>
      <w:r w:rsidR="00BD5940">
        <w:t xml:space="preserve"> new chargers could </w:t>
      </w:r>
      <w:r w:rsidR="00EC5434">
        <w:t>be due to both the RECP and other utility</w:t>
      </w:r>
      <w:r w:rsidR="00126AD1">
        <w:t xml:space="preserve">- or </w:t>
      </w:r>
      <w:r w:rsidR="00374163">
        <w:t>S</w:t>
      </w:r>
      <w:r w:rsidR="00126AD1">
        <w:t>tate-</w:t>
      </w:r>
      <w:r w:rsidR="00EC5434">
        <w:t xml:space="preserve">level incentives, it is assumed that the </w:t>
      </w:r>
      <w:r w:rsidR="00DE1349">
        <w:t xml:space="preserve">GHG reductions associated with </w:t>
      </w:r>
      <w:r w:rsidR="00EC5434">
        <w:t>EV growth anticipated in EMFAC2017</w:t>
      </w:r>
      <w:r w:rsidR="00644AE6">
        <w:t xml:space="preserve"> are only attributed to the State-level incentives</w:t>
      </w:r>
      <w:r w:rsidR="00EC5434">
        <w:t>.</w:t>
      </w:r>
      <w:r w:rsidR="00DE1349">
        <w:t xml:space="preserve"> </w:t>
      </w:r>
    </w:p>
    <w:p w14:paraId="6BB77F4A" w14:textId="77777777" w:rsidR="00126AD1" w:rsidRDefault="00126AD1" w:rsidP="00F34C87">
      <w:pPr>
        <w:pStyle w:val="MMBullet1"/>
        <w:numPr>
          <w:ilvl w:val="0"/>
          <w:numId w:val="0"/>
        </w:numPr>
        <w:ind w:left="720"/>
      </w:pPr>
      <w:r>
        <w:t xml:space="preserve">These chargers were assumed to charge both BEVs and PHEVs. The eVMT provided to each type of vehicle per charger by non-residential charger type (e.g., public vs. workplace) reflect the findings and assumptions in CEC’s 2018 study and EVI-Pro runs. </w:t>
      </w:r>
    </w:p>
    <w:p w14:paraId="1EB0A6EF" w14:textId="1B04D314" w:rsidR="003C056A" w:rsidRDefault="004C747D" w:rsidP="00F34C87">
      <w:pPr>
        <w:pStyle w:val="MMBullet1"/>
      </w:pPr>
      <w:r>
        <w:t>CO</w:t>
      </w:r>
      <w:r w:rsidRPr="00F34C87">
        <w:rPr>
          <w:vertAlign w:val="subscript"/>
        </w:rPr>
        <w:t>2</w:t>
      </w:r>
      <w:r>
        <w:t xml:space="preserve"> reductions from the </w:t>
      </w:r>
      <w:r w:rsidR="00196062">
        <w:t>VIP</w:t>
      </w:r>
      <w:r>
        <w:t xml:space="preserve"> </w:t>
      </w:r>
      <w:r w:rsidR="00EC7457">
        <w:t xml:space="preserve">were based the difference between </w:t>
      </w:r>
      <w:r w:rsidR="00CB3B28">
        <w:t>the targeted EV populat</w:t>
      </w:r>
      <w:r w:rsidR="00EC7457">
        <w:t xml:space="preserve">ion for a given milestone year and </w:t>
      </w:r>
      <w:r w:rsidR="00CB3B28">
        <w:t>the EV population anticipated in EMFAC2017 forecasts. Average VMT and eVMT per vehi</w:t>
      </w:r>
      <w:r w:rsidR="00AA0266">
        <w:t>cle per day were based on EMFAC</w:t>
      </w:r>
      <w:r w:rsidR="00CB3B28">
        <w:t xml:space="preserve">2017 defaults, which varies by calendar year and vehicle type. </w:t>
      </w:r>
    </w:p>
    <w:p w14:paraId="0B3A263E" w14:textId="0FCF4C59" w:rsidR="00CB3B28" w:rsidRDefault="00CB3B28" w:rsidP="00F34C87">
      <w:pPr>
        <w:pStyle w:val="MMBullet1"/>
        <w:numPr>
          <w:ilvl w:val="0"/>
          <w:numId w:val="0"/>
        </w:numPr>
      </w:pPr>
      <w:r>
        <w:t>Other assumptions include:</w:t>
      </w:r>
    </w:p>
    <w:p w14:paraId="3EC89C33" w14:textId="1CFF28BF" w:rsidR="00872EBE" w:rsidRDefault="00463350" w:rsidP="00872EBE">
      <w:pPr>
        <w:pStyle w:val="MMBullet1"/>
      </w:pPr>
      <w:r>
        <w:t>Chargers have a</w:t>
      </w:r>
      <w:r w:rsidR="006A5266">
        <w:t xml:space="preserve"> </w:t>
      </w:r>
      <w:r w:rsidR="003C056A">
        <w:t xml:space="preserve">90 </w:t>
      </w:r>
      <w:r w:rsidR="00644AE6">
        <w:t xml:space="preserve">percent </w:t>
      </w:r>
      <w:r w:rsidR="006A5266">
        <w:t xml:space="preserve">charging </w:t>
      </w:r>
      <w:r w:rsidR="000C2DCB">
        <w:t>efficiency</w:t>
      </w:r>
      <w:r w:rsidR="001C2F5C">
        <w:t xml:space="preserve"> (i.e., the percentage of </w:t>
      </w:r>
      <w:r w:rsidR="00A622AC">
        <w:t>energy</w:t>
      </w:r>
      <w:r w:rsidR="001C2F5C">
        <w:t xml:space="preserve"> drawn from the electricity grid by the charger that is </w:t>
      </w:r>
      <w:r w:rsidR="00A622AC">
        <w:t>taken up by</w:t>
      </w:r>
      <w:r w:rsidR="001C2F5C">
        <w:t xml:space="preserve"> the electric vehicle battery)</w:t>
      </w:r>
      <w:r w:rsidR="006A5266">
        <w:t>;</w:t>
      </w:r>
    </w:p>
    <w:p w14:paraId="695FB0E1" w14:textId="625E48D4" w:rsidR="00936A7F" w:rsidRDefault="006A5266" w:rsidP="00A516CC">
      <w:pPr>
        <w:pStyle w:val="MMBullet1"/>
      </w:pPr>
      <w:r>
        <w:t xml:space="preserve">Level 2 and Direct Current (DC) Fast Chargers </w:t>
      </w:r>
      <w:r w:rsidR="00463350">
        <w:t xml:space="preserve">would be rated at 6.6 kilowatt (kW) and 105 kW </w:t>
      </w:r>
      <w:r>
        <w:t>starting in 2025;</w:t>
      </w:r>
    </w:p>
    <w:p w14:paraId="60EC05A0" w14:textId="441D7E84" w:rsidR="006A5266" w:rsidRDefault="00FF4342" w:rsidP="000C2DCB">
      <w:pPr>
        <w:pStyle w:val="MMBullet1"/>
      </w:pPr>
      <w:r>
        <w:t xml:space="preserve">PHEVs </w:t>
      </w:r>
      <w:r w:rsidR="00463350">
        <w:t xml:space="preserve">would not have the ability </w:t>
      </w:r>
      <w:r>
        <w:t xml:space="preserve">to </w:t>
      </w:r>
      <w:r w:rsidR="006A5266">
        <w:t>use DC Fast Charging;</w:t>
      </w:r>
    </w:p>
    <w:p w14:paraId="7D33BF82" w14:textId="29D767CB" w:rsidR="000C2DCB" w:rsidRDefault="00463350" w:rsidP="000C2DCB">
      <w:pPr>
        <w:pStyle w:val="MMBullet1"/>
      </w:pPr>
      <w:r>
        <w:t xml:space="preserve">EVs have an efficiency of </w:t>
      </w:r>
      <w:r w:rsidR="00FF4342">
        <w:t xml:space="preserve">0.225 </w:t>
      </w:r>
      <w:r>
        <w:t>kilowatt-hours (kWh) per mile</w:t>
      </w:r>
      <w:r w:rsidR="00FF4342">
        <w:t>;</w:t>
      </w:r>
      <w:r w:rsidR="000C2DCB">
        <w:t xml:space="preserve"> and </w:t>
      </w:r>
    </w:p>
    <w:p w14:paraId="719246A7" w14:textId="1B5C14AF" w:rsidR="000C2DCB" w:rsidRDefault="00463350" w:rsidP="00C34609">
      <w:pPr>
        <w:pStyle w:val="MMBullet1"/>
      </w:pPr>
      <w:r>
        <w:t xml:space="preserve">The </w:t>
      </w:r>
      <w:r w:rsidR="00FF4342">
        <w:t>San Diego Gas and Electric</w:t>
      </w:r>
      <w:r w:rsidR="00994D6C">
        <w:t xml:space="preserve"> (SDG&amp;E)</w:t>
      </w:r>
      <w:r w:rsidR="00FF4342">
        <w:t xml:space="preserve"> </w:t>
      </w:r>
      <w:r w:rsidR="000C2DCB">
        <w:t>electricity emission factor</w:t>
      </w:r>
      <w:r w:rsidR="00FF4342">
        <w:t xml:space="preserve"> </w:t>
      </w:r>
      <w:r>
        <w:t xml:space="preserve">would range from </w:t>
      </w:r>
      <w:r w:rsidR="00FF4342">
        <w:t xml:space="preserve">0.196 </w:t>
      </w:r>
      <w:r>
        <w:t>to 0.172 metric tons of CO</w:t>
      </w:r>
      <w:r w:rsidRPr="002D3B67">
        <w:rPr>
          <w:vertAlign w:val="subscript"/>
        </w:rPr>
        <w:t>2</w:t>
      </w:r>
      <w:r>
        <w:t xml:space="preserve"> (MT CO</w:t>
      </w:r>
      <w:r w:rsidRPr="002D3B67">
        <w:rPr>
          <w:vertAlign w:val="subscript"/>
        </w:rPr>
        <w:t>2</w:t>
      </w:r>
      <w:r>
        <w:t xml:space="preserve">) per </w:t>
      </w:r>
      <w:r w:rsidR="00FF4342">
        <w:t>MWh</w:t>
      </w:r>
      <w:r w:rsidR="00994D6C">
        <w:t xml:space="preserve"> based the utility’s current renewable mix and the renewable mix required under SB 350 by 2030</w:t>
      </w:r>
      <w:r w:rsidR="000C2DCB">
        <w:t>.</w:t>
      </w:r>
    </w:p>
    <w:p w14:paraId="5D1C7E0E" w14:textId="23A73166" w:rsidR="008501DC" w:rsidRPr="008501DC" w:rsidRDefault="00936A7F" w:rsidP="002D3B67">
      <w:pPr>
        <w:pStyle w:val="BodyText"/>
      </w:pPr>
      <w:r>
        <w:t>These assumptions</w:t>
      </w:r>
      <w:r w:rsidR="00994D6C">
        <w:t>, except for the SDG&amp;E emission factor,</w:t>
      </w:r>
      <w:r>
        <w:t xml:space="preserve"> are consistent with those used in CEC’s EVI-Pro runs for the San Diego region</w:t>
      </w:r>
      <w:r w:rsidR="00994D6C">
        <w:t>. CEC did not calculate emissions</w:t>
      </w:r>
      <w:r>
        <w:t xml:space="preserve"> </w:t>
      </w:r>
      <w:r w:rsidR="00994D6C">
        <w:t xml:space="preserve">in their report, so no utility emission factors were used. Regardless, </w:t>
      </w:r>
      <w:r>
        <w:t xml:space="preserve">the calculator allows the user to adjust these inputs and assumptions in light of evolving research. </w:t>
      </w:r>
      <w:r w:rsidR="00EF54C3">
        <w:t xml:space="preserve">Other </w:t>
      </w:r>
      <w:r w:rsidR="003C056A">
        <w:t xml:space="preserve">specific assumptions used </w:t>
      </w:r>
      <w:r w:rsidR="00EF54C3">
        <w:t xml:space="preserve">in the calculator </w:t>
      </w:r>
      <w:r w:rsidR="003C056A">
        <w:t xml:space="preserve">are detailed in the rest of this memorandum. </w:t>
      </w:r>
    </w:p>
    <w:p w14:paraId="0A3C8679" w14:textId="797A51A4" w:rsidR="00DB4D89" w:rsidRDefault="00DB4D89" w:rsidP="00DB4D89">
      <w:pPr>
        <w:pStyle w:val="Heading5"/>
      </w:pPr>
      <w:r>
        <w:lastRenderedPageBreak/>
        <w:t>Model Inputs</w:t>
      </w:r>
    </w:p>
    <w:p w14:paraId="01EF1916" w14:textId="18BB1065" w:rsidR="00777AC6" w:rsidRDefault="001C5CD2" w:rsidP="0041251F">
      <w:pPr>
        <w:pStyle w:val="BodyText"/>
      </w:pPr>
      <w:r w:rsidRPr="0041251F">
        <w:t xml:space="preserve">The calculator is set up such that the user can input basic program assumptions for the regional charger and vehicle </w:t>
      </w:r>
      <w:r w:rsidR="00196062">
        <w:t>incentive</w:t>
      </w:r>
      <w:r w:rsidRPr="0041251F">
        <w:t xml:space="preserve"> programs (RECP and </w:t>
      </w:r>
      <w:r w:rsidR="00196062">
        <w:t>VIP</w:t>
      </w:r>
      <w:r w:rsidRPr="0041251F">
        <w:t>)</w:t>
      </w:r>
      <w:r w:rsidR="000229C8" w:rsidRPr="005C691C">
        <w:t xml:space="preserve"> for each milestone year (2020, 2025, 2030, 2035, and 2050).</w:t>
      </w:r>
      <w:r w:rsidR="000229C8" w:rsidRPr="00AF0E26">
        <w:t xml:space="preserve"> Default assumptions included in the background calculations for RECP and </w:t>
      </w:r>
      <w:r w:rsidR="00196062">
        <w:t>VIP</w:t>
      </w:r>
      <w:r w:rsidR="000229C8" w:rsidRPr="00AF0E26">
        <w:t xml:space="preserve"> can also be changed by the user, if necessary. For each program, the user can choose a target scenario based on preprogrammed inputs or choose a custom tar</w:t>
      </w:r>
      <w:r w:rsidR="000229C8" w:rsidRPr="00F50384">
        <w:t xml:space="preserve">get scenario. </w:t>
      </w:r>
      <w:r w:rsidR="00777AC6">
        <w:t xml:space="preserve">SANDAG’s chosen scenario should reflect the desired exceedance above EMFAC2017 EV forecasts in order to appropriately assign GHG reduction credits and incentive costs to SANDAG efforts. </w:t>
      </w:r>
    </w:p>
    <w:p w14:paraId="007923F4" w14:textId="561E9EC9" w:rsidR="007802B9" w:rsidRDefault="007802B9" w:rsidP="0049112B">
      <w:pPr>
        <w:pStyle w:val="Heading6"/>
      </w:pPr>
      <w:r>
        <w:t>Scenarios</w:t>
      </w:r>
    </w:p>
    <w:p w14:paraId="54F15D86" w14:textId="6A19A4E5" w:rsidR="006D2499" w:rsidRDefault="006D2499" w:rsidP="0041251F">
      <w:pPr>
        <w:pStyle w:val="BodyText"/>
      </w:pPr>
      <w:r>
        <w:t>The tool allows the user to select a different forecast scenario for either the RECP or VIBP</w:t>
      </w:r>
      <w:r w:rsidR="00E37C6E">
        <w:t xml:space="preserve"> to determine the total charger or PEV population that SANDAG hopes to achieve under those programs</w:t>
      </w:r>
      <w:r>
        <w:t xml:space="preserve">. </w:t>
      </w:r>
      <w:r w:rsidR="000229C8" w:rsidRPr="00F50384">
        <w:t>The preprogrammed inputs include</w:t>
      </w:r>
      <w:r w:rsidR="00777AC6">
        <w:t xml:space="preserve"> </w:t>
      </w:r>
      <w:r w:rsidR="00E22305">
        <w:t>full and partial iterations</w:t>
      </w:r>
      <w:r w:rsidR="00777AC6">
        <w:t xml:space="preserve"> of</w:t>
      </w:r>
      <w:r>
        <w:t xml:space="preserve"> three preset scenarios based on </w:t>
      </w:r>
      <w:r w:rsidR="00BF2F53" w:rsidRPr="00F50384">
        <w:t>S</w:t>
      </w:r>
      <w:r w:rsidR="000229C8" w:rsidRPr="00F50384">
        <w:t>tate EV targets under EO B-16-12 (State Targets)</w:t>
      </w:r>
      <w:r w:rsidR="00E8324B" w:rsidRPr="00F50384">
        <w:t xml:space="preserve">, </w:t>
      </w:r>
      <w:r w:rsidR="009A24E2">
        <w:t>CEC’s EV forecast in EVI-Pro</w:t>
      </w:r>
      <w:r w:rsidR="008A6E45">
        <w:t xml:space="preserve"> (CEC forecasts)</w:t>
      </w:r>
      <w:r w:rsidR="009A24E2">
        <w:t xml:space="preserve">, </w:t>
      </w:r>
      <w:r w:rsidR="000229C8" w:rsidRPr="00F50384">
        <w:t xml:space="preserve">and EV forecasts anticipated in CSE’s market study (CSE </w:t>
      </w:r>
      <w:r w:rsidR="008A6E45">
        <w:t>f</w:t>
      </w:r>
      <w:r w:rsidR="000229C8" w:rsidRPr="00F50384">
        <w:t>orecasts).</w:t>
      </w:r>
      <w:r w:rsidR="00E22305">
        <w:t xml:space="preserve"> For example, the user can select the full CEC forecast scenario or a 70 percent CEC forecast scenario, which scales down the PEV and charger targets that would have occurred under the CEC forecast scenario by 70 percent.</w:t>
      </w:r>
      <w:r w:rsidR="000229C8" w:rsidRPr="00F50384">
        <w:t xml:space="preserve"> </w:t>
      </w:r>
      <w:r>
        <w:t>The following describe the three preprogrammed scenarios and the custom scenario option in the tool.</w:t>
      </w:r>
    </w:p>
    <w:p w14:paraId="16B4FE3E" w14:textId="203D5C10" w:rsidR="006D2499" w:rsidRDefault="006D2499" w:rsidP="0049112B">
      <w:pPr>
        <w:pStyle w:val="MMBullet1"/>
      </w:pPr>
      <w:r w:rsidRPr="0049112B">
        <w:rPr>
          <w:b/>
        </w:rPr>
        <w:t>State Targets:</w:t>
      </w:r>
      <w:r>
        <w:t xml:space="preserve"> </w:t>
      </w:r>
      <w:r w:rsidR="000229C8" w:rsidRPr="00F50384">
        <w:t xml:space="preserve">The State Targets </w:t>
      </w:r>
      <w:r>
        <w:t xml:space="preserve">under EO B-16-12 to achieve 1.5 million EVs by 2025 and 5 million EVs by 2050 </w:t>
      </w:r>
      <w:r w:rsidR="000229C8" w:rsidRPr="00F50384">
        <w:t>were apportioned to the SANDAG region based on the ratios between the EV population</w:t>
      </w:r>
      <w:r w:rsidR="000229C8">
        <w:t xml:space="preserve"> in </w:t>
      </w:r>
      <w:r w:rsidR="000229C8" w:rsidRPr="000229C8">
        <w:t>SANDAG and the state as a whole, as modeled by EMFAC2017.</w:t>
      </w:r>
      <w:r w:rsidR="000229C8">
        <w:t xml:space="preserve"> </w:t>
      </w:r>
    </w:p>
    <w:p w14:paraId="2CDDD479" w14:textId="25294827" w:rsidR="006D2499" w:rsidRDefault="006D2499" w:rsidP="0049112B">
      <w:pPr>
        <w:pStyle w:val="MMBullet1"/>
      </w:pPr>
      <w:r w:rsidRPr="0049112B">
        <w:rPr>
          <w:b/>
        </w:rPr>
        <w:t>CEC Forecast</w:t>
      </w:r>
      <w:r>
        <w:t xml:space="preserve">: </w:t>
      </w:r>
      <w:r w:rsidR="002D1923">
        <w:t>The CEC’s forecast scenario is based on what the CEC anticipates the PEV population will b</w:t>
      </w:r>
      <w:r>
        <w:t xml:space="preserve">e like for the SANDAG region </w:t>
      </w:r>
      <w:r w:rsidR="002D1923">
        <w:t>in order to meet State Targets</w:t>
      </w:r>
      <w:r>
        <w:t xml:space="preserve"> for 2025, accounting for a variety of economic and organizational factors</w:t>
      </w:r>
      <w:r w:rsidR="002D1923">
        <w:t xml:space="preserve">. The model assumes that the CEC forecast trends would continue past 2025. </w:t>
      </w:r>
    </w:p>
    <w:p w14:paraId="38A63A92" w14:textId="41F720B5" w:rsidR="006D2499" w:rsidRDefault="006D2499" w:rsidP="0049112B">
      <w:pPr>
        <w:pStyle w:val="MMBullet1"/>
      </w:pPr>
      <w:r w:rsidRPr="0049112B">
        <w:rPr>
          <w:b/>
        </w:rPr>
        <w:t>CSE Forecast:</w:t>
      </w:r>
      <w:r>
        <w:t xml:space="preserve"> </w:t>
      </w:r>
      <w:r w:rsidR="000229C8">
        <w:t xml:space="preserve">The CSE Forecast scenario is based on </w:t>
      </w:r>
      <w:r w:rsidR="000515E6">
        <w:t>either a linear or second</w:t>
      </w:r>
      <w:r w:rsidR="00652320">
        <w:t>-</w:t>
      </w:r>
      <w:r w:rsidR="000515E6">
        <w:t xml:space="preserve">order polynomial </w:t>
      </w:r>
      <w:r w:rsidR="00D45DFC">
        <w:t>trend</w:t>
      </w:r>
      <w:r w:rsidR="000515E6">
        <w:t xml:space="preserve"> of the PEV population in SANDAG based on historical sales. </w:t>
      </w:r>
      <w:r w:rsidR="00652320">
        <w:t>T</w:t>
      </w:r>
      <w:r w:rsidR="000515E6">
        <w:t>he second</w:t>
      </w:r>
      <w:r w:rsidR="00652320">
        <w:t>-</w:t>
      </w:r>
      <w:r w:rsidR="000515E6">
        <w:t>order polynomial forecast is currently the preferred CSE Forecast scenario</w:t>
      </w:r>
      <w:r w:rsidR="00652320">
        <w:t xml:space="preserve"> per SANDAG staff</w:t>
      </w:r>
      <w:r w:rsidR="000515E6">
        <w:t xml:space="preserve">, though the user has the option to change the </w:t>
      </w:r>
      <w:r w:rsidR="00D45DFC">
        <w:t>trend</w:t>
      </w:r>
      <w:r w:rsidR="000515E6">
        <w:t xml:space="preserve"> assumption in the background calculations.</w:t>
      </w:r>
      <w:r w:rsidR="008A6E45">
        <w:t xml:space="preserve"> </w:t>
      </w:r>
    </w:p>
    <w:p w14:paraId="70447177" w14:textId="596A9512" w:rsidR="0041251F" w:rsidRPr="0041251F" w:rsidRDefault="006D2499" w:rsidP="0049112B">
      <w:pPr>
        <w:pStyle w:val="MMBullet1"/>
      </w:pPr>
      <w:r w:rsidRPr="0049112B">
        <w:rPr>
          <w:b/>
        </w:rPr>
        <w:t xml:space="preserve">Custom Inputs: </w:t>
      </w:r>
      <w:r w:rsidR="008A6E45">
        <w:t>The model also allows the user to input custom charger or PEV population targets or custom scenarios based on a chosen fraction of either the State Targets or the CEC forecasts.</w:t>
      </w:r>
    </w:p>
    <w:p w14:paraId="233D2145" w14:textId="77777777" w:rsidR="007D1798" w:rsidRDefault="007D1798" w:rsidP="007D1798">
      <w:pPr>
        <w:pStyle w:val="Heading6"/>
      </w:pPr>
      <w:r>
        <w:t>Regional Electric Vehicle Charger Program</w:t>
      </w:r>
    </w:p>
    <w:p w14:paraId="3AC8B548" w14:textId="7BAB76F7" w:rsidR="00E922AB" w:rsidRDefault="00E8324B" w:rsidP="002D3B67">
      <w:pPr>
        <w:pStyle w:val="BodyText"/>
      </w:pPr>
      <w:r>
        <w:t>T</w:t>
      </w:r>
      <w:r w:rsidR="00D45DFC">
        <w:t xml:space="preserve">he RECP </w:t>
      </w:r>
      <w:r w:rsidR="001732C1">
        <w:t>CO</w:t>
      </w:r>
      <w:r w:rsidR="001732C1" w:rsidRPr="001732C1">
        <w:rPr>
          <w:vertAlign w:val="subscript"/>
        </w:rPr>
        <w:t>2</w:t>
      </w:r>
      <w:r>
        <w:t xml:space="preserve"> calculations require the user </w:t>
      </w:r>
      <w:r w:rsidR="002D3B67">
        <w:t xml:space="preserve">to </w:t>
      </w:r>
      <w:r>
        <w:t>select a</w:t>
      </w:r>
      <w:r w:rsidR="00D45DFC">
        <w:t xml:space="preserve"> target scenario </w:t>
      </w:r>
      <w:r>
        <w:t xml:space="preserve">of </w:t>
      </w:r>
      <w:r w:rsidR="00D45DFC">
        <w:t xml:space="preserve">the number of PEVs to be supported by the charger program. This calculator utilizes </w:t>
      </w:r>
      <w:r w:rsidR="00450F85">
        <w:t>CEC’s results from</w:t>
      </w:r>
      <w:r w:rsidR="00D45DFC">
        <w:t xml:space="preserve"> EVI-Pro to</w:t>
      </w:r>
      <w:r w:rsidR="00450F85">
        <w:t xml:space="preserve"> calculate a PEV-to-charger ratio for each charger destination type (e.g., workplace, public) that is characteristic of</w:t>
      </w:r>
      <w:r w:rsidR="00E82242">
        <w:t xml:space="preserve"> the</w:t>
      </w:r>
      <w:r w:rsidR="00450F85">
        <w:t xml:space="preserve"> SANDAG</w:t>
      </w:r>
      <w:r w:rsidR="00E82242">
        <w:t xml:space="preserve"> region</w:t>
      </w:r>
      <w:r w:rsidR="00450F85">
        <w:t xml:space="preserve">’s EV charging behavior. This </w:t>
      </w:r>
      <w:r w:rsidR="00D45DFC">
        <w:t>provide</w:t>
      </w:r>
      <w:r w:rsidR="00450F85">
        <w:t>s</w:t>
      </w:r>
      <w:r w:rsidR="00D45DFC">
        <w:t xml:space="preserve"> a </w:t>
      </w:r>
      <w:r w:rsidR="00450F85">
        <w:t xml:space="preserve">recommended </w:t>
      </w:r>
      <w:r w:rsidR="00D45DFC">
        <w:t xml:space="preserve">number of chargers needed to support the targeted PEV population. </w:t>
      </w:r>
      <w:r w:rsidR="00450F85">
        <w:t>Alternatively</w:t>
      </w:r>
      <w:r w:rsidR="00C34DFC">
        <w:t xml:space="preserve">, the model </w:t>
      </w:r>
      <w:r w:rsidR="00D9521F">
        <w:t>allow</w:t>
      </w:r>
      <w:r w:rsidR="00E82242">
        <w:t>s</w:t>
      </w:r>
      <w:r w:rsidR="00C34DFC">
        <w:t xml:space="preserve"> the </w:t>
      </w:r>
      <w:r w:rsidR="00D45DFC">
        <w:t xml:space="preserve">user </w:t>
      </w:r>
      <w:r w:rsidR="00C34DFC">
        <w:t xml:space="preserve">to </w:t>
      </w:r>
      <w:r w:rsidR="00D45DFC">
        <w:t xml:space="preserve">decide on the specific number of chargers to </w:t>
      </w:r>
      <w:r w:rsidR="00C34DFC">
        <w:t>be installed under the program</w:t>
      </w:r>
      <w:r w:rsidR="00450F85">
        <w:t xml:space="preserve"> based on fiscal or administrative limitations</w:t>
      </w:r>
      <w:r w:rsidR="00E922AB">
        <w:t xml:space="preserve">. </w:t>
      </w:r>
      <w:r w:rsidR="00450F85">
        <w:t xml:space="preserve">The number of </w:t>
      </w:r>
      <w:r w:rsidR="00AF77BE">
        <w:t xml:space="preserve">average </w:t>
      </w:r>
      <w:r w:rsidR="00450F85">
        <w:t>active hours of charging per charger</w:t>
      </w:r>
      <w:r w:rsidR="00AF77BE">
        <w:t xml:space="preserve"> specific to each PEV type and charger type</w:t>
      </w:r>
      <w:r w:rsidR="00450F85">
        <w:t xml:space="preserve"> </w:t>
      </w:r>
      <w:r w:rsidR="00AF77BE">
        <w:t xml:space="preserve">was calculated from </w:t>
      </w:r>
      <w:r w:rsidR="00450F85">
        <w:t>CEC’</w:t>
      </w:r>
      <w:r w:rsidR="00AF77BE">
        <w:t>s EVI-Pro model results.</w:t>
      </w:r>
      <w:r w:rsidR="002D3B67" w:rsidDel="002D3B67">
        <w:t xml:space="preserve"> </w:t>
      </w:r>
    </w:p>
    <w:p w14:paraId="457B0C3E" w14:textId="2323B8A5" w:rsidR="00AF77BE" w:rsidRDefault="00AF77BE" w:rsidP="000229C8">
      <w:pPr>
        <w:pStyle w:val="BodyText"/>
      </w:pPr>
      <w:r>
        <w:lastRenderedPageBreak/>
        <w:t>With respect to program</w:t>
      </w:r>
      <w:r w:rsidR="007D5DE4">
        <w:t xml:space="preserve"> costs</w:t>
      </w:r>
      <w:r w:rsidR="004D739F">
        <w:t xml:space="preserve">, the user can input </w:t>
      </w:r>
      <w:r>
        <w:t>the average</w:t>
      </w:r>
      <w:r w:rsidR="00D702CE">
        <w:t xml:space="preserve"> capital and administrative</w:t>
      </w:r>
      <w:r>
        <w:t xml:space="preserve"> costs associated with each new charger funded or incentivized by the program.</w:t>
      </w:r>
      <w:r w:rsidR="00D702CE">
        <w:t xml:space="preserve"> </w:t>
      </w:r>
      <w:r>
        <w:t xml:space="preserve"> The average costs </w:t>
      </w:r>
      <w:r w:rsidR="003F00F1">
        <w:t>can be varied or remain constant</w:t>
      </w:r>
      <w:r>
        <w:t xml:space="preserve"> over time </w:t>
      </w:r>
      <w:r w:rsidR="003F00F1">
        <w:t xml:space="preserve">depending on how SANDAG designs the program. </w:t>
      </w:r>
    </w:p>
    <w:p w14:paraId="55E710E3" w14:textId="5B70C111" w:rsidR="007D1798" w:rsidRDefault="00B628F0" w:rsidP="007D1798">
      <w:pPr>
        <w:pStyle w:val="Heading6"/>
      </w:pPr>
      <w:r>
        <w:t xml:space="preserve">Vehicle Incentive </w:t>
      </w:r>
      <w:r w:rsidR="007D1798">
        <w:t>Program</w:t>
      </w:r>
    </w:p>
    <w:p w14:paraId="335E0D7E" w14:textId="02F7D4E2" w:rsidR="000229C8" w:rsidRDefault="00B628F0" w:rsidP="000229C8">
      <w:pPr>
        <w:pStyle w:val="BodyText"/>
      </w:pPr>
      <w:r>
        <w:t xml:space="preserve">Similar to the RECP calculations, the </w:t>
      </w:r>
      <w:r w:rsidR="00196062">
        <w:t>VIP</w:t>
      </w:r>
      <w:r>
        <w:t xml:space="preserve"> calculations require the user to </w:t>
      </w:r>
      <w:r w:rsidR="00432CD0">
        <w:t xml:space="preserve">either </w:t>
      </w:r>
      <w:r>
        <w:t xml:space="preserve">select a target PEV scenario or choose a custom targeted number of vehicles that would be incentivized under the program. If a custom target is chosen, the user can input the number of BEVs or PHEVs that would be incentivized by each milestone year </w:t>
      </w:r>
      <w:r w:rsidR="004C73F4">
        <w:t xml:space="preserve">starting with </w:t>
      </w:r>
      <w:r>
        <w:t>20</w:t>
      </w:r>
      <w:r w:rsidR="001672BA">
        <w:t>20</w:t>
      </w:r>
      <w:r w:rsidR="00AA0266">
        <w:t>.</w:t>
      </w:r>
      <w:r>
        <w:t xml:space="preserve"> </w:t>
      </w:r>
      <w:r w:rsidR="007D5DE4">
        <w:t xml:space="preserve">Once the number of PEVs is selected, the calculator utilizes the average VMT per PEV per day and the default PHEV utility factor (UF) used in </w:t>
      </w:r>
      <w:r w:rsidR="008311A2">
        <w:t>EMFAC2017</w:t>
      </w:r>
      <w:r w:rsidR="007D5DE4">
        <w:t xml:space="preserve"> to estimate the total eVMT associated with </w:t>
      </w:r>
      <w:r w:rsidR="00196062">
        <w:t>VIP</w:t>
      </w:r>
      <w:r w:rsidR="007D5DE4">
        <w:t xml:space="preserve">. The PHEV utility factor (UF) is defined as the percent of PHEV VMT that is electric. To estimate the </w:t>
      </w:r>
      <w:r w:rsidR="001732C1">
        <w:t>CO</w:t>
      </w:r>
      <w:r w:rsidR="001732C1" w:rsidRPr="001732C1">
        <w:rPr>
          <w:vertAlign w:val="subscript"/>
        </w:rPr>
        <w:t>2</w:t>
      </w:r>
      <w:r w:rsidR="007D5DE4">
        <w:t xml:space="preserve"> reductions, the </w:t>
      </w:r>
      <w:r w:rsidR="00993BEC">
        <w:t>total</w:t>
      </w:r>
      <w:r w:rsidR="007D5DE4">
        <w:t xml:space="preserve"> eVMT </w:t>
      </w:r>
      <w:r w:rsidR="00993BEC">
        <w:t xml:space="preserve">from </w:t>
      </w:r>
      <w:r w:rsidR="00AA0266">
        <w:t xml:space="preserve">the population of EVs under the </w:t>
      </w:r>
      <w:r w:rsidR="00196062">
        <w:t>VIP</w:t>
      </w:r>
      <w:r w:rsidR="00AA0266">
        <w:t xml:space="preserve"> is subtracted by the eVMT</w:t>
      </w:r>
      <w:r w:rsidR="00AA0266" w:rsidRPr="00BE302F">
        <w:t xml:space="preserve"> </w:t>
      </w:r>
      <w:r w:rsidR="00AA0266">
        <w:t xml:space="preserve">from </w:t>
      </w:r>
      <w:r w:rsidR="00A80F02">
        <w:t xml:space="preserve">population of </w:t>
      </w:r>
      <w:r w:rsidR="00AA0266">
        <w:t xml:space="preserve">EVs </w:t>
      </w:r>
      <w:r w:rsidR="00AA0266" w:rsidRPr="00F34C87">
        <w:t xml:space="preserve">in </w:t>
      </w:r>
      <w:r w:rsidR="007D5DE4">
        <w:t xml:space="preserve">EMFAC </w:t>
      </w:r>
      <w:r w:rsidR="00AC2E3C">
        <w:t>business-as-usual (BAU)</w:t>
      </w:r>
      <w:r w:rsidR="001672BA">
        <w:t xml:space="preserve"> </w:t>
      </w:r>
      <w:r w:rsidR="007D5DE4">
        <w:t>forecasts</w:t>
      </w:r>
      <w:r w:rsidR="00AA0266">
        <w:t xml:space="preserve">. The </w:t>
      </w:r>
      <w:r w:rsidR="00D3393A">
        <w:t xml:space="preserve">additional </w:t>
      </w:r>
      <w:r w:rsidR="00AA0266">
        <w:t xml:space="preserve">eVMT </w:t>
      </w:r>
      <w:r w:rsidR="00D3393A">
        <w:t xml:space="preserve">under the </w:t>
      </w:r>
      <w:r w:rsidR="00196062">
        <w:t>VIP</w:t>
      </w:r>
      <w:r w:rsidR="00D3393A">
        <w:t xml:space="preserve"> </w:t>
      </w:r>
      <w:r w:rsidR="00993BEC">
        <w:t xml:space="preserve">is assumed to offset emissions from equivalent gasoline </w:t>
      </w:r>
      <w:r w:rsidR="000F423B">
        <w:t>light</w:t>
      </w:r>
      <w:r w:rsidR="00432CD0">
        <w:t>-</w:t>
      </w:r>
      <w:r w:rsidR="000F423B">
        <w:t>duty vehicles (LDV)</w:t>
      </w:r>
      <w:r w:rsidR="00993BEC">
        <w:t>.</w:t>
      </w:r>
    </w:p>
    <w:p w14:paraId="197563F4" w14:textId="1843BAD4" w:rsidR="000F423B" w:rsidRDefault="000F423B" w:rsidP="000F423B">
      <w:pPr>
        <w:pStyle w:val="BodyText"/>
      </w:pPr>
      <w:r>
        <w:t>With respect to program costs, the user can input the average</w:t>
      </w:r>
      <w:r w:rsidR="00D702CE" w:rsidRPr="00D702CE">
        <w:t xml:space="preserve"> </w:t>
      </w:r>
      <w:r w:rsidR="00D702CE">
        <w:t>capital and administrative</w:t>
      </w:r>
      <w:r>
        <w:t xml:space="preserve"> costs associated with each vehicle incentive.</w:t>
      </w:r>
      <w:r w:rsidR="001732C1">
        <w:t xml:space="preserve"> The average costs can be varied or remain constant over time depending on how SANDAG designs the program. </w:t>
      </w:r>
    </w:p>
    <w:p w14:paraId="506EEFDF" w14:textId="67591727" w:rsidR="00B404E4" w:rsidRDefault="00B404E4" w:rsidP="00F50384">
      <w:pPr>
        <w:pStyle w:val="Heading6"/>
      </w:pPr>
      <w:r>
        <w:t>Comparison to State Targets</w:t>
      </w:r>
    </w:p>
    <w:p w14:paraId="541093E7" w14:textId="2AE2B09E" w:rsidR="00E922AB" w:rsidRDefault="00B404E4" w:rsidP="00F50384">
      <w:pPr>
        <w:pStyle w:val="BodyText"/>
      </w:pPr>
      <w:r>
        <w:t xml:space="preserve">The calculator allows for the user to </w:t>
      </w:r>
      <w:r w:rsidR="00F50384">
        <w:t>evaluate</w:t>
      </w:r>
      <w:r>
        <w:t xml:space="preserve"> how SANDAG’s EV program </w:t>
      </w:r>
      <w:r w:rsidR="003F00F1">
        <w:t xml:space="preserve">contributes </w:t>
      </w:r>
      <w:r>
        <w:t xml:space="preserve">to the overall per-capita </w:t>
      </w:r>
      <w:r w:rsidR="001732C1">
        <w:t>CO</w:t>
      </w:r>
      <w:r w:rsidR="001732C1" w:rsidRPr="001732C1">
        <w:rPr>
          <w:vertAlign w:val="subscript"/>
        </w:rPr>
        <w:t>2</w:t>
      </w:r>
      <w:r>
        <w:t xml:space="preserve">reduction targets under SB 375 and </w:t>
      </w:r>
      <w:r w:rsidR="003F00F1">
        <w:t>how the resulting PEV populations compares to the San Diego region’s share of</w:t>
      </w:r>
      <w:r>
        <w:t xml:space="preserve"> the State’s EV targets under EO B-16-12</w:t>
      </w:r>
      <w:r w:rsidR="003F00F1">
        <w:t xml:space="preserve"> and B-48-18</w:t>
      </w:r>
      <w:r>
        <w:t xml:space="preserve">. </w:t>
      </w:r>
      <w:r w:rsidR="00A23FCA">
        <w:t xml:space="preserve">Once SANDAG </w:t>
      </w:r>
      <w:r w:rsidR="002B3E16">
        <w:t xml:space="preserve">adopts </w:t>
      </w:r>
      <w:r w:rsidR="00A23FCA">
        <w:t xml:space="preserve">its </w:t>
      </w:r>
      <w:r w:rsidR="002B3E16">
        <w:t xml:space="preserve">Series 14 </w:t>
      </w:r>
      <w:r w:rsidR="00A23FCA">
        <w:t xml:space="preserve">regional growth forecast, the forecasted population and daily VMT can be input into the calculator for each milestone year. </w:t>
      </w:r>
      <w:r>
        <w:t xml:space="preserve">To calculate the </w:t>
      </w:r>
      <w:r w:rsidR="00A23FCA">
        <w:t>per-</w:t>
      </w:r>
      <w:r>
        <w:t xml:space="preserve">capita </w:t>
      </w:r>
      <w:r w:rsidR="001732C1">
        <w:t>CO</w:t>
      </w:r>
      <w:r w:rsidR="001732C1" w:rsidRPr="001732C1">
        <w:rPr>
          <w:vertAlign w:val="subscript"/>
        </w:rPr>
        <w:t>2</w:t>
      </w:r>
      <w:r>
        <w:t xml:space="preserve"> reductions associated with the EV off-model calculations, total daily reductions from both programs are divided by SANDAG’s forecasted population. </w:t>
      </w:r>
      <w:r w:rsidR="00A23FCA">
        <w:t xml:space="preserve">To </w:t>
      </w:r>
      <w:r w:rsidR="00F50384">
        <w:t>evaluate</w:t>
      </w:r>
      <w:r w:rsidR="00A23FCA">
        <w:t xml:space="preserve"> how SANDAG’s EV programs would help achieve the State’s EV targets, SANDAG’s total EV population and eVMT under both EV programs are compared to SANDAG’s LDV population and VMT, respectively, for each milestone year.</w:t>
      </w:r>
      <w:r w:rsidR="00065AE4">
        <w:t xml:space="preserve"> </w:t>
      </w:r>
    </w:p>
    <w:p w14:paraId="75BF4768" w14:textId="43C768E9" w:rsidR="00D40FE9" w:rsidRDefault="00DA3E0C" w:rsidP="00D40FE9">
      <w:pPr>
        <w:pStyle w:val="Heading4"/>
      </w:pPr>
      <w:r>
        <w:t>SANDAG EV Off-Model Methodology</w:t>
      </w:r>
    </w:p>
    <w:p w14:paraId="0F97F215" w14:textId="5E25AF7F" w:rsidR="00376790" w:rsidRDefault="0056754F" w:rsidP="004626C1">
      <w:pPr>
        <w:pStyle w:val="BodyText"/>
      </w:pPr>
      <w:r>
        <w:t>SANDAG’s</w:t>
      </w:r>
      <w:r w:rsidR="00D221D5">
        <w:t xml:space="preserve"> EV off-model calculator</w:t>
      </w:r>
      <w:r w:rsidR="008577AE">
        <w:t xml:space="preserve"> </w:t>
      </w:r>
      <w:r w:rsidR="003204B2">
        <w:t xml:space="preserve">quantifies the </w:t>
      </w:r>
      <w:r w:rsidR="001732C1">
        <w:t>CO</w:t>
      </w:r>
      <w:r w:rsidR="001732C1" w:rsidRPr="001732C1">
        <w:rPr>
          <w:vertAlign w:val="subscript"/>
        </w:rPr>
        <w:t>2</w:t>
      </w:r>
      <w:r w:rsidR="003204B2">
        <w:t xml:space="preserve"> reductions attributable to SANDAG’s EV programs </w:t>
      </w:r>
      <w:r w:rsidR="00A90BA7">
        <w:t>that g</w:t>
      </w:r>
      <w:r w:rsidR="003204B2">
        <w:t xml:space="preserve">o beyond the reductions that would occur under current </w:t>
      </w:r>
      <w:r w:rsidR="008577AE">
        <w:t xml:space="preserve">State </w:t>
      </w:r>
      <w:r w:rsidR="003204B2">
        <w:t xml:space="preserve">legislation. </w:t>
      </w:r>
      <w:r w:rsidR="008577AE">
        <w:t xml:space="preserve">The calculator </w:t>
      </w:r>
      <w:r w:rsidR="00D221D5">
        <w:t xml:space="preserve">quantifies </w:t>
      </w:r>
      <w:r w:rsidR="001732C1">
        <w:t>CO</w:t>
      </w:r>
      <w:r w:rsidR="001732C1" w:rsidRPr="001732C1">
        <w:rPr>
          <w:vertAlign w:val="subscript"/>
        </w:rPr>
        <w:t>2</w:t>
      </w:r>
      <w:r w:rsidR="00D221D5">
        <w:t xml:space="preserve"> reductions associated with implementation of the </w:t>
      </w:r>
      <w:r w:rsidR="00AC2E3C">
        <w:t>RECP</w:t>
      </w:r>
      <w:r w:rsidR="00D221D5">
        <w:t xml:space="preserve"> and </w:t>
      </w:r>
      <w:r w:rsidR="00196062">
        <w:t>VIP</w:t>
      </w:r>
      <w:r w:rsidR="00D221D5">
        <w:t xml:space="preserve"> for the milestone years 2020, 2025, 2030, 2035, and 2050. These years have been selected </w:t>
      </w:r>
      <w:r w:rsidR="008577AE">
        <w:t xml:space="preserve">primarily </w:t>
      </w:r>
      <w:r w:rsidR="00D221D5">
        <w:t>to be consistent with the milestone years set in AB</w:t>
      </w:r>
      <w:r w:rsidR="005B3367">
        <w:t xml:space="preserve"> </w:t>
      </w:r>
      <w:r w:rsidR="00D221D5">
        <w:t xml:space="preserve">32, SB 32, and SB 375. </w:t>
      </w:r>
      <w:r w:rsidR="00C74F5A">
        <w:t xml:space="preserve">The tool allows the user to adjust program targets (e.g., number of chargers, vehicles incentivized) and other assumptions to calculate </w:t>
      </w:r>
      <w:r w:rsidR="004626C1">
        <w:t xml:space="preserve">the </w:t>
      </w:r>
      <w:r w:rsidR="001732C1">
        <w:t>CO</w:t>
      </w:r>
      <w:r w:rsidR="001732C1" w:rsidRPr="001732C1">
        <w:rPr>
          <w:vertAlign w:val="subscript"/>
        </w:rPr>
        <w:t>2</w:t>
      </w:r>
      <w:r w:rsidR="004626C1">
        <w:t xml:space="preserve"> reductions relative to a BAU forecast</w:t>
      </w:r>
      <w:r w:rsidR="00C74F5A">
        <w:t>. The BAU forecast</w:t>
      </w:r>
      <w:r w:rsidR="004626C1">
        <w:t xml:space="preserve"> of PEV </w:t>
      </w:r>
      <w:r w:rsidR="003F6C48">
        <w:t xml:space="preserve">and eVMT </w:t>
      </w:r>
      <w:r w:rsidR="004626C1">
        <w:t>growth</w:t>
      </w:r>
      <w:r w:rsidR="00134BC4">
        <w:t xml:space="preserve"> </w:t>
      </w:r>
      <w:r w:rsidR="00C74F5A">
        <w:t xml:space="preserve">is based on historical vehicle sales data and assumed regulatory </w:t>
      </w:r>
      <w:r w:rsidR="004626C1">
        <w:t xml:space="preserve">compliance with </w:t>
      </w:r>
      <w:r w:rsidR="00E65BD6">
        <w:t>the S</w:t>
      </w:r>
      <w:r w:rsidR="004626C1">
        <w:t xml:space="preserve">tate’s ZEV </w:t>
      </w:r>
      <w:r w:rsidR="00C74F5A">
        <w:t>mandate</w:t>
      </w:r>
      <w:r w:rsidR="008C0E86">
        <w:t xml:space="preserve">, as modeled in </w:t>
      </w:r>
      <w:r w:rsidR="008311A2">
        <w:t>EMFAC2017</w:t>
      </w:r>
      <w:r w:rsidR="00C74F5A">
        <w:t xml:space="preserve">. </w:t>
      </w:r>
      <w:r w:rsidR="004626C1">
        <w:t>This approach allows</w:t>
      </w:r>
      <w:r w:rsidR="00134BC4">
        <w:t xml:space="preserve"> </w:t>
      </w:r>
      <w:r w:rsidR="001732C1">
        <w:t>CO</w:t>
      </w:r>
      <w:r w:rsidR="001732C1" w:rsidRPr="001732C1">
        <w:rPr>
          <w:vertAlign w:val="subscript"/>
        </w:rPr>
        <w:t>2</w:t>
      </w:r>
      <w:r w:rsidR="004626C1">
        <w:t xml:space="preserve"> reductions to be attributed only to SANDAG’s actions rather than being attributed to both </w:t>
      </w:r>
      <w:r w:rsidR="00E65BD6">
        <w:t>S</w:t>
      </w:r>
      <w:r w:rsidR="004626C1">
        <w:t xml:space="preserve">tate and SANDAG actions. </w:t>
      </w:r>
    </w:p>
    <w:p w14:paraId="2261F4F2" w14:textId="02ED4A5B" w:rsidR="003F6C48" w:rsidRDefault="00376790" w:rsidP="004626C1">
      <w:pPr>
        <w:pStyle w:val="BodyText"/>
      </w:pPr>
      <w:r>
        <w:lastRenderedPageBreak/>
        <w:t xml:space="preserve">Both the RECP and </w:t>
      </w:r>
      <w:r w:rsidR="00196062">
        <w:t>VIP</w:t>
      </w:r>
      <w:r>
        <w:t xml:space="preserve"> calculators use the same assumptions for EV efficiency, electricity emissions factors, gasoline-equivalent vehicle emission factors, and average miles travelled per day per vehicle by vehicle type. Emissions associated with eVMT are based on </w:t>
      </w:r>
      <w:r w:rsidR="00994D6C">
        <w:t xml:space="preserve">the </w:t>
      </w:r>
      <w:r>
        <w:t>average EV efficiency (measured in kWh</w:t>
      </w:r>
      <w:r w:rsidR="00783B99">
        <w:t xml:space="preserve"> per </w:t>
      </w:r>
      <w:r>
        <w:t xml:space="preserve">mi) and </w:t>
      </w:r>
      <w:r w:rsidR="00783B99">
        <w:t xml:space="preserve">SDG&amp;E’s </w:t>
      </w:r>
      <w:r>
        <w:t xml:space="preserve">electricity emissions factor (measured in grams </w:t>
      </w:r>
      <w:r w:rsidR="00A36666">
        <w:t xml:space="preserve">[g] </w:t>
      </w:r>
      <w:r>
        <w:t>of CO</w:t>
      </w:r>
      <w:r w:rsidRPr="00600E1E">
        <w:rPr>
          <w:vertAlign w:val="subscript"/>
        </w:rPr>
        <w:t>2</w:t>
      </w:r>
      <w:r>
        <w:t xml:space="preserve"> per kWh). For future milestone years, the electricity emissions factors are adjusted to be consistent with the targets set by the Renewable</w:t>
      </w:r>
      <w:r w:rsidR="005660A3">
        <w:t>s</w:t>
      </w:r>
      <w:r>
        <w:t xml:space="preserve"> Portfolio Standard and SB 350 (i.e., 33 percent renewable by 2020 and 50 percent renewable by 2030). </w:t>
      </w:r>
      <w:r w:rsidRPr="008735DD">
        <w:rPr>
          <w:b/>
        </w:rPr>
        <w:t xml:space="preserve"> </w:t>
      </w:r>
      <w:r w:rsidR="0083002B">
        <w:t xml:space="preserve">For equivalent gasoline </w:t>
      </w:r>
      <w:r w:rsidR="00246EA1">
        <w:t>LDV</w:t>
      </w:r>
      <w:r w:rsidR="000F423B">
        <w:t>s</w:t>
      </w:r>
      <w:r>
        <w:t xml:space="preserve">, emission factors were modeled in </w:t>
      </w:r>
      <w:r w:rsidR="008311A2">
        <w:t>EMFAC2017</w:t>
      </w:r>
      <w:r>
        <w:t xml:space="preserve"> for the SANDAG region for each milestone year. </w:t>
      </w:r>
      <w:r w:rsidR="008311A2">
        <w:t>EMFAC2017</w:t>
      </w:r>
      <w:r>
        <w:t xml:space="preserve"> </w:t>
      </w:r>
      <w:r w:rsidR="008311A2">
        <w:t xml:space="preserve">web database </w:t>
      </w:r>
      <w:r>
        <w:t xml:space="preserve">was </w:t>
      </w:r>
      <w:r w:rsidR="008311A2">
        <w:t>used to obtain the emission factors</w:t>
      </w:r>
      <w:r>
        <w:t xml:space="preserve">, </w:t>
      </w:r>
      <w:r w:rsidR="008311A2">
        <w:t>rather than using the de</w:t>
      </w:r>
      <w:r w:rsidR="00C84CD0">
        <w:t xml:space="preserve">sktop version to run EMFAC with </w:t>
      </w:r>
      <w:r w:rsidR="00783B99">
        <w:t xml:space="preserve">the post-processed </w:t>
      </w:r>
      <w:r>
        <w:t xml:space="preserve">SB 375 </w:t>
      </w:r>
      <w:r w:rsidR="00C84CD0">
        <w:t>analysis</w:t>
      </w:r>
      <w:r w:rsidR="00B17D9E">
        <w:t xml:space="preserve"> option</w:t>
      </w:r>
      <w:r>
        <w:t xml:space="preserve">. The SB 375 </w:t>
      </w:r>
      <w:r w:rsidR="00C84CD0">
        <w:t>analysis option</w:t>
      </w:r>
      <w:r>
        <w:t xml:space="preserve"> in EMFAC is typically used to determine the emissions reductions associated with VMT reductions in future years under a given transportation plan, so that MPOs do not rely on increasing vehicle efficiencies to meet the regional SB 375 </w:t>
      </w:r>
      <w:r w:rsidR="001732C1">
        <w:t>CO</w:t>
      </w:r>
      <w:r w:rsidR="001732C1" w:rsidRPr="001732C1">
        <w:rPr>
          <w:vertAlign w:val="subscript"/>
        </w:rPr>
        <w:t>2</w:t>
      </w:r>
      <w:r>
        <w:t xml:space="preserve"> reduction targets. However, for the purposes of assigning </w:t>
      </w:r>
      <w:r w:rsidR="001732C1">
        <w:t>CO</w:t>
      </w:r>
      <w:r w:rsidR="001732C1" w:rsidRPr="001732C1">
        <w:rPr>
          <w:vertAlign w:val="subscript"/>
        </w:rPr>
        <w:t>2</w:t>
      </w:r>
      <w:r>
        <w:t xml:space="preserve"> reductions to the proposed EV programs, it is more conservative to compare EV emissions to more efficient gasoline vehicles with lower emission factors than to compare EV emissions to gasoline vehicles with higher emission factors that would have been assumed under the SB 375 </w:t>
      </w:r>
      <w:r w:rsidR="004C73F4">
        <w:t>analysis option</w:t>
      </w:r>
      <w:r>
        <w:t>.</w:t>
      </w:r>
    </w:p>
    <w:p w14:paraId="1CECC130" w14:textId="14BF1255" w:rsidR="00DA3E0C" w:rsidRDefault="00DA3E0C" w:rsidP="00DA3E0C">
      <w:pPr>
        <w:pStyle w:val="Heading5"/>
      </w:pPr>
      <w:r>
        <w:t>Regional Electric Vehicle Charger Program</w:t>
      </w:r>
    </w:p>
    <w:p w14:paraId="4BD7BB1C" w14:textId="744DCBCD" w:rsidR="002A0D8E" w:rsidRDefault="001767BA" w:rsidP="00BC4F1D">
      <w:pPr>
        <w:pStyle w:val="BodyText"/>
      </w:pPr>
      <w:r>
        <w:t xml:space="preserve">Under the RECP, </w:t>
      </w:r>
      <w:r w:rsidR="004E0404">
        <w:t>SANDAG would continue to expand</w:t>
      </w:r>
      <w:r w:rsidR="007F7FA6">
        <w:t xml:space="preserve"> the</w:t>
      </w:r>
      <w:r w:rsidR="00313A69">
        <w:t xml:space="preserve"> public</w:t>
      </w:r>
      <w:r w:rsidR="007F7FA6">
        <w:t xml:space="preserve"> EV charging infrastructure in the San Diego region to </w:t>
      </w:r>
      <w:r w:rsidR="008735DD">
        <w:t>support and incentivize the growing PEV population in the region.</w:t>
      </w:r>
      <w:r w:rsidR="003F0287">
        <w:t xml:space="preserve"> </w:t>
      </w:r>
      <w:r w:rsidR="00985B1C">
        <w:t>C</w:t>
      </w:r>
      <w:r w:rsidR="00274AD6">
        <w:t xml:space="preserve">hargers alone do not reduce </w:t>
      </w:r>
      <w:r w:rsidR="001732C1">
        <w:t>CO</w:t>
      </w:r>
      <w:r w:rsidR="001732C1" w:rsidRPr="001732C1">
        <w:rPr>
          <w:vertAlign w:val="subscript"/>
        </w:rPr>
        <w:t>2</w:t>
      </w:r>
      <w:r w:rsidR="00274AD6">
        <w:t xml:space="preserve"> emissions. However, the public EV charging infrastructure allows for the PEV population to grow by making it easier and more convenient for PEV drivers to charge</w:t>
      </w:r>
      <w:r w:rsidR="005554A5">
        <w:t xml:space="preserve"> their vehicles</w:t>
      </w:r>
      <w:r w:rsidR="00274AD6">
        <w:t>. The relationship between the charging infrastructure and the PEV population and travel behavior has been a primary study focus for several research groups, including various universities, national laboratories, and state agencies. However, until recently,</w:t>
      </w:r>
      <w:r w:rsidR="006516A6">
        <w:t xml:space="preserve"> this</w:t>
      </w:r>
      <w:r w:rsidR="00274AD6">
        <w:t xml:space="preserve"> research </w:t>
      </w:r>
      <w:r w:rsidR="00C07F94">
        <w:t xml:space="preserve">has been limited to the behavior of early PEV adopters. </w:t>
      </w:r>
    </w:p>
    <w:p w14:paraId="25FA86DF" w14:textId="6B7B3AFD" w:rsidR="00376790" w:rsidRDefault="000E4FB1" w:rsidP="00BC4F1D">
      <w:pPr>
        <w:pStyle w:val="BodyText"/>
      </w:pPr>
      <w:r>
        <w:t xml:space="preserve">As the </w:t>
      </w:r>
      <w:r w:rsidR="005554A5">
        <w:t>S</w:t>
      </w:r>
      <w:r>
        <w:t xml:space="preserve">tate prepares for </w:t>
      </w:r>
      <w:r w:rsidR="00A75188">
        <w:t>greater</w:t>
      </w:r>
      <w:r>
        <w:t xml:space="preserve"> adoption of PEVs to fulfill </w:t>
      </w:r>
      <w:r w:rsidR="005554A5">
        <w:t xml:space="preserve">its </w:t>
      </w:r>
      <w:r>
        <w:t xml:space="preserve">climate goals, </w:t>
      </w:r>
      <w:r w:rsidR="002A0890">
        <w:t>SANDAG’s RECP</w:t>
      </w:r>
      <w:r>
        <w:t xml:space="preserve"> calculat</w:t>
      </w:r>
      <w:r w:rsidR="002A0890">
        <w:t>o</w:t>
      </w:r>
      <w:r>
        <w:t xml:space="preserve">r utilizes </w:t>
      </w:r>
      <w:r w:rsidR="00EE428F">
        <w:t xml:space="preserve">CEC’s recent </w:t>
      </w:r>
      <w:r>
        <w:t>EVI-Pro</w:t>
      </w:r>
      <w:r w:rsidR="00EE428F">
        <w:t xml:space="preserve"> modeling</w:t>
      </w:r>
      <w:r>
        <w:t xml:space="preserve"> </w:t>
      </w:r>
      <w:r w:rsidR="0056754F">
        <w:t xml:space="preserve">to account for </w:t>
      </w:r>
      <w:r w:rsidR="00EE428F">
        <w:t xml:space="preserve">travel and charging </w:t>
      </w:r>
      <w:r>
        <w:t>be</w:t>
      </w:r>
      <w:r w:rsidR="00EE428F">
        <w:t xml:space="preserve">havior </w:t>
      </w:r>
      <w:r>
        <w:t xml:space="preserve">that </w:t>
      </w:r>
      <w:r w:rsidR="00EE428F">
        <w:t>is more</w:t>
      </w:r>
      <w:r>
        <w:t xml:space="preserve"> representative of mainstream drivers </w:t>
      </w:r>
      <w:r w:rsidR="00EE428F">
        <w:t xml:space="preserve">in the San Diego region </w:t>
      </w:r>
      <w:r>
        <w:t xml:space="preserve">(CEC 2018:1). </w:t>
      </w:r>
      <w:r w:rsidR="00DB72DE">
        <w:t xml:space="preserve">As </w:t>
      </w:r>
      <w:r w:rsidR="00D819AA">
        <w:t xml:space="preserve">stated </w:t>
      </w:r>
      <w:r w:rsidR="00DB72DE">
        <w:t xml:space="preserve">previously, </w:t>
      </w:r>
      <w:r w:rsidR="00EE428F">
        <w:t xml:space="preserve">the </w:t>
      </w:r>
      <w:r w:rsidR="00DB72DE">
        <w:t xml:space="preserve">EVI-Pro </w:t>
      </w:r>
      <w:r w:rsidR="00EE428F">
        <w:t xml:space="preserve">data viewer was used </w:t>
      </w:r>
      <w:r w:rsidR="00DB72DE">
        <w:t xml:space="preserve">to estimate the number of chargers needed to support a given PEV population, </w:t>
      </w:r>
      <w:r w:rsidR="00EE428F">
        <w:t xml:space="preserve">accounting for San Diego-specific estimates of the </w:t>
      </w:r>
      <w:r w:rsidR="002A0D8E">
        <w:t>PEV fleet mix</w:t>
      </w:r>
      <w:r w:rsidR="00783B99">
        <w:t xml:space="preserve">, </w:t>
      </w:r>
      <w:r w:rsidR="002A0D8E">
        <w:t>access to home charging</w:t>
      </w:r>
      <w:r w:rsidR="00783B99">
        <w:t>, and other factors</w:t>
      </w:r>
      <w:r w:rsidR="00EA7B42">
        <w:t xml:space="preserve">. </w:t>
      </w:r>
      <w:r w:rsidR="0049409C">
        <w:t xml:space="preserve">The resulting PEV-to-charger ratio is the basis for both the </w:t>
      </w:r>
      <w:r w:rsidR="001732C1">
        <w:t>CO</w:t>
      </w:r>
      <w:r w:rsidR="001732C1" w:rsidRPr="001732C1">
        <w:rPr>
          <w:vertAlign w:val="subscript"/>
        </w:rPr>
        <w:t>2</w:t>
      </w:r>
      <w:r w:rsidR="0049409C">
        <w:t xml:space="preserve"> reduction and cost estimates related to the RECP. Based on CEC’s results, Asce</w:t>
      </w:r>
      <w:r w:rsidR="00EC0346">
        <w:t xml:space="preserve">nt calculated a </w:t>
      </w:r>
      <w:r w:rsidR="0049409C">
        <w:t xml:space="preserve">ratio of one charger for approximately every </w:t>
      </w:r>
      <w:r w:rsidR="00EC0346">
        <w:t>eight</w:t>
      </w:r>
      <w:r w:rsidR="0049409C">
        <w:t xml:space="preserve"> </w:t>
      </w:r>
      <w:r w:rsidR="00EC0346">
        <w:t xml:space="preserve">to 10 </w:t>
      </w:r>
      <w:r w:rsidR="0049409C">
        <w:t>PEVs</w:t>
      </w:r>
      <w:r w:rsidR="00EC0346">
        <w:t>,</w:t>
      </w:r>
      <w:r w:rsidR="0049409C">
        <w:t xml:space="preserve"> </w:t>
      </w:r>
      <w:r w:rsidR="00EC0346">
        <w:t xml:space="preserve">depending on </w:t>
      </w:r>
      <w:r w:rsidR="0049409C">
        <w:t xml:space="preserve">the targeted PEV population. The </w:t>
      </w:r>
      <w:r w:rsidR="00F048C4">
        <w:t xml:space="preserve">ratios were also </w:t>
      </w:r>
      <w:r w:rsidR="003329C0">
        <w:t>categorized</w:t>
      </w:r>
      <w:r w:rsidR="0049409C">
        <w:t xml:space="preserve"> by </w:t>
      </w:r>
      <w:r w:rsidR="009870D6">
        <w:t xml:space="preserve">charger type: </w:t>
      </w:r>
      <w:r w:rsidR="0049409C">
        <w:t xml:space="preserve">workplace Level 2, public </w:t>
      </w:r>
      <w:r w:rsidR="00B17D9E">
        <w:t>L</w:t>
      </w:r>
      <w:r w:rsidR="00CD383F">
        <w:t>evel 2</w:t>
      </w:r>
      <w:r w:rsidR="0049409C">
        <w:t xml:space="preserve">, and public </w:t>
      </w:r>
      <w:r w:rsidR="00CD383F">
        <w:t xml:space="preserve">DC </w:t>
      </w:r>
      <w:r w:rsidR="0049409C">
        <w:t xml:space="preserve">Fast Chargers. </w:t>
      </w:r>
      <w:r w:rsidR="00B904F2">
        <w:t xml:space="preserve">The trend </w:t>
      </w:r>
      <w:r w:rsidR="00243987">
        <w:t xml:space="preserve">in how this ratio changes </w:t>
      </w:r>
      <w:r w:rsidR="003329C0">
        <w:t>with respect to</w:t>
      </w:r>
      <w:r w:rsidR="00B904F2">
        <w:t xml:space="preserve"> the supported PEV population is shown in Figure 1.</w:t>
      </w:r>
    </w:p>
    <w:p w14:paraId="0F0A5BFF" w14:textId="5C110E6E" w:rsidR="00B904F2" w:rsidRDefault="00B904F2" w:rsidP="00D608E7">
      <w:pPr>
        <w:pStyle w:val="BodyText"/>
        <w:jc w:val="center"/>
      </w:pPr>
      <w:r w:rsidRPr="00B904F2">
        <w:rPr>
          <w:noProof/>
        </w:rPr>
        <w:lastRenderedPageBreak/>
        <w:drawing>
          <wp:inline distT="0" distB="0" distL="0" distR="0" wp14:anchorId="328F82C0" wp14:editId="43126128">
            <wp:extent cx="5970895" cy="35275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3223" cy="3534818"/>
                    </a:xfrm>
                    <a:prstGeom prst="rect">
                      <a:avLst/>
                    </a:prstGeom>
                    <a:noFill/>
                    <a:ln>
                      <a:noFill/>
                    </a:ln>
                  </pic:spPr>
                </pic:pic>
              </a:graphicData>
            </a:graphic>
          </wp:inline>
        </w:drawing>
      </w:r>
    </w:p>
    <w:p w14:paraId="15638A86" w14:textId="67467421" w:rsidR="00B904F2" w:rsidRDefault="00B904F2" w:rsidP="00B904F2">
      <w:pPr>
        <w:pStyle w:val="ExhibitSource"/>
      </w:pPr>
      <w:r>
        <w:t>Note: Adapted from CEC’s results from EVI-Pro for the San Diego Region, consistent with results in</w:t>
      </w:r>
      <w:r w:rsidRPr="004C73F4">
        <w:t xml:space="preserve"> </w:t>
      </w:r>
      <w:r w:rsidR="004C73F4">
        <w:t>“</w:t>
      </w:r>
      <w:r w:rsidR="004C73F4" w:rsidRPr="0034505B">
        <w:t>California Plug-In Electric Vehicle Infrastructure Projections: 2017-2025 Future Infrastructure Needs for Reaching the State’s Zero Emission-Vehicle Deployment Goals.</w:t>
      </w:r>
      <w:r w:rsidR="004C73F4">
        <w:t>” (</w:t>
      </w:r>
      <w:r>
        <w:t>CEC 2018</w:t>
      </w:r>
      <w:r w:rsidR="004C73F4">
        <w:t>)</w:t>
      </w:r>
      <w:r>
        <w:t>.</w:t>
      </w:r>
      <w:r w:rsidR="008270C0" w:rsidRPr="008270C0">
        <w:rPr>
          <w:rStyle w:val="FootnoteReference"/>
        </w:rPr>
        <w:t xml:space="preserve"> </w:t>
      </w:r>
      <w:r w:rsidR="008270C0">
        <w:rPr>
          <w:rStyle w:val="FootnoteReference"/>
        </w:rPr>
        <w:footnoteReference w:id="1"/>
      </w:r>
    </w:p>
    <w:p w14:paraId="224FFF19" w14:textId="0F04ED6C" w:rsidR="00B904F2" w:rsidRDefault="00B904F2" w:rsidP="00B904F2">
      <w:pPr>
        <w:pStyle w:val="ExhibitTitle"/>
        <w:ind w:left="1620" w:hanging="1620"/>
      </w:pPr>
      <w:r>
        <w:t>Figure 1</w:t>
      </w:r>
      <w:r>
        <w:tab/>
        <w:t>PEV-to-Charger Ratio vs. PEV Population for the San Diego Region</w:t>
      </w:r>
    </w:p>
    <w:p w14:paraId="7856FCFF" w14:textId="257BD99A" w:rsidR="00B904F2" w:rsidRDefault="00B904F2" w:rsidP="00B904F2">
      <w:pPr>
        <w:pStyle w:val="ExhibitTitle"/>
      </w:pPr>
    </w:p>
    <w:p w14:paraId="1B57B8AC" w14:textId="132AF43C" w:rsidR="00856E4E" w:rsidRDefault="00243987" w:rsidP="00856E4E">
      <w:r>
        <w:t>Figure 1 shows the</w:t>
      </w:r>
      <w:r w:rsidR="00856E4E">
        <w:t xml:space="preserve"> PEV-to-charger ratio </w:t>
      </w:r>
      <w:r>
        <w:t xml:space="preserve">between the 2017 and 2025 </w:t>
      </w:r>
      <w:r w:rsidR="00856E4E">
        <w:t>PEV population</w:t>
      </w:r>
      <w:r>
        <w:t xml:space="preserve"> in the San Diego region</w:t>
      </w:r>
      <w:r w:rsidR="00856E4E">
        <w:t>, according to the CEC’s EVI-Pro assumptions</w:t>
      </w:r>
      <w:r>
        <w:t xml:space="preserve">. For 2025, CEC estimates that SANDAG’s fair share of PEVs to meet the 2025 goals under EO B-16-12 is 110,227 PEVs. </w:t>
      </w:r>
      <w:r w:rsidR="00E12365">
        <w:t>In contrast, EMFAC2017 forecasts that the SANDAG region would have 61,378 PEVs by 2025</w:t>
      </w:r>
      <w:r w:rsidR="00BE302F">
        <w:t>, almost half of the State’s 2025 target</w:t>
      </w:r>
      <w:r w:rsidR="00E12365">
        <w:t xml:space="preserve">. </w:t>
      </w:r>
      <w:r>
        <w:t xml:space="preserve">Ascent assumes that the linear trend between 2017 and 2025 would continue past 2025. As such, the equations shown in Figure 1 are used to calculate the number of workplace, public </w:t>
      </w:r>
      <w:r w:rsidR="0034505B">
        <w:t>L</w:t>
      </w:r>
      <w:r w:rsidR="00CD383F">
        <w:t>evel 2</w:t>
      </w:r>
      <w:r>
        <w:t xml:space="preserve">, and public </w:t>
      </w:r>
      <w:r w:rsidR="00CD383F">
        <w:t>DC Fast Charger</w:t>
      </w:r>
      <w:r>
        <w:t>s needed to support a given PEV population.</w:t>
      </w:r>
      <w:r w:rsidR="008C2A56">
        <w:t xml:space="preserve"> SANDAG’s goal under the RECP is to meet the charger demand under a </w:t>
      </w:r>
      <w:r w:rsidR="003A6421">
        <w:t>selected</w:t>
      </w:r>
      <w:r w:rsidR="008C2A56">
        <w:t xml:space="preserve"> PEV </w:t>
      </w:r>
      <w:r w:rsidR="005E2A1E">
        <w:t xml:space="preserve">population </w:t>
      </w:r>
      <w:r w:rsidR="008C2A56">
        <w:t>scenario.</w:t>
      </w:r>
    </w:p>
    <w:p w14:paraId="4E33C6B1" w14:textId="77777777" w:rsidR="001672BA" w:rsidRDefault="001672BA" w:rsidP="00856E4E"/>
    <w:p w14:paraId="3FD55810" w14:textId="49A5ACE2" w:rsidR="00D91BA9" w:rsidRDefault="001732C1" w:rsidP="00D91BA9">
      <w:pPr>
        <w:pStyle w:val="BodyText"/>
      </w:pPr>
      <w:r>
        <w:t>CO</w:t>
      </w:r>
      <w:r w:rsidRPr="001732C1">
        <w:rPr>
          <w:vertAlign w:val="subscript"/>
        </w:rPr>
        <w:t>2</w:t>
      </w:r>
      <w:r w:rsidR="00285CC9">
        <w:t xml:space="preserve"> reductions from implementation of the RECP are based on the sum of </w:t>
      </w:r>
      <w:r>
        <w:t>CO</w:t>
      </w:r>
      <w:r w:rsidRPr="001732C1">
        <w:rPr>
          <w:vertAlign w:val="subscript"/>
        </w:rPr>
        <w:t>2</w:t>
      </w:r>
      <w:r w:rsidR="00285CC9">
        <w:t xml:space="preserve"> reductions from </w:t>
      </w:r>
      <w:r w:rsidR="00F3666C">
        <w:t>the effects of the additional chargers on BEV and PHEV travel activity</w:t>
      </w:r>
      <w:r w:rsidR="00285CC9">
        <w:t xml:space="preserve">. This is because charging behavior differs between </w:t>
      </w:r>
      <w:r w:rsidR="00203CD2">
        <w:t>BEV and PHEV drivers. While BEV drivers</w:t>
      </w:r>
      <w:r w:rsidR="00285CC9">
        <w:t xml:space="preserve"> may experience range anxiety due to a </w:t>
      </w:r>
      <w:r w:rsidR="003329C0">
        <w:t>limited</w:t>
      </w:r>
      <w:r w:rsidR="00285CC9">
        <w:t xml:space="preserve"> presence of chargers,</w:t>
      </w:r>
      <w:r w:rsidR="000F6694">
        <w:t xml:space="preserve"> </w:t>
      </w:r>
      <w:r w:rsidR="00F3666C">
        <w:t>BEVs primarily</w:t>
      </w:r>
      <w:r w:rsidR="000F6694">
        <w:t xml:space="preserve"> charge at home and</w:t>
      </w:r>
      <w:r w:rsidR="00285CC9">
        <w:t xml:space="preserve"> all miles associ</w:t>
      </w:r>
      <w:r w:rsidR="00203CD2">
        <w:t xml:space="preserve">ated with BEV driving </w:t>
      </w:r>
      <w:r w:rsidR="00FA3320">
        <w:t>are</w:t>
      </w:r>
      <w:r w:rsidR="00203CD2">
        <w:t xml:space="preserve"> elect</w:t>
      </w:r>
      <w:r w:rsidR="000F6694">
        <w:t>ric</w:t>
      </w:r>
      <w:r w:rsidR="00203CD2">
        <w:t xml:space="preserve">. On the other hand, PHEV drivers have the option of travelling further using gasoline after their electric-only range has been exhausted and a </w:t>
      </w:r>
      <w:r w:rsidR="002D7117">
        <w:t xml:space="preserve">nearby </w:t>
      </w:r>
      <w:r w:rsidR="00203CD2">
        <w:t xml:space="preserve">charger </w:t>
      </w:r>
      <w:r w:rsidR="002D7117">
        <w:t xml:space="preserve">is unavailable </w:t>
      </w:r>
      <w:r w:rsidR="00203CD2">
        <w:t>(</w:t>
      </w:r>
      <w:r w:rsidR="003329C0">
        <w:t xml:space="preserve">It should be noted </w:t>
      </w:r>
      <w:r w:rsidR="00203CD2">
        <w:t xml:space="preserve">that no diesel PHEVs are currently on the market). </w:t>
      </w:r>
      <w:r w:rsidR="000F6694">
        <w:t xml:space="preserve">However, the increased availability of </w:t>
      </w:r>
      <w:r w:rsidR="00FA3320">
        <w:t xml:space="preserve">chargers could allow PHEV drivers to </w:t>
      </w:r>
      <w:r w:rsidR="00FA3320">
        <w:lastRenderedPageBreak/>
        <w:t>extend their electric-only range, resulting in a greater percentage of eV</w:t>
      </w:r>
      <w:r w:rsidR="00C82C16">
        <w:t>MT across all miles driven. E</w:t>
      </w:r>
      <w:r w:rsidR="00FA3320">
        <w:t>quations</w:t>
      </w:r>
      <w:r w:rsidR="00C82C16">
        <w:t xml:space="preserve"> 1 through 3 are </w:t>
      </w:r>
      <w:r w:rsidR="00FA3320">
        <w:t xml:space="preserve">used to calculate the </w:t>
      </w:r>
      <w:r>
        <w:t>CO</w:t>
      </w:r>
      <w:r w:rsidRPr="001732C1">
        <w:rPr>
          <w:vertAlign w:val="subscript"/>
        </w:rPr>
        <w:t>2</w:t>
      </w:r>
      <w:r w:rsidR="00FA3320">
        <w:t xml:space="preserve"> reductions from BEVs and PHEVs under the RECP </w:t>
      </w:r>
      <w:r w:rsidR="00033FA2">
        <w:t>for a given milestone year</w:t>
      </w:r>
      <w:r w:rsidR="002D7117">
        <w:t>.</w:t>
      </w:r>
    </w:p>
    <w:p w14:paraId="5DB57D27" w14:textId="4218263D" w:rsidR="00A84177" w:rsidRPr="00BD2B28" w:rsidRDefault="00196062" w:rsidP="00D91BA9">
      <w:pPr>
        <w:pStyle w:val="BodyText"/>
      </w:pPr>
      <m:oMathPara>
        <m:oMathParaPr>
          <m:jc m:val="center"/>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RECP</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BE</m:t>
                  </m:r>
                  <m:sSub>
                    <m:sSubPr>
                      <m:ctrlPr>
                        <w:rPr>
                          <w:rFonts w:ascii="Cambria Math" w:hAnsi="Cambria Math"/>
                          <w:i/>
                        </w:rPr>
                      </m:ctrlPr>
                    </m:sSubPr>
                    <m:e>
                      <m:r>
                        <w:rPr>
                          <w:rFonts w:ascii="Cambria Math" w:hAnsi="Cambria Math"/>
                        </w:rPr>
                        <m:t>V</m:t>
                      </m:r>
                    </m:e>
                    <m:sub>
                      <m:r>
                        <w:rPr>
                          <w:rFonts w:ascii="Cambria Math" w:hAnsi="Cambria Math"/>
                        </w:rPr>
                        <m:t>RECP</m:t>
                      </m:r>
                    </m:sub>
                  </m:sSub>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PHE</m:t>
                  </m:r>
                  <m:sSub>
                    <m:sSubPr>
                      <m:ctrlPr>
                        <w:rPr>
                          <w:rFonts w:ascii="Cambria Math" w:hAnsi="Cambria Math"/>
                          <w:i/>
                        </w:rPr>
                      </m:ctrlPr>
                    </m:sSubPr>
                    <m:e>
                      <m:r>
                        <w:rPr>
                          <w:rFonts w:ascii="Cambria Math" w:hAnsi="Cambria Math"/>
                        </w:rPr>
                        <m:t>V</m:t>
                      </m:r>
                    </m:e>
                    <m:sub>
                      <m:r>
                        <w:rPr>
                          <w:rFonts w:ascii="Cambria Math" w:hAnsi="Cambria Math"/>
                        </w:rPr>
                        <m:t>RECP</m:t>
                      </m:r>
                    </m:sub>
                  </m:sSub>
                </m:sub>
              </m:sSub>
              <m:r>
                <w:rPr>
                  <w:rFonts w:ascii="Cambria Math" w:hAnsi="Cambria Math"/>
                </w:rPr>
                <m:t>#</m:t>
              </m:r>
              <m:d>
                <m:dPr>
                  <m:ctrlPr>
                    <w:rPr>
                      <w:rFonts w:ascii="Cambria Math" w:hAnsi="Cambria Math"/>
                      <w:i/>
                    </w:rPr>
                  </m:ctrlPr>
                </m:dPr>
                <m:e>
                  <m:r>
                    <w:rPr>
                      <w:rFonts w:ascii="Cambria Math" w:hAnsi="Cambria Math"/>
                    </w:rPr>
                    <m:t>Equation 1</m:t>
                  </m:r>
                </m:e>
              </m:d>
            </m:e>
          </m:eqArr>
        </m:oMath>
      </m:oMathPara>
    </w:p>
    <w:p w14:paraId="200C4D7C" w14:textId="340F5841" w:rsidR="00033FA2" w:rsidRDefault="00033FA2" w:rsidP="00D91BA9">
      <w:pPr>
        <w:pStyle w:val="BodyText"/>
      </w:pPr>
      <w:r>
        <w:t>Where:</w:t>
      </w:r>
    </w:p>
    <w:p w14:paraId="436FD575" w14:textId="1AF471A8" w:rsidR="00033FA2" w:rsidRDefault="00033FA2" w:rsidP="007357FD">
      <w:pPr>
        <w:pStyle w:val="BodyText"/>
        <w:ind w:left="1440" w:hanging="720"/>
      </w:pPr>
      <w:r>
        <w:t>E</w:t>
      </w:r>
      <w:r w:rsidRPr="00033FA2">
        <w:rPr>
          <w:vertAlign w:val="subscript"/>
        </w:rPr>
        <w:t>RECP</w:t>
      </w:r>
      <w:r>
        <w:t xml:space="preserve"> = Emissions reductions associated with implementation of RECP</w:t>
      </w:r>
      <w:r w:rsidR="007962CE">
        <w:t xml:space="preserve"> (</w:t>
      </w:r>
      <w:r w:rsidR="00463350">
        <w:t>MT CO</w:t>
      </w:r>
      <w:r w:rsidR="00463350" w:rsidRPr="00F34C87">
        <w:rPr>
          <w:vertAlign w:val="subscript"/>
        </w:rPr>
        <w:t>2</w:t>
      </w:r>
      <w:r w:rsidR="00463350">
        <w:t>)</w:t>
      </w:r>
    </w:p>
    <w:p w14:paraId="71DB1040" w14:textId="1AE50E04" w:rsidR="00033FA2" w:rsidRDefault="00033FA2" w:rsidP="007357FD">
      <w:pPr>
        <w:pStyle w:val="BodyText"/>
        <w:ind w:firstLine="720"/>
      </w:pPr>
      <w:r>
        <w:t>E</w:t>
      </w:r>
      <w:r w:rsidRPr="00033FA2">
        <w:rPr>
          <w:vertAlign w:val="subscript"/>
        </w:rPr>
        <w:t>BEV</w:t>
      </w:r>
      <w:r w:rsidR="00FF26DA">
        <w:rPr>
          <w:vertAlign w:val="subscript"/>
        </w:rPr>
        <w:t>_RECP</w:t>
      </w:r>
      <w:r>
        <w:t xml:space="preserve"> = Emissions reductions associated with BEVs under the RECP</w:t>
      </w:r>
      <w:r w:rsidR="007962CE">
        <w:t xml:space="preserve"> (MT CO</w:t>
      </w:r>
      <w:r w:rsidR="007962CE" w:rsidRPr="007962CE">
        <w:rPr>
          <w:vertAlign w:val="subscript"/>
        </w:rPr>
        <w:t>2</w:t>
      </w:r>
      <w:r w:rsidR="007962CE" w:rsidRPr="007962CE">
        <w:t>)</w:t>
      </w:r>
    </w:p>
    <w:p w14:paraId="47EAE56E" w14:textId="16DF2F14" w:rsidR="00033FA2" w:rsidRDefault="00033FA2" w:rsidP="007357FD">
      <w:pPr>
        <w:pStyle w:val="BodyText"/>
        <w:ind w:firstLine="720"/>
      </w:pPr>
      <w:r>
        <w:t>E</w:t>
      </w:r>
      <w:r w:rsidRPr="00033FA2">
        <w:rPr>
          <w:vertAlign w:val="subscript"/>
        </w:rPr>
        <w:t>PHEV</w:t>
      </w:r>
      <w:r w:rsidR="00FF26DA">
        <w:rPr>
          <w:vertAlign w:val="subscript"/>
        </w:rPr>
        <w:t>_RECP</w:t>
      </w:r>
      <w:r>
        <w:t xml:space="preserve"> = Emissions reductions associated with PHEVs under the RECP</w:t>
      </w:r>
      <w:r w:rsidR="007962CE">
        <w:t xml:space="preserve"> (MT CO</w:t>
      </w:r>
      <w:r w:rsidR="007962CE" w:rsidRPr="007962CE">
        <w:rPr>
          <w:vertAlign w:val="subscript"/>
        </w:rPr>
        <w:t>2</w:t>
      </w:r>
      <w:r w:rsidR="007962CE" w:rsidRPr="007962CE">
        <w:t>)</w:t>
      </w:r>
    </w:p>
    <w:p w14:paraId="63161F52" w14:textId="2EB8F959" w:rsidR="00A07395" w:rsidRDefault="00A07395" w:rsidP="00A07395">
      <w:pPr>
        <w:pStyle w:val="Heading6"/>
      </w:pPr>
      <w:r>
        <w:t xml:space="preserve">BEV </w:t>
      </w:r>
      <w:r w:rsidR="001732C1">
        <w:t>CO</w:t>
      </w:r>
      <w:r w:rsidR="001732C1" w:rsidRPr="001732C1">
        <w:rPr>
          <w:vertAlign w:val="subscript"/>
        </w:rPr>
        <w:t>2</w:t>
      </w:r>
      <w:r>
        <w:t xml:space="preserve"> Reductions</w:t>
      </w:r>
    </w:p>
    <w:p w14:paraId="4A544942" w14:textId="09429178" w:rsidR="00A24CAD" w:rsidRDefault="001732C1" w:rsidP="00D91BA9">
      <w:pPr>
        <w:pStyle w:val="BodyText"/>
      </w:pPr>
      <w:r>
        <w:t>CO</w:t>
      </w:r>
      <w:r w:rsidRPr="001732C1">
        <w:rPr>
          <w:vertAlign w:val="subscript"/>
        </w:rPr>
        <w:t>2</w:t>
      </w:r>
      <w:r w:rsidR="00D91BA9">
        <w:t xml:space="preserve"> reductions from BEVs are based on the difference between emissions from charging associated with </w:t>
      </w:r>
      <w:r w:rsidR="001C69E1">
        <w:t xml:space="preserve">the eVMT provided to </w:t>
      </w:r>
      <w:r w:rsidR="00D91BA9">
        <w:t xml:space="preserve">BEVs under the RECP </w:t>
      </w:r>
      <w:r w:rsidR="001C69E1">
        <w:t>compared to the eVMT from BEV</w:t>
      </w:r>
      <w:r w:rsidR="00B40FAC">
        <w:t>s</w:t>
      </w:r>
      <w:r w:rsidR="001C69E1">
        <w:t xml:space="preserve"> anticipated by </w:t>
      </w:r>
      <w:r w:rsidR="00633DCE">
        <w:t>EMFAC.</w:t>
      </w:r>
      <w:r w:rsidR="00033FA2">
        <w:t xml:space="preserve"> </w:t>
      </w:r>
      <w:r w:rsidR="009177C4">
        <w:t xml:space="preserve">Any additional eVMT from the </w:t>
      </w:r>
      <w:r w:rsidR="001B03B4">
        <w:t>RECP</w:t>
      </w:r>
      <w:r w:rsidR="009177C4">
        <w:t xml:space="preserve"> is assumed to offset equivalent gasoline LDV VMT. </w:t>
      </w:r>
      <w:r w:rsidR="00A24CAD">
        <w:t>Thus, for a given milestone year</w:t>
      </w:r>
      <w:r w:rsidR="001C69E1">
        <w:t xml:space="preserve">, </w:t>
      </w:r>
      <w:r w:rsidR="00DD3D29">
        <w:t xml:space="preserve">BEV emission reductions </w:t>
      </w:r>
      <w:r w:rsidR="001C69E1">
        <w:t xml:space="preserve">from the RECP are based on </w:t>
      </w:r>
      <w:r w:rsidR="00FE3C25">
        <w:t>Equation 2</w:t>
      </w:r>
      <w:r w:rsidR="001C69E1">
        <w:t>.</w:t>
      </w:r>
    </w:p>
    <w:p w14:paraId="2927BB41" w14:textId="62BC2024" w:rsidR="00285CC9" w:rsidRDefault="00196062" w:rsidP="00F33E30">
      <w:pPr>
        <w:pStyle w:val="BodyText"/>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BE</m:t>
                  </m:r>
                  <m:sSub>
                    <m:sSubPr>
                      <m:ctrlPr>
                        <w:rPr>
                          <w:rFonts w:ascii="Cambria Math" w:hAnsi="Cambria Math"/>
                          <w:i/>
                        </w:rPr>
                      </m:ctrlPr>
                    </m:sSubPr>
                    <m:e>
                      <m:r>
                        <w:rPr>
                          <w:rFonts w:ascii="Cambria Math" w:hAnsi="Cambria Math"/>
                        </w:rPr>
                        <m:t>V</m:t>
                      </m:r>
                    </m:e>
                    <m:sub>
                      <m:r>
                        <w:rPr>
                          <w:rFonts w:ascii="Cambria Math" w:hAnsi="Cambria Math"/>
                        </w:rPr>
                        <m:t>RECP</m:t>
                      </m:r>
                    </m:sub>
                  </m:sSub>
                </m:sub>
              </m:sSub>
              <m:r>
                <w:rPr>
                  <w:rFonts w:ascii="Cambria Math" w:hAnsi="Cambria Math"/>
                </w:rPr>
                <m:t xml:space="preserve">= </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VMT</m:t>
                          </m:r>
                        </m:e>
                        <m:sub>
                          <m:r>
                            <w:rPr>
                              <w:rFonts w:ascii="Cambria Math" w:hAnsi="Cambria Math"/>
                            </w:rPr>
                            <m:t>BE</m:t>
                          </m:r>
                          <m:sSub>
                            <m:sSubPr>
                              <m:ctrlPr>
                                <w:rPr>
                                  <w:rFonts w:ascii="Cambria Math" w:hAnsi="Cambria Math"/>
                                  <w:i/>
                                </w:rPr>
                              </m:ctrlPr>
                            </m:sSubPr>
                            <m:e>
                              <m:r>
                                <w:rPr>
                                  <w:rFonts w:ascii="Cambria Math" w:hAnsi="Cambria Math"/>
                                </w:rPr>
                                <m:t>V</m:t>
                              </m:r>
                            </m:e>
                            <m:sub>
                              <m:r>
                                <w:rPr>
                                  <w:rFonts w:ascii="Cambria Math" w:hAnsi="Cambria Math"/>
                                </w:rPr>
                                <m:t>RECP</m:t>
                              </m:r>
                            </m:sub>
                          </m:sSub>
                        </m:sub>
                      </m:sSub>
                      <m:r>
                        <w:rPr>
                          <w:rFonts w:ascii="Cambria Math" w:hAnsi="Cambria Math"/>
                        </w:rPr>
                        <m:t>-</m:t>
                      </m:r>
                      <m:sSub>
                        <m:sSubPr>
                          <m:ctrlPr>
                            <w:rPr>
                              <w:rFonts w:ascii="Cambria Math" w:hAnsi="Cambria Math"/>
                              <w:i/>
                            </w:rPr>
                          </m:ctrlPr>
                        </m:sSubPr>
                        <m:e>
                          <m:r>
                            <w:rPr>
                              <w:rFonts w:ascii="Cambria Math" w:hAnsi="Cambria Math"/>
                            </w:rPr>
                            <m:t>VMT</m:t>
                          </m:r>
                        </m:e>
                        <m:sub>
                          <m:r>
                            <w:rPr>
                              <w:rFonts w:ascii="Cambria Math" w:hAnsi="Cambria Math"/>
                            </w:rPr>
                            <m:t>BE</m:t>
                          </m:r>
                          <m:sSub>
                            <m:sSubPr>
                              <m:ctrlPr>
                                <w:rPr>
                                  <w:rFonts w:ascii="Cambria Math" w:hAnsi="Cambria Math"/>
                                  <w:i/>
                                </w:rPr>
                              </m:ctrlPr>
                            </m:sSubPr>
                            <m:e>
                              <m:r>
                                <w:rPr>
                                  <w:rFonts w:ascii="Cambria Math" w:hAnsi="Cambria Math"/>
                                </w:rPr>
                                <m:t>V</m:t>
                              </m:r>
                            </m:e>
                            <m:sub>
                              <m:r>
                                <w:rPr>
                                  <w:rFonts w:ascii="Cambria Math" w:hAnsi="Cambria Math"/>
                                </w:rPr>
                                <m:t>EMFAC</m:t>
                              </m:r>
                            </m:sub>
                          </m:sSub>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EF</m:t>
                          </m:r>
                        </m:e>
                        <m:sub>
                          <m:r>
                            <w:rPr>
                              <w:rFonts w:ascii="Cambria Math" w:hAnsi="Cambria Math"/>
                            </w:rPr>
                            <m:t>Gas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FE</m:t>
                              </m:r>
                            </m:e>
                            <m:sub>
                              <m:r>
                                <w:rPr>
                                  <w:rFonts w:ascii="Cambria Math" w:hAnsi="Cambria Math"/>
                                </w:rPr>
                                <m:t>EV</m:t>
                              </m:r>
                            </m:sub>
                          </m:sSub>
                          <m:r>
                            <w:rPr>
                              <w:rFonts w:ascii="Cambria Math" w:hAnsi="Cambria Math"/>
                            </w:rPr>
                            <m:t xml:space="preserve">* </m:t>
                          </m:r>
                          <m:sSub>
                            <m:sSubPr>
                              <m:ctrlPr>
                                <w:rPr>
                                  <w:rFonts w:ascii="Cambria Math" w:hAnsi="Cambria Math"/>
                                  <w:i/>
                                </w:rPr>
                              </m:ctrlPr>
                            </m:sSubPr>
                            <m:e>
                              <m:r>
                                <w:rPr>
                                  <w:rFonts w:ascii="Cambria Math" w:hAnsi="Cambria Math"/>
                                </w:rPr>
                                <m:t>EF</m:t>
                              </m:r>
                            </m:e>
                            <m:sub>
                              <m:r>
                                <w:rPr>
                                  <w:rFonts w:ascii="Cambria Math" w:hAnsi="Cambria Math"/>
                                </w:rPr>
                                <m:t>E</m:t>
                              </m:r>
                            </m:sub>
                          </m:sSub>
                        </m:e>
                      </m:d>
                    </m:e>
                  </m:d>
                </m:num>
                <m:den>
                  <m:sSup>
                    <m:sSupPr>
                      <m:ctrlPr>
                        <w:rPr>
                          <w:rFonts w:ascii="Cambria Math" w:hAnsi="Cambria Math"/>
                          <w:i/>
                        </w:rPr>
                      </m:ctrlPr>
                    </m:sSupPr>
                    <m:e>
                      <m:r>
                        <w:rPr>
                          <w:rFonts w:ascii="Cambria Math" w:hAnsi="Cambria Math"/>
                        </w:rPr>
                        <m:t>10</m:t>
                      </m:r>
                    </m:e>
                    <m:sup>
                      <m:r>
                        <w:rPr>
                          <w:rFonts w:ascii="Cambria Math" w:hAnsi="Cambria Math"/>
                        </w:rPr>
                        <m:t>6</m:t>
                      </m:r>
                    </m:sup>
                  </m:sSup>
                  <m:f>
                    <m:fPr>
                      <m:ctrlPr>
                        <w:rPr>
                          <w:rFonts w:ascii="Cambria Math" w:hAnsi="Cambria Math"/>
                          <w:i/>
                        </w:rPr>
                      </m:ctrlPr>
                    </m:fPr>
                    <m:num>
                      <m:r>
                        <w:rPr>
                          <w:rFonts w:ascii="Cambria Math" w:hAnsi="Cambria Math"/>
                        </w:rPr>
                        <m:t>g</m:t>
                      </m:r>
                    </m:num>
                    <m:den>
                      <m:r>
                        <w:rPr>
                          <w:rFonts w:ascii="Cambria Math" w:hAnsi="Cambria Math"/>
                        </w:rPr>
                        <m:t>MT</m:t>
                      </m:r>
                    </m:den>
                  </m:f>
                </m:den>
              </m:f>
              <m:r>
                <w:rPr>
                  <w:rFonts w:ascii="Cambria Math" w:hAnsi="Cambria Math"/>
                </w:rPr>
                <m:t>#(Equation 2)</m:t>
              </m:r>
            </m:e>
          </m:eqArr>
          <m:r>
            <w:rPr>
              <w:rFonts w:ascii="Cambria Math" w:hAnsi="Cambria Math"/>
            </w:rPr>
            <m:t xml:space="preserve"> </m:t>
          </m:r>
        </m:oMath>
      </m:oMathPara>
    </w:p>
    <w:p w14:paraId="0B1B6E61" w14:textId="7150553A" w:rsidR="00285CC9" w:rsidRDefault="007F25E6" w:rsidP="00F33E30">
      <w:pPr>
        <w:pStyle w:val="BodyText"/>
      </w:pPr>
      <w:r>
        <w:t>Where:</w:t>
      </w:r>
    </w:p>
    <w:p w14:paraId="5A3D013E" w14:textId="65627021" w:rsidR="007F25E6" w:rsidRPr="00D91BA9" w:rsidRDefault="007F25E6" w:rsidP="0097327C">
      <w:pPr>
        <w:pStyle w:val="BodyText"/>
        <w:ind w:left="1710" w:hanging="990"/>
      </w:pPr>
      <w:r>
        <w:t>E</w:t>
      </w:r>
      <w:r w:rsidRPr="007F25E6">
        <w:rPr>
          <w:vertAlign w:val="subscript"/>
        </w:rPr>
        <w:t>BEV_R</w:t>
      </w:r>
      <w:r w:rsidR="00FF26DA">
        <w:rPr>
          <w:vertAlign w:val="subscript"/>
        </w:rPr>
        <w:t>ECP</w:t>
      </w:r>
      <w:r>
        <w:rPr>
          <w:vertAlign w:val="subscript"/>
        </w:rPr>
        <w:t xml:space="preserve"> </w:t>
      </w:r>
      <w:r>
        <w:t>= Emissions</w:t>
      </w:r>
      <w:r w:rsidR="0097327C">
        <w:t xml:space="preserve"> reductions</w:t>
      </w:r>
      <w:r>
        <w:t xml:space="preserve"> from</w:t>
      </w:r>
      <w:r w:rsidR="002C5310">
        <w:t xml:space="preserve"> additional </w:t>
      </w:r>
      <w:r w:rsidR="00BD5FE9">
        <w:t xml:space="preserve">BEV </w:t>
      </w:r>
      <w:r w:rsidR="002C5310">
        <w:t xml:space="preserve">eVMT </w:t>
      </w:r>
      <w:r w:rsidR="00BD5FE9">
        <w:t xml:space="preserve">from </w:t>
      </w:r>
      <w:r>
        <w:t>chargers</w:t>
      </w:r>
      <w:r w:rsidR="001672BA">
        <w:t xml:space="preserve"> </w:t>
      </w:r>
      <w:r w:rsidR="00860EFF">
        <w:t>operating</w:t>
      </w:r>
      <w:r>
        <w:t xml:space="preserve"> under the RECP</w:t>
      </w:r>
      <w:r w:rsidR="00BD5FE9">
        <w:t xml:space="preserve"> </w:t>
      </w:r>
      <w:r w:rsidR="00860EFF">
        <w:t xml:space="preserve">scenario </w:t>
      </w:r>
      <w:r w:rsidR="007357FD">
        <w:t xml:space="preserve">compared to EMFAC forecasts </w:t>
      </w:r>
      <w:r w:rsidR="00BD5FE9">
        <w:t xml:space="preserve">(MT </w:t>
      </w:r>
      <w:r w:rsidR="001732C1">
        <w:t>CO</w:t>
      </w:r>
      <w:r w:rsidR="001732C1" w:rsidRPr="001732C1">
        <w:rPr>
          <w:vertAlign w:val="subscript"/>
        </w:rPr>
        <w:t>2</w:t>
      </w:r>
      <w:r w:rsidR="00BD5FE9" w:rsidRPr="007962CE">
        <w:t>)</w:t>
      </w:r>
    </w:p>
    <w:p w14:paraId="24608D00" w14:textId="3C336D79" w:rsidR="007F25E6" w:rsidRDefault="005D33B5" w:rsidP="0097327C">
      <w:pPr>
        <w:pStyle w:val="BodyText"/>
        <w:ind w:left="2070" w:hanging="1350"/>
      </w:pPr>
      <w:r>
        <w:t>VMT</w:t>
      </w:r>
      <w:r w:rsidRPr="005D33B5">
        <w:rPr>
          <w:vertAlign w:val="subscript"/>
        </w:rPr>
        <w:t>BEV_R</w:t>
      </w:r>
      <w:r w:rsidR="00FF26DA">
        <w:rPr>
          <w:vertAlign w:val="subscript"/>
        </w:rPr>
        <w:t>ECP</w:t>
      </w:r>
      <w:r w:rsidR="007F25E6">
        <w:t xml:space="preserve"> = </w:t>
      </w:r>
      <w:r>
        <w:t xml:space="preserve">eVMT associated with the electricity provided by </w:t>
      </w:r>
      <w:r w:rsidR="007F25E6">
        <w:t>charger</w:t>
      </w:r>
      <w:r>
        <w:t>s to BEVs under the RECP</w:t>
      </w:r>
      <w:r w:rsidR="0097327C">
        <w:t xml:space="preserve"> (mi/day)</w:t>
      </w:r>
    </w:p>
    <w:p w14:paraId="1EA1ED39" w14:textId="6BDDE339" w:rsidR="005D33B5" w:rsidRDefault="005D33B5" w:rsidP="005D33B5">
      <w:pPr>
        <w:pStyle w:val="BodyText"/>
        <w:ind w:left="1710" w:hanging="990"/>
      </w:pPr>
      <w:r>
        <w:t>VMT</w:t>
      </w:r>
      <w:r w:rsidRPr="005D33B5">
        <w:rPr>
          <w:vertAlign w:val="subscript"/>
        </w:rPr>
        <w:t>BEV_EMFAC</w:t>
      </w:r>
      <w:r>
        <w:t xml:space="preserve"> = eVMT associated with </w:t>
      </w:r>
      <w:r w:rsidR="0097327C">
        <w:t xml:space="preserve">all </w:t>
      </w:r>
      <w:r>
        <w:t xml:space="preserve">BEV VMT under </w:t>
      </w:r>
      <w:r w:rsidR="008311A2">
        <w:t>EMFAC2017</w:t>
      </w:r>
      <w:r>
        <w:t xml:space="preserve"> forecasts</w:t>
      </w:r>
      <w:r w:rsidR="0097327C">
        <w:t xml:space="preserve"> (mi/day)</w:t>
      </w:r>
    </w:p>
    <w:p w14:paraId="2068CEC8" w14:textId="271380EC" w:rsidR="005D33B5" w:rsidRDefault="00AF66BC" w:rsidP="00AF66BC">
      <w:pPr>
        <w:pStyle w:val="BodyText"/>
        <w:ind w:left="1440" w:hanging="720"/>
      </w:pPr>
      <w:r>
        <w:t>EF</w:t>
      </w:r>
      <w:r w:rsidRPr="00AF66BC">
        <w:rPr>
          <w:vertAlign w:val="subscript"/>
        </w:rPr>
        <w:t>Gas</w:t>
      </w:r>
      <w:r>
        <w:t xml:space="preserve"> = Emissions factor per mile associated with gasoline </w:t>
      </w:r>
      <w:r w:rsidR="0083002B">
        <w:t>LDVs</w:t>
      </w:r>
      <w:r>
        <w:t xml:space="preserve"> in the SANDAG region, as modeled in </w:t>
      </w:r>
      <w:r w:rsidR="008311A2">
        <w:t>EMFAC2017</w:t>
      </w:r>
      <w:r>
        <w:t xml:space="preserve"> (</w:t>
      </w:r>
      <w:r w:rsidR="00A74C66">
        <w:t xml:space="preserve">g </w:t>
      </w:r>
      <w:r>
        <w:t>CO</w:t>
      </w:r>
      <w:r w:rsidRPr="007962CE">
        <w:rPr>
          <w:vertAlign w:val="subscript"/>
        </w:rPr>
        <w:t>2</w:t>
      </w:r>
      <w:r>
        <w:t>/mi</w:t>
      </w:r>
      <w:r w:rsidRPr="007962CE">
        <w:t>)</w:t>
      </w:r>
      <w:r>
        <w:t xml:space="preserve">. Based on </w:t>
      </w:r>
      <w:r w:rsidR="00F86E60">
        <w:t xml:space="preserve">the four </w:t>
      </w:r>
      <w:r>
        <w:t xml:space="preserve">EMFAC vehicle categories </w:t>
      </w:r>
      <w:r w:rsidR="00F86E60">
        <w:t>included in the model’s SB 375 analysis option (passenger cars [</w:t>
      </w:r>
      <w:r>
        <w:t>LDA</w:t>
      </w:r>
      <w:r w:rsidR="00F86E60">
        <w:t>]</w:t>
      </w:r>
      <w:r>
        <w:t xml:space="preserve">, </w:t>
      </w:r>
      <w:r w:rsidR="00F86E60">
        <w:t>light duty trucks with an estimated total weight less than 3,750 pounds [</w:t>
      </w:r>
      <w:r>
        <w:t>LDT1</w:t>
      </w:r>
      <w:r w:rsidR="00F86E60">
        <w:t>]</w:t>
      </w:r>
      <w:r>
        <w:t>,</w:t>
      </w:r>
      <w:r w:rsidR="00F86E60">
        <w:t xml:space="preserve"> light duty trucks with an estimated total weight less between 3,751 and 5,750 pounds [</w:t>
      </w:r>
      <w:r>
        <w:t>LDT2</w:t>
      </w:r>
      <w:r w:rsidR="00F86E60">
        <w:t>]</w:t>
      </w:r>
      <w:r>
        <w:t xml:space="preserve">, and </w:t>
      </w:r>
      <w:r w:rsidR="00F86E60">
        <w:t>medium duty trucks [</w:t>
      </w:r>
      <w:r>
        <w:t>MDV</w:t>
      </w:r>
      <w:r w:rsidR="00F86E60">
        <w:t>])</w:t>
      </w:r>
      <w:r>
        <w:t xml:space="preserve">. </w:t>
      </w:r>
    </w:p>
    <w:p w14:paraId="61E39038" w14:textId="07410729" w:rsidR="00D91BA9" w:rsidRDefault="00D91BA9" w:rsidP="007F25E6">
      <w:pPr>
        <w:pStyle w:val="BodyText"/>
        <w:ind w:left="1710" w:hanging="990"/>
      </w:pPr>
      <w:r>
        <w:t>FE</w:t>
      </w:r>
      <w:r>
        <w:rPr>
          <w:vertAlign w:val="subscript"/>
        </w:rPr>
        <w:t>EV</w:t>
      </w:r>
      <w:r>
        <w:t xml:space="preserve"> = Fuel economy of electric vehicles (kWh/mi)</w:t>
      </w:r>
      <w:r w:rsidR="00A24CAD">
        <w:t xml:space="preserve"> (e.g., 0.225 kWh/mi)</w:t>
      </w:r>
    </w:p>
    <w:p w14:paraId="542CEC86" w14:textId="32B3E330" w:rsidR="00D91BA9" w:rsidRPr="00D91BA9" w:rsidRDefault="00D91BA9" w:rsidP="007F25E6">
      <w:pPr>
        <w:pStyle w:val="BodyText"/>
        <w:ind w:left="1710" w:hanging="990"/>
      </w:pPr>
      <w:r>
        <w:t>EF</w:t>
      </w:r>
      <w:r>
        <w:rPr>
          <w:vertAlign w:val="subscript"/>
        </w:rPr>
        <w:t xml:space="preserve">E </w:t>
      </w:r>
      <w:r>
        <w:t>= Electricity emission factor</w:t>
      </w:r>
      <w:r w:rsidR="001C69E1">
        <w:t xml:space="preserve"> </w:t>
      </w:r>
      <w:r>
        <w:t>(</w:t>
      </w:r>
      <w:r w:rsidR="00A74C66">
        <w:t>g</w:t>
      </w:r>
      <w:r>
        <w:t xml:space="preserve"> CO</w:t>
      </w:r>
      <w:r w:rsidRPr="00D91BA9">
        <w:rPr>
          <w:vertAlign w:val="subscript"/>
        </w:rPr>
        <w:t>2</w:t>
      </w:r>
      <w:r>
        <w:t>/kWh)</w:t>
      </w:r>
    </w:p>
    <w:p w14:paraId="29140DB5" w14:textId="77777777" w:rsidR="000E5AD2" w:rsidRDefault="000E5AD2" w:rsidP="00823EF7">
      <w:pPr>
        <w:pStyle w:val="BodyText"/>
      </w:pPr>
      <w:r>
        <w:t>The product of FE</w:t>
      </w:r>
      <w:r w:rsidRPr="00DC5EF0">
        <w:rPr>
          <w:vertAlign w:val="subscript"/>
        </w:rPr>
        <w:t>EV</w:t>
      </w:r>
      <w:r>
        <w:t xml:space="preserve"> and EF</w:t>
      </w:r>
      <w:r w:rsidRPr="00DC5EF0">
        <w:rPr>
          <w:vertAlign w:val="subscript"/>
        </w:rPr>
        <w:t>E</w:t>
      </w:r>
      <w:r>
        <w:t xml:space="preserve"> is the emission factor of EVs in grams per mile.</w:t>
      </w:r>
    </w:p>
    <w:p w14:paraId="52C3EEBD" w14:textId="3F8D44BF" w:rsidR="00147D03" w:rsidRDefault="000E5AD2" w:rsidP="00823EF7">
      <w:pPr>
        <w:pStyle w:val="BodyText"/>
      </w:pPr>
      <w:r>
        <w:lastRenderedPageBreak/>
        <w:t>VMT</w:t>
      </w:r>
      <w:r>
        <w:rPr>
          <w:vertAlign w:val="subscript"/>
        </w:rPr>
        <w:t>B</w:t>
      </w:r>
      <w:r w:rsidRPr="000E5AD2">
        <w:rPr>
          <w:vertAlign w:val="subscript"/>
        </w:rPr>
        <w:t>EV_RECP</w:t>
      </w:r>
      <w:r>
        <w:t xml:space="preserve"> is the eVMT provided to BEVs by all chargers in the SANDAG region including those associated with RECP</w:t>
      </w:r>
      <w:r w:rsidR="00BE302F">
        <w:t xml:space="preserve"> that would been installed after 2019</w:t>
      </w:r>
      <w:r>
        <w:t xml:space="preserve">. </w:t>
      </w:r>
      <w:r w:rsidR="00A600CF">
        <w:t>VMT</w:t>
      </w:r>
      <w:r w:rsidR="00A600CF" w:rsidRPr="00A600CF">
        <w:rPr>
          <w:vertAlign w:val="subscript"/>
        </w:rPr>
        <w:t>BEV_EMFAC</w:t>
      </w:r>
      <w:r w:rsidR="00A600CF">
        <w:t xml:space="preserve"> is the product of </w:t>
      </w:r>
      <w:r w:rsidR="00102C97">
        <w:t xml:space="preserve">the BEV population and the average daily VMT per EV, as modeled in </w:t>
      </w:r>
      <w:r w:rsidR="008311A2">
        <w:t>EMFAC2017</w:t>
      </w:r>
      <w:r w:rsidR="00102C97">
        <w:t xml:space="preserve">. Although </w:t>
      </w:r>
      <w:r w:rsidR="008311A2">
        <w:t>EMFAC2017</w:t>
      </w:r>
      <w:r w:rsidR="00102C97">
        <w:t xml:space="preserve"> does not output EVs by </w:t>
      </w:r>
      <w:r w:rsidR="00147D03">
        <w:t>PEV</w:t>
      </w:r>
      <w:r w:rsidR="00102C97">
        <w:t xml:space="preserve"> types, the BEV population forecasts were based on </w:t>
      </w:r>
      <w:r w:rsidR="00147D03">
        <w:t xml:space="preserve">1) </w:t>
      </w:r>
      <w:r w:rsidR="00102C97">
        <w:t xml:space="preserve">manufacturer ZEV sales requirements under the state’s ZEV mandate and </w:t>
      </w:r>
      <w:r w:rsidR="00147D03">
        <w:t xml:space="preserve">2) </w:t>
      </w:r>
      <w:r w:rsidR="00102C97">
        <w:t xml:space="preserve">2016 BEV populations assumed in </w:t>
      </w:r>
      <w:r w:rsidR="008311A2">
        <w:t>EMFAC2017</w:t>
      </w:r>
      <w:r w:rsidR="00102C97">
        <w:t>, which were requested directly from CARB</w:t>
      </w:r>
      <w:r w:rsidR="00E241E0">
        <w:t xml:space="preserve"> </w:t>
      </w:r>
      <w:r w:rsidR="002B11A6">
        <w:t>(</w:t>
      </w:r>
      <w:r w:rsidR="00C82C16">
        <w:t>Long, pers. comm., 2018</w:t>
      </w:r>
      <w:r w:rsidR="00761821">
        <w:t>a</w:t>
      </w:r>
      <w:r w:rsidR="00C82C16">
        <w:t>)</w:t>
      </w:r>
      <w:r w:rsidR="00102C97">
        <w:t xml:space="preserve">. </w:t>
      </w:r>
      <w:r w:rsidR="00E241E0">
        <w:t>These forecast assumptions are shown in Table 1</w:t>
      </w:r>
      <w:r w:rsidR="009446A4">
        <w:t xml:space="preserve"> for all ZEVs</w:t>
      </w:r>
      <w:r w:rsidR="00E241E0">
        <w:t xml:space="preserve">. </w:t>
      </w:r>
      <w:r w:rsidR="00102C97">
        <w:t>This</w:t>
      </w:r>
      <w:r w:rsidR="00C82C16">
        <w:t xml:space="preserve"> approach was used</w:t>
      </w:r>
      <w:r w:rsidR="00102C97">
        <w:t xml:space="preserve"> because </w:t>
      </w:r>
      <w:r w:rsidR="008311A2">
        <w:t>EMFAC2017</w:t>
      </w:r>
      <w:r w:rsidR="00102C97">
        <w:t xml:space="preserve"> uses historical vehicle populations through calendar year 2016 and</w:t>
      </w:r>
      <w:r w:rsidR="00C82C16">
        <w:t xml:space="preserve"> regulation-based EV </w:t>
      </w:r>
      <w:r w:rsidR="00102C97">
        <w:t xml:space="preserve">projections for years after 2016. </w:t>
      </w:r>
    </w:p>
    <w:tbl>
      <w:tblPr>
        <w:tblW w:w="5000" w:type="pct"/>
        <w:jc w:val="center"/>
        <w:tblBorders>
          <w:insideH w:val="single" w:sz="4" w:space="0" w:color="auto"/>
          <w:insideV w:val="single" w:sz="4" w:space="0" w:color="auto"/>
        </w:tblBorders>
        <w:tblCellMar>
          <w:top w:w="43" w:type="dxa"/>
          <w:left w:w="115" w:type="dxa"/>
          <w:bottom w:w="43" w:type="dxa"/>
          <w:right w:w="115" w:type="dxa"/>
        </w:tblCellMar>
        <w:tblLook w:val="04A0" w:firstRow="1" w:lastRow="0" w:firstColumn="1" w:lastColumn="0" w:noHBand="0" w:noVBand="1"/>
      </w:tblPr>
      <w:tblGrid>
        <w:gridCol w:w="2517"/>
        <w:gridCol w:w="2520"/>
        <w:gridCol w:w="2520"/>
        <w:gridCol w:w="2523"/>
      </w:tblGrid>
      <w:tr w:rsidR="00823EF7" w:rsidRPr="00B42715" w14:paraId="5F8BAA56" w14:textId="77777777" w:rsidTr="00823EF7">
        <w:trPr>
          <w:tblHeader/>
          <w:jc w:val="center"/>
        </w:trPr>
        <w:tc>
          <w:tcPr>
            <w:tcW w:w="5000" w:type="pct"/>
            <w:gridSpan w:val="4"/>
            <w:shd w:val="clear" w:color="auto" w:fill="auto"/>
            <w:noWrap/>
            <w:vAlign w:val="bottom"/>
          </w:tcPr>
          <w:p w14:paraId="5920EF5D" w14:textId="5F1CE4A1" w:rsidR="00823EF7" w:rsidRDefault="00823EF7" w:rsidP="00DB7451">
            <w:pPr>
              <w:pStyle w:val="TableHeader"/>
              <w:rPr>
                <w:color w:val="000000"/>
                <w:szCs w:val="16"/>
              </w:rPr>
            </w:pPr>
            <w:r>
              <w:br w:type="page"/>
            </w:r>
            <w:r>
              <w:rPr>
                <w:color w:val="000000"/>
                <w:szCs w:val="16"/>
              </w:rPr>
              <w:br w:type="page"/>
            </w:r>
            <w:r w:rsidRPr="00823EF7">
              <w:t>Table 1</w:t>
            </w:r>
            <w:r w:rsidRPr="00823EF7">
              <w:tab/>
            </w:r>
            <w:r w:rsidR="008311A2">
              <w:t>EMFAC2017</w:t>
            </w:r>
            <w:r>
              <w:t xml:space="preserve"> </w:t>
            </w:r>
            <w:r w:rsidRPr="00823EF7">
              <w:t>ZEV Forecast and Regulatory Compliance Assumptions</w:t>
            </w:r>
          </w:p>
        </w:tc>
      </w:tr>
      <w:tr w:rsidR="00823EF7" w:rsidRPr="00B42715" w14:paraId="5BC36986" w14:textId="77777777" w:rsidTr="00DB7451">
        <w:trPr>
          <w:trHeight w:val="289"/>
          <w:jc w:val="center"/>
        </w:trPr>
        <w:tc>
          <w:tcPr>
            <w:tcW w:w="1248" w:type="pct"/>
            <w:shd w:val="clear" w:color="auto" w:fill="D9D9D9" w:themeFill="background1" w:themeFillShade="D9"/>
            <w:noWrap/>
            <w:vAlign w:val="center"/>
            <w:hideMark/>
          </w:tcPr>
          <w:p w14:paraId="19D9F180" w14:textId="0B986883" w:rsidR="00823EF7" w:rsidRPr="00B42715" w:rsidRDefault="00823EF7" w:rsidP="00823EF7">
            <w:pPr>
              <w:pStyle w:val="TableColumn"/>
            </w:pPr>
          </w:p>
        </w:tc>
        <w:tc>
          <w:tcPr>
            <w:tcW w:w="1250" w:type="pct"/>
            <w:shd w:val="clear" w:color="auto" w:fill="D9D9D9" w:themeFill="background1" w:themeFillShade="D9"/>
            <w:noWrap/>
            <w:hideMark/>
          </w:tcPr>
          <w:p w14:paraId="59127019" w14:textId="794B6F6F" w:rsidR="00823EF7" w:rsidRPr="009D1578" w:rsidRDefault="00823EF7" w:rsidP="00823EF7">
            <w:pPr>
              <w:pStyle w:val="TableColumn"/>
            </w:pPr>
            <w:r w:rsidRPr="00F93031">
              <w:t>PHEV</w:t>
            </w:r>
          </w:p>
        </w:tc>
        <w:tc>
          <w:tcPr>
            <w:tcW w:w="1250" w:type="pct"/>
            <w:shd w:val="clear" w:color="auto" w:fill="D9D9D9" w:themeFill="background1" w:themeFillShade="D9"/>
            <w:noWrap/>
            <w:hideMark/>
          </w:tcPr>
          <w:p w14:paraId="33635C8E" w14:textId="1660AD59" w:rsidR="00823EF7" w:rsidRPr="009D1578" w:rsidRDefault="00823EF7" w:rsidP="00823EF7">
            <w:pPr>
              <w:pStyle w:val="TableColumn"/>
            </w:pPr>
            <w:r w:rsidRPr="00F93031">
              <w:t>BEV</w:t>
            </w:r>
          </w:p>
        </w:tc>
        <w:tc>
          <w:tcPr>
            <w:tcW w:w="1252" w:type="pct"/>
            <w:shd w:val="clear" w:color="auto" w:fill="D9D9D9" w:themeFill="background1" w:themeFillShade="D9"/>
            <w:noWrap/>
            <w:hideMark/>
          </w:tcPr>
          <w:p w14:paraId="05E27587" w14:textId="57C877A7" w:rsidR="00823EF7" w:rsidRPr="009D1578" w:rsidRDefault="00823EF7" w:rsidP="00823EF7">
            <w:pPr>
              <w:pStyle w:val="TableColumn"/>
              <w:rPr>
                <w:color w:val="000000"/>
              </w:rPr>
            </w:pPr>
            <w:r w:rsidRPr="00F93031">
              <w:t>FCV</w:t>
            </w:r>
          </w:p>
        </w:tc>
      </w:tr>
      <w:tr w:rsidR="00823EF7" w:rsidRPr="002C771F" w14:paraId="36E77796" w14:textId="77777777" w:rsidTr="00823EF7">
        <w:trPr>
          <w:jc w:val="center"/>
        </w:trPr>
        <w:tc>
          <w:tcPr>
            <w:tcW w:w="1248" w:type="pct"/>
            <w:shd w:val="clear" w:color="auto" w:fill="auto"/>
          </w:tcPr>
          <w:p w14:paraId="72B41D55" w14:textId="49E3AB82" w:rsidR="00823EF7" w:rsidRPr="00C679AE" w:rsidRDefault="00823EF7" w:rsidP="00823EF7">
            <w:pPr>
              <w:pStyle w:val="TableTextL"/>
            </w:pPr>
            <w:r w:rsidRPr="00823EF7">
              <w:t>2016 Population in SANDAG</w:t>
            </w:r>
          </w:p>
        </w:tc>
        <w:tc>
          <w:tcPr>
            <w:tcW w:w="1250" w:type="pct"/>
            <w:shd w:val="clear" w:color="auto" w:fill="auto"/>
          </w:tcPr>
          <w:p w14:paraId="02D6360D" w14:textId="4D8D4398" w:rsidR="00823EF7" w:rsidRPr="00C679AE" w:rsidRDefault="00823EF7" w:rsidP="00823EF7">
            <w:pPr>
              <w:pStyle w:val="TableText"/>
            </w:pPr>
            <w:r w:rsidRPr="004F6D26">
              <w:t xml:space="preserve"> 7,417 </w:t>
            </w:r>
          </w:p>
        </w:tc>
        <w:tc>
          <w:tcPr>
            <w:tcW w:w="1250" w:type="pct"/>
            <w:shd w:val="clear" w:color="auto" w:fill="auto"/>
          </w:tcPr>
          <w:p w14:paraId="6EE4410D" w14:textId="6AAC1B9D" w:rsidR="00823EF7" w:rsidRPr="00C679AE" w:rsidRDefault="00823EF7" w:rsidP="00823EF7">
            <w:pPr>
              <w:pStyle w:val="TableText"/>
            </w:pPr>
            <w:r w:rsidRPr="004F6D26">
              <w:t xml:space="preserve"> 10,105 </w:t>
            </w:r>
          </w:p>
        </w:tc>
        <w:tc>
          <w:tcPr>
            <w:tcW w:w="1252" w:type="pct"/>
            <w:shd w:val="clear" w:color="auto" w:fill="auto"/>
            <w:noWrap/>
          </w:tcPr>
          <w:p w14:paraId="45A06FA2" w14:textId="55B7FEE6" w:rsidR="00823EF7" w:rsidRPr="00C679AE" w:rsidRDefault="00823EF7" w:rsidP="00823EF7">
            <w:pPr>
              <w:pStyle w:val="TableText"/>
            </w:pPr>
            <w:r w:rsidRPr="004F6D26">
              <w:t xml:space="preserve"> 7 </w:t>
            </w:r>
          </w:p>
        </w:tc>
      </w:tr>
      <w:tr w:rsidR="00823EF7" w:rsidRPr="00B42715" w14:paraId="5DF0E354" w14:textId="77777777" w:rsidTr="00823EF7">
        <w:trPr>
          <w:trHeight w:val="289"/>
          <w:jc w:val="center"/>
        </w:trPr>
        <w:tc>
          <w:tcPr>
            <w:tcW w:w="1248" w:type="pct"/>
            <w:shd w:val="clear" w:color="auto" w:fill="D9D9D9" w:themeFill="background1" w:themeFillShade="D9"/>
            <w:noWrap/>
            <w:vAlign w:val="center"/>
            <w:hideMark/>
          </w:tcPr>
          <w:p w14:paraId="0C128022" w14:textId="77777777" w:rsidR="00823EF7" w:rsidRPr="00B42715" w:rsidRDefault="00823EF7" w:rsidP="00DB7451">
            <w:pPr>
              <w:pStyle w:val="TableColumn"/>
            </w:pPr>
            <w:r w:rsidRPr="00B42715">
              <w:t>Sectors</w:t>
            </w:r>
          </w:p>
        </w:tc>
        <w:tc>
          <w:tcPr>
            <w:tcW w:w="3752" w:type="pct"/>
            <w:gridSpan w:val="3"/>
            <w:shd w:val="clear" w:color="auto" w:fill="D9D9D9" w:themeFill="background1" w:themeFillShade="D9"/>
            <w:noWrap/>
            <w:vAlign w:val="center"/>
          </w:tcPr>
          <w:p w14:paraId="6E4D81D9" w14:textId="62025D4F" w:rsidR="00823EF7" w:rsidRPr="009D1578" w:rsidRDefault="00823EF7" w:rsidP="00DB7451">
            <w:pPr>
              <w:pStyle w:val="TableColumn"/>
              <w:rPr>
                <w:color w:val="000000"/>
              </w:rPr>
            </w:pPr>
            <w:r>
              <w:rPr>
                <w:color w:val="000000"/>
              </w:rPr>
              <w:t>Percent of New ZEV Sales</w:t>
            </w:r>
          </w:p>
        </w:tc>
      </w:tr>
      <w:tr w:rsidR="00823EF7" w:rsidRPr="00B42715" w14:paraId="409760D6" w14:textId="77777777" w:rsidTr="00DB7451">
        <w:trPr>
          <w:trHeight w:val="289"/>
          <w:jc w:val="center"/>
        </w:trPr>
        <w:tc>
          <w:tcPr>
            <w:tcW w:w="1248" w:type="pct"/>
            <w:shd w:val="clear" w:color="auto" w:fill="D9D9D9" w:themeFill="background1" w:themeFillShade="D9"/>
            <w:noWrap/>
            <w:vAlign w:val="center"/>
          </w:tcPr>
          <w:p w14:paraId="45A798AD" w14:textId="64129434" w:rsidR="00823EF7" w:rsidRPr="00B42715" w:rsidRDefault="00823EF7" w:rsidP="00823EF7">
            <w:pPr>
              <w:pStyle w:val="TableColumn"/>
            </w:pPr>
            <w:r>
              <w:t>Model Year</w:t>
            </w:r>
          </w:p>
        </w:tc>
        <w:tc>
          <w:tcPr>
            <w:tcW w:w="1250" w:type="pct"/>
            <w:shd w:val="clear" w:color="auto" w:fill="D9D9D9" w:themeFill="background1" w:themeFillShade="D9"/>
            <w:noWrap/>
          </w:tcPr>
          <w:p w14:paraId="49990EDF" w14:textId="25FF2111" w:rsidR="00823EF7" w:rsidRPr="009D1578" w:rsidRDefault="00823EF7" w:rsidP="00823EF7">
            <w:pPr>
              <w:pStyle w:val="TableColumn"/>
            </w:pPr>
            <w:r w:rsidRPr="00F93031">
              <w:t>PHEV</w:t>
            </w:r>
          </w:p>
        </w:tc>
        <w:tc>
          <w:tcPr>
            <w:tcW w:w="1250" w:type="pct"/>
            <w:shd w:val="clear" w:color="auto" w:fill="D9D9D9" w:themeFill="background1" w:themeFillShade="D9"/>
            <w:noWrap/>
          </w:tcPr>
          <w:p w14:paraId="0FDC5BAE" w14:textId="06217D07" w:rsidR="00823EF7" w:rsidRPr="009D1578" w:rsidRDefault="00823EF7" w:rsidP="00823EF7">
            <w:pPr>
              <w:pStyle w:val="TableColumn"/>
            </w:pPr>
            <w:r w:rsidRPr="00F93031">
              <w:t>BEV</w:t>
            </w:r>
          </w:p>
        </w:tc>
        <w:tc>
          <w:tcPr>
            <w:tcW w:w="1252" w:type="pct"/>
            <w:shd w:val="clear" w:color="auto" w:fill="D9D9D9" w:themeFill="background1" w:themeFillShade="D9"/>
            <w:noWrap/>
          </w:tcPr>
          <w:p w14:paraId="13B5CD73" w14:textId="48092081" w:rsidR="00823EF7" w:rsidRPr="009D1578" w:rsidRDefault="00823EF7" w:rsidP="00823EF7">
            <w:pPr>
              <w:pStyle w:val="TableColumn"/>
              <w:rPr>
                <w:color w:val="000000"/>
              </w:rPr>
            </w:pPr>
            <w:r w:rsidRPr="00F93031">
              <w:t>FCV</w:t>
            </w:r>
          </w:p>
        </w:tc>
      </w:tr>
      <w:tr w:rsidR="00823EF7" w:rsidRPr="002C771F" w14:paraId="1A1C2C9A" w14:textId="77777777" w:rsidTr="00823EF7">
        <w:trPr>
          <w:jc w:val="center"/>
        </w:trPr>
        <w:tc>
          <w:tcPr>
            <w:tcW w:w="1248" w:type="pct"/>
            <w:shd w:val="clear" w:color="auto" w:fill="auto"/>
          </w:tcPr>
          <w:p w14:paraId="7D4DF3F0" w14:textId="6D1A15C7" w:rsidR="00823EF7" w:rsidRPr="00C679AE" w:rsidRDefault="00823EF7" w:rsidP="00C34670">
            <w:pPr>
              <w:pStyle w:val="TableTextL"/>
              <w:jc w:val="center"/>
            </w:pPr>
            <w:r w:rsidRPr="009F120F">
              <w:t>2017</w:t>
            </w:r>
          </w:p>
        </w:tc>
        <w:tc>
          <w:tcPr>
            <w:tcW w:w="1250" w:type="pct"/>
            <w:shd w:val="clear" w:color="auto" w:fill="auto"/>
          </w:tcPr>
          <w:p w14:paraId="32944A01" w14:textId="662CB67A" w:rsidR="00823EF7" w:rsidRPr="00C679AE" w:rsidRDefault="00823EF7" w:rsidP="00823EF7">
            <w:pPr>
              <w:pStyle w:val="TableText"/>
            </w:pPr>
            <w:r w:rsidRPr="009F120F">
              <w:t>73%</w:t>
            </w:r>
          </w:p>
        </w:tc>
        <w:tc>
          <w:tcPr>
            <w:tcW w:w="1250" w:type="pct"/>
            <w:shd w:val="clear" w:color="auto" w:fill="auto"/>
          </w:tcPr>
          <w:p w14:paraId="7DE7E01A" w14:textId="1D2BB0EF" w:rsidR="00823EF7" w:rsidRPr="00C679AE" w:rsidRDefault="00823EF7" w:rsidP="00823EF7">
            <w:pPr>
              <w:pStyle w:val="TableText"/>
            </w:pPr>
            <w:r w:rsidRPr="009F120F">
              <w:t>19%</w:t>
            </w:r>
          </w:p>
        </w:tc>
        <w:tc>
          <w:tcPr>
            <w:tcW w:w="1252" w:type="pct"/>
            <w:shd w:val="clear" w:color="auto" w:fill="auto"/>
            <w:noWrap/>
          </w:tcPr>
          <w:p w14:paraId="438D3A2F" w14:textId="2BBDAF68" w:rsidR="00823EF7" w:rsidRPr="00C679AE" w:rsidRDefault="00823EF7" w:rsidP="00823EF7">
            <w:pPr>
              <w:pStyle w:val="TableText"/>
            </w:pPr>
            <w:r w:rsidRPr="009F120F">
              <w:t>8%</w:t>
            </w:r>
          </w:p>
        </w:tc>
      </w:tr>
      <w:tr w:rsidR="00823EF7" w:rsidRPr="002C771F" w14:paraId="3E4DF55A" w14:textId="77777777" w:rsidTr="00823EF7">
        <w:trPr>
          <w:jc w:val="center"/>
        </w:trPr>
        <w:tc>
          <w:tcPr>
            <w:tcW w:w="1248" w:type="pct"/>
            <w:shd w:val="clear" w:color="auto" w:fill="auto"/>
          </w:tcPr>
          <w:p w14:paraId="32372C97" w14:textId="26FEFF8D" w:rsidR="00823EF7" w:rsidRPr="00832878" w:rsidRDefault="00823EF7" w:rsidP="00C34670">
            <w:pPr>
              <w:pStyle w:val="TableTextL"/>
              <w:jc w:val="center"/>
            </w:pPr>
            <w:r w:rsidRPr="009F120F">
              <w:t>2018</w:t>
            </w:r>
          </w:p>
        </w:tc>
        <w:tc>
          <w:tcPr>
            <w:tcW w:w="1250" w:type="pct"/>
            <w:shd w:val="clear" w:color="auto" w:fill="auto"/>
          </w:tcPr>
          <w:p w14:paraId="09B66DEE" w14:textId="1F9E84BD" w:rsidR="00823EF7" w:rsidRPr="00832878" w:rsidRDefault="00823EF7" w:rsidP="00823EF7">
            <w:pPr>
              <w:pStyle w:val="TableText"/>
            </w:pPr>
            <w:r w:rsidRPr="009F120F">
              <w:t>78%</w:t>
            </w:r>
          </w:p>
        </w:tc>
        <w:tc>
          <w:tcPr>
            <w:tcW w:w="1250" w:type="pct"/>
            <w:shd w:val="clear" w:color="auto" w:fill="auto"/>
          </w:tcPr>
          <w:p w14:paraId="36A40B78" w14:textId="1F570933" w:rsidR="00823EF7" w:rsidRDefault="00823EF7" w:rsidP="00823EF7">
            <w:pPr>
              <w:pStyle w:val="TableText"/>
            </w:pPr>
            <w:r w:rsidRPr="009F120F">
              <w:t>19%</w:t>
            </w:r>
          </w:p>
        </w:tc>
        <w:tc>
          <w:tcPr>
            <w:tcW w:w="1252" w:type="pct"/>
            <w:shd w:val="clear" w:color="auto" w:fill="auto"/>
            <w:noWrap/>
          </w:tcPr>
          <w:p w14:paraId="4E58C36C" w14:textId="6908A864" w:rsidR="00823EF7" w:rsidRDefault="00823EF7" w:rsidP="00823EF7">
            <w:pPr>
              <w:pStyle w:val="TableText"/>
            </w:pPr>
            <w:r w:rsidRPr="009F120F">
              <w:t>4%</w:t>
            </w:r>
          </w:p>
        </w:tc>
      </w:tr>
      <w:tr w:rsidR="00823EF7" w:rsidRPr="002C771F" w14:paraId="0C8914D1" w14:textId="77777777" w:rsidTr="00823EF7">
        <w:trPr>
          <w:jc w:val="center"/>
        </w:trPr>
        <w:tc>
          <w:tcPr>
            <w:tcW w:w="1248" w:type="pct"/>
            <w:shd w:val="clear" w:color="auto" w:fill="auto"/>
          </w:tcPr>
          <w:p w14:paraId="04E16E83" w14:textId="0C30ED62" w:rsidR="00823EF7" w:rsidRPr="00832878" w:rsidRDefault="00823EF7" w:rsidP="00C34670">
            <w:pPr>
              <w:pStyle w:val="TableTextL"/>
              <w:jc w:val="center"/>
            </w:pPr>
            <w:r w:rsidRPr="009F120F">
              <w:t>2019</w:t>
            </w:r>
          </w:p>
        </w:tc>
        <w:tc>
          <w:tcPr>
            <w:tcW w:w="1250" w:type="pct"/>
            <w:shd w:val="clear" w:color="auto" w:fill="auto"/>
          </w:tcPr>
          <w:p w14:paraId="57593CFA" w14:textId="4C0F6F0A" w:rsidR="00823EF7" w:rsidRPr="00832878" w:rsidRDefault="00823EF7" w:rsidP="00823EF7">
            <w:pPr>
              <w:pStyle w:val="TableText"/>
            </w:pPr>
            <w:r w:rsidRPr="009F120F">
              <w:t>67%</w:t>
            </w:r>
          </w:p>
        </w:tc>
        <w:tc>
          <w:tcPr>
            <w:tcW w:w="1250" w:type="pct"/>
            <w:shd w:val="clear" w:color="auto" w:fill="auto"/>
          </w:tcPr>
          <w:p w14:paraId="1585352A" w14:textId="0723B372" w:rsidR="00823EF7" w:rsidRDefault="00823EF7" w:rsidP="00823EF7">
            <w:pPr>
              <w:pStyle w:val="TableText"/>
            </w:pPr>
            <w:r w:rsidRPr="009F120F">
              <w:t>26%</w:t>
            </w:r>
          </w:p>
        </w:tc>
        <w:tc>
          <w:tcPr>
            <w:tcW w:w="1252" w:type="pct"/>
            <w:shd w:val="clear" w:color="auto" w:fill="auto"/>
            <w:noWrap/>
          </w:tcPr>
          <w:p w14:paraId="325546C7" w14:textId="7FA7C399" w:rsidR="00823EF7" w:rsidRDefault="00823EF7" w:rsidP="00823EF7">
            <w:pPr>
              <w:pStyle w:val="TableText"/>
            </w:pPr>
            <w:r w:rsidRPr="009F120F">
              <w:t>6%</w:t>
            </w:r>
          </w:p>
        </w:tc>
      </w:tr>
      <w:tr w:rsidR="00823EF7" w:rsidRPr="002C771F" w14:paraId="453FAC57" w14:textId="77777777" w:rsidTr="00823EF7">
        <w:trPr>
          <w:jc w:val="center"/>
        </w:trPr>
        <w:tc>
          <w:tcPr>
            <w:tcW w:w="1248" w:type="pct"/>
            <w:shd w:val="clear" w:color="auto" w:fill="auto"/>
          </w:tcPr>
          <w:p w14:paraId="33687517" w14:textId="6207C4B5" w:rsidR="00823EF7" w:rsidRPr="00832878" w:rsidRDefault="00823EF7" w:rsidP="00C34670">
            <w:pPr>
              <w:pStyle w:val="TableTextL"/>
              <w:jc w:val="center"/>
            </w:pPr>
            <w:r w:rsidRPr="009F120F">
              <w:t>2020</w:t>
            </w:r>
          </w:p>
        </w:tc>
        <w:tc>
          <w:tcPr>
            <w:tcW w:w="1250" w:type="pct"/>
            <w:shd w:val="clear" w:color="auto" w:fill="auto"/>
          </w:tcPr>
          <w:p w14:paraId="4960C6D3" w14:textId="5F1244F8" w:rsidR="00823EF7" w:rsidRPr="00832878" w:rsidRDefault="00823EF7" w:rsidP="00823EF7">
            <w:pPr>
              <w:pStyle w:val="TableText"/>
            </w:pPr>
            <w:r w:rsidRPr="009F120F">
              <w:t>63%</w:t>
            </w:r>
          </w:p>
        </w:tc>
        <w:tc>
          <w:tcPr>
            <w:tcW w:w="1250" w:type="pct"/>
            <w:shd w:val="clear" w:color="auto" w:fill="auto"/>
          </w:tcPr>
          <w:p w14:paraId="20B873D5" w14:textId="5AECC98A" w:rsidR="00823EF7" w:rsidRDefault="00823EF7" w:rsidP="00823EF7">
            <w:pPr>
              <w:pStyle w:val="TableText"/>
            </w:pPr>
            <w:r w:rsidRPr="009F120F">
              <w:t>28%</w:t>
            </w:r>
          </w:p>
        </w:tc>
        <w:tc>
          <w:tcPr>
            <w:tcW w:w="1252" w:type="pct"/>
            <w:shd w:val="clear" w:color="auto" w:fill="auto"/>
            <w:noWrap/>
          </w:tcPr>
          <w:p w14:paraId="5F406A6C" w14:textId="48FC9F1B" w:rsidR="00823EF7" w:rsidRDefault="00823EF7" w:rsidP="00823EF7">
            <w:pPr>
              <w:pStyle w:val="TableText"/>
            </w:pPr>
            <w:r w:rsidRPr="009F120F">
              <w:t>8%</w:t>
            </w:r>
          </w:p>
        </w:tc>
      </w:tr>
      <w:tr w:rsidR="00823EF7" w:rsidRPr="002C771F" w14:paraId="01922496" w14:textId="77777777" w:rsidTr="00823EF7">
        <w:trPr>
          <w:jc w:val="center"/>
        </w:trPr>
        <w:tc>
          <w:tcPr>
            <w:tcW w:w="1248" w:type="pct"/>
            <w:shd w:val="clear" w:color="auto" w:fill="auto"/>
          </w:tcPr>
          <w:p w14:paraId="6C2D19E9" w14:textId="1E709ED6" w:rsidR="00823EF7" w:rsidRPr="00832878" w:rsidRDefault="00823EF7" w:rsidP="00C34670">
            <w:pPr>
              <w:pStyle w:val="TableTextL"/>
              <w:jc w:val="center"/>
            </w:pPr>
            <w:r w:rsidRPr="009F120F">
              <w:t>2021</w:t>
            </w:r>
          </w:p>
        </w:tc>
        <w:tc>
          <w:tcPr>
            <w:tcW w:w="1250" w:type="pct"/>
            <w:shd w:val="clear" w:color="auto" w:fill="auto"/>
          </w:tcPr>
          <w:p w14:paraId="1947F104" w14:textId="618A2AEB" w:rsidR="00823EF7" w:rsidRPr="00832878" w:rsidRDefault="00823EF7" w:rsidP="00823EF7">
            <w:pPr>
              <w:pStyle w:val="TableText"/>
            </w:pPr>
            <w:r w:rsidRPr="009F120F">
              <w:t>60%</w:t>
            </w:r>
          </w:p>
        </w:tc>
        <w:tc>
          <w:tcPr>
            <w:tcW w:w="1250" w:type="pct"/>
            <w:shd w:val="clear" w:color="auto" w:fill="auto"/>
          </w:tcPr>
          <w:p w14:paraId="77F5D32F" w14:textId="0C9D5589" w:rsidR="00823EF7" w:rsidRDefault="00823EF7" w:rsidP="00823EF7">
            <w:pPr>
              <w:pStyle w:val="TableText"/>
            </w:pPr>
            <w:r w:rsidRPr="009F120F">
              <w:t>29%</w:t>
            </w:r>
          </w:p>
        </w:tc>
        <w:tc>
          <w:tcPr>
            <w:tcW w:w="1252" w:type="pct"/>
            <w:shd w:val="clear" w:color="auto" w:fill="auto"/>
            <w:noWrap/>
          </w:tcPr>
          <w:p w14:paraId="2CB39CC6" w14:textId="0AE72C49" w:rsidR="00823EF7" w:rsidRDefault="00823EF7" w:rsidP="00823EF7">
            <w:pPr>
              <w:pStyle w:val="TableText"/>
            </w:pPr>
            <w:r w:rsidRPr="009F120F">
              <w:t>10%</w:t>
            </w:r>
          </w:p>
        </w:tc>
      </w:tr>
      <w:tr w:rsidR="00823EF7" w:rsidRPr="002C771F" w14:paraId="6BD60173" w14:textId="77777777" w:rsidTr="00823EF7">
        <w:trPr>
          <w:jc w:val="center"/>
        </w:trPr>
        <w:tc>
          <w:tcPr>
            <w:tcW w:w="1248" w:type="pct"/>
            <w:shd w:val="clear" w:color="auto" w:fill="auto"/>
          </w:tcPr>
          <w:p w14:paraId="3CFC6537" w14:textId="619A92E2" w:rsidR="00823EF7" w:rsidRPr="00832878" w:rsidRDefault="00823EF7" w:rsidP="00C34670">
            <w:pPr>
              <w:pStyle w:val="TableTextL"/>
              <w:jc w:val="center"/>
            </w:pPr>
            <w:r w:rsidRPr="009F120F">
              <w:t>2022</w:t>
            </w:r>
          </w:p>
        </w:tc>
        <w:tc>
          <w:tcPr>
            <w:tcW w:w="1250" w:type="pct"/>
            <w:shd w:val="clear" w:color="auto" w:fill="auto"/>
          </w:tcPr>
          <w:p w14:paraId="39C3D256" w14:textId="0201C1F2" w:rsidR="00823EF7" w:rsidRPr="00832878" w:rsidRDefault="00823EF7" w:rsidP="00823EF7">
            <w:pPr>
              <w:pStyle w:val="TableText"/>
            </w:pPr>
            <w:r w:rsidRPr="009F120F">
              <w:t>59%</w:t>
            </w:r>
          </w:p>
        </w:tc>
        <w:tc>
          <w:tcPr>
            <w:tcW w:w="1250" w:type="pct"/>
            <w:shd w:val="clear" w:color="auto" w:fill="auto"/>
          </w:tcPr>
          <w:p w14:paraId="2869018A" w14:textId="187A0C3A" w:rsidR="00823EF7" w:rsidRDefault="00823EF7" w:rsidP="00823EF7">
            <w:pPr>
              <w:pStyle w:val="TableText"/>
            </w:pPr>
            <w:r w:rsidRPr="009F120F">
              <w:t>29%</w:t>
            </w:r>
          </w:p>
        </w:tc>
        <w:tc>
          <w:tcPr>
            <w:tcW w:w="1252" w:type="pct"/>
            <w:shd w:val="clear" w:color="auto" w:fill="auto"/>
            <w:noWrap/>
          </w:tcPr>
          <w:p w14:paraId="5F6CCBDF" w14:textId="1D33C01A" w:rsidR="00823EF7" w:rsidRDefault="00823EF7" w:rsidP="00823EF7">
            <w:pPr>
              <w:pStyle w:val="TableText"/>
            </w:pPr>
            <w:r w:rsidRPr="009F120F">
              <w:t>12%</w:t>
            </w:r>
          </w:p>
        </w:tc>
      </w:tr>
      <w:tr w:rsidR="00823EF7" w:rsidRPr="002C771F" w14:paraId="4D699D09" w14:textId="77777777" w:rsidTr="00823EF7">
        <w:trPr>
          <w:jc w:val="center"/>
        </w:trPr>
        <w:tc>
          <w:tcPr>
            <w:tcW w:w="1248" w:type="pct"/>
            <w:shd w:val="clear" w:color="auto" w:fill="auto"/>
          </w:tcPr>
          <w:p w14:paraId="2E471E21" w14:textId="655D644F" w:rsidR="00823EF7" w:rsidRDefault="00823EF7" w:rsidP="00C34670">
            <w:pPr>
              <w:pStyle w:val="TableTextL"/>
              <w:jc w:val="center"/>
            </w:pPr>
            <w:r w:rsidRPr="009F120F">
              <w:t>2023</w:t>
            </w:r>
          </w:p>
        </w:tc>
        <w:tc>
          <w:tcPr>
            <w:tcW w:w="1250" w:type="pct"/>
            <w:shd w:val="clear" w:color="auto" w:fill="auto"/>
          </w:tcPr>
          <w:p w14:paraId="795B9760" w14:textId="4ADE13C0" w:rsidR="00823EF7" w:rsidRPr="00C63965" w:rsidRDefault="00823EF7" w:rsidP="00823EF7">
            <w:pPr>
              <w:pStyle w:val="TableText"/>
            </w:pPr>
            <w:r w:rsidRPr="009F120F">
              <w:t>58%</w:t>
            </w:r>
          </w:p>
        </w:tc>
        <w:tc>
          <w:tcPr>
            <w:tcW w:w="1250" w:type="pct"/>
            <w:shd w:val="clear" w:color="auto" w:fill="auto"/>
          </w:tcPr>
          <w:p w14:paraId="49CB3157" w14:textId="44A8798D" w:rsidR="00823EF7" w:rsidRPr="00C63965" w:rsidRDefault="00823EF7" w:rsidP="00823EF7">
            <w:pPr>
              <w:pStyle w:val="TableText"/>
            </w:pPr>
            <w:r w:rsidRPr="009F120F">
              <w:t>29%</w:t>
            </w:r>
          </w:p>
        </w:tc>
        <w:tc>
          <w:tcPr>
            <w:tcW w:w="1252" w:type="pct"/>
            <w:shd w:val="clear" w:color="auto" w:fill="auto"/>
            <w:noWrap/>
          </w:tcPr>
          <w:p w14:paraId="1330AD00" w14:textId="0E4BF709" w:rsidR="00823EF7" w:rsidRPr="00C63965" w:rsidRDefault="00823EF7" w:rsidP="00823EF7">
            <w:pPr>
              <w:pStyle w:val="TableText"/>
            </w:pPr>
            <w:r w:rsidRPr="009F120F">
              <w:t>14%</w:t>
            </w:r>
          </w:p>
        </w:tc>
      </w:tr>
      <w:tr w:rsidR="00823EF7" w:rsidRPr="002C771F" w14:paraId="75F06642" w14:textId="77777777" w:rsidTr="00823EF7">
        <w:trPr>
          <w:jc w:val="center"/>
        </w:trPr>
        <w:tc>
          <w:tcPr>
            <w:tcW w:w="1248" w:type="pct"/>
            <w:shd w:val="clear" w:color="auto" w:fill="auto"/>
          </w:tcPr>
          <w:p w14:paraId="45E7DE3F" w14:textId="1B345145" w:rsidR="00823EF7" w:rsidRDefault="00823EF7" w:rsidP="00C34670">
            <w:pPr>
              <w:pStyle w:val="TableTextL"/>
              <w:jc w:val="center"/>
            </w:pPr>
            <w:r w:rsidRPr="009F120F">
              <w:t>2024</w:t>
            </w:r>
          </w:p>
        </w:tc>
        <w:tc>
          <w:tcPr>
            <w:tcW w:w="1250" w:type="pct"/>
            <w:shd w:val="clear" w:color="auto" w:fill="auto"/>
          </w:tcPr>
          <w:p w14:paraId="6B45E99B" w14:textId="4C57F914" w:rsidR="00823EF7" w:rsidRPr="00832878" w:rsidRDefault="00823EF7" w:rsidP="00823EF7">
            <w:pPr>
              <w:pStyle w:val="TableText"/>
            </w:pPr>
            <w:r w:rsidRPr="009F120F">
              <w:t>57%</w:t>
            </w:r>
          </w:p>
        </w:tc>
        <w:tc>
          <w:tcPr>
            <w:tcW w:w="1250" w:type="pct"/>
            <w:shd w:val="clear" w:color="auto" w:fill="auto"/>
          </w:tcPr>
          <w:p w14:paraId="741FCD86" w14:textId="7324482B" w:rsidR="00823EF7" w:rsidRDefault="00823EF7" w:rsidP="00823EF7">
            <w:pPr>
              <w:pStyle w:val="TableText"/>
            </w:pPr>
            <w:r w:rsidRPr="009F120F">
              <w:t>28%</w:t>
            </w:r>
          </w:p>
        </w:tc>
        <w:tc>
          <w:tcPr>
            <w:tcW w:w="1252" w:type="pct"/>
            <w:shd w:val="clear" w:color="auto" w:fill="auto"/>
            <w:noWrap/>
          </w:tcPr>
          <w:p w14:paraId="031C9561" w14:textId="3DA9B9C3" w:rsidR="00823EF7" w:rsidRDefault="00823EF7" w:rsidP="00823EF7">
            <w:pPr>
              <w:pStyle w:val="TableText"/>
            </w:pPr>
            <w:r w:rsidRPr="009F120F">
              <w:t>15%</w:t>
            </w:r>
          </w:p>
        </w:tc>
      </w:tr>
      <w:tr w:rsidR="00823EF7" w:rsidRPr="002C771F" w14:paraId="4CFD9FF0" w14:textId="77777777" w:rsidTr="00823EF7">
        <w:trPr>
          <w:jc w:val="center"/>
        </w:trPr>
        <w:tc>
          <w:tcPr>
            <w:tcW w:w="1248" w:type="pct"/>
            <w:shd w:val="clear" w:color="auto" w:fill="auto"/>
            <w:noWrap/>
          </w:tcPr>
          <w:p w14:paraId="228FDB7A" w14:textId="7415B0DC" w:rsidR="00823EF7" w:rsidRPr="00C679AE" w:rsidRDefault="00823EF7" w:rsidP="00C34670">
            <w:pPr>
              <w:pStyle w:val="TableTextL"/>
              <w:jc w:val="center"/>
            </w:pPr>
            <w:r w:rsidRPr="009F120F">
              <w:t>2025+</w:t>
            </w:r>
          </w:p>
        </w:tc>
        <w:tc>
          <w:tcPr>
            <w:tcW w:w="1250" w:type="pct"/>
            <w:shd w:val="clear" w:color="auto" w:fill="auto"/>
            <w:noWrap/>
          </w:tcPr>
          <w:p w14:paraId="03E3A793" w14:textId="41FCAE71" w:rsidR="00823EF7" w:rsidRPr="00C679AE" w:rsidRDefault="00823EF7" w:rsidP="00823EF7">
            <w:pPr>
              <w:pStyle w:val="TableText"/>
            </w:pPr>
            <w:r w:rsidRPr="009F120F">
              <w:t>57%</w:t>
            </w:r>
          </w:p>
        </w:tc>
        <w:tc>
          <w:tcPr>
            <w:tcW w:w="1250" w:type="pct"/>
            <w:shd w:val="clear" w:color="auto" w:fill="auto"/>
          </w:tcPr>
          <w:p w14:paraId="4FA0541F" w14:textId="10E1279A" w:rsidR="00823EF7" w:rsidRPr="00C679AE" w:rsidRDefault="00823EF7" w:rsidP="00823EF7">
            <w:pPr>
              <w:pStyle w:val="TableText"/>
            </w:pPr>
            <w:r w:rsidRPr="009F120F">
              <w:t>26%</w:t>
            </w:r>
          </w:p>
        </w:tc>
        <w:tc>
          <w:tcPr>
            <w:tcW w:w="1252" w:type="pct"/>
            <w:shd w:val="clear" w:color="auto" w:fill="auto"/>
            <w:noWrap/>
          </w:tcPr>
          <w:p w14:paraId="54C7F90F" w14:textId="5DED803A" w:rsidR="00823EF7" w:rsidRPr="00C679AE" w:rsidRDefault="00823EF7" w:rsidP="00823EF7">
            <w:pPr>
              <w:pStyle w:val="TableText"/>
            </w:pPr>
            <w:r w:rsidRPr="009F120F">
              <w:t>17%</w:t>
            </w:r>
          </w:p>
        </w:tc>
      </w:tr>
      <w:tr w:rsidR="00823EF7" w:rsidRPr="00C47C08" w14:paraId="0909012B" w14:textId="77777777" w:rsidTr="00823EF7">
        <w:trPr>
          <w:jc w:val="center"/>
        </w:trPr>
        <w:tc>
          <w:tcPr>
            <w:tcW w:w="5000" w:type="pct"/>
            <w:gridSpan w:val="4"/>
            <w:shd w:val="clear" w:color="auto" w:fill="D9D9D9" w:themeFill="background1" w:themeFillShade="D9"/>
            <w:noWrap/>
            <w:vAlign w:val="bottom"/>
          </w:tcPr>
          <w:p w14:paraId="543898A4" w14:textId="71A5DC4F" w:rsidR="00823EF7" w:rsidRDefault="00823EF7" w:rsidP="00823EF7">
            <w:pPr>
              <w:pStyle w:val="TableSource"/>
            </w:pPr>
            <w:r w:rsidRPr="00C47C08">
              <w:t>Notes:</w:t>
            </w:r>
            <w:r>
              <w:t xml:space="preserve"> </w:t>
            </w:r>
            <w:r w:rsidR="008311A2">
              <w:t>EMFAC2017</w:t>
            </w:r>
            <w:r>
              <w:t xml:space="preserve"> uses the same future ZEV sales requirements as assumed in EMFAC 2014.</w:t>
            </w:r>
          </w:p>
          <w:p w14:paraId="031B3B82" w14:textId="3F985540" w:rsidR="00823EF7" w:rsidRDefault="00823EF7" w:rsidP="00823EF7">
            <w:pPr>
              <w:pStyle w:val="TableSource"/>
            </w:pPr>
            <w:r>
              <w:t>EMFAC = EMission FACtor model; ZEV = zero emission vehicle; SANDAG = San Diego Association of Governments; PHEV = plug-in hybrid electric vehicle; BEV = battery electric vehicle; FCV = fuel cell vehicle.</w:t>
            </w:r>
          </w:p>
          <w:p w14:paraId="79D8B0F1" w14:textId="487B35B5" w:rsidR="00823EF7" w:rsidRPr="00C47C08" w:rsidRDefault="00823EF7" w:rsidP="00823EF7">
            <w:pPr>
              <w:pStyle w:val="TableSource"/>
            </w:pPr>
            <w:r>
              <w:t>Source: Lo</w:t>
            </w:r>
            <w:r w:rsidR="00BF6CA5">
              <w:t>ng, pers. comm., 2018</w:t>
            </w:r>
            <w:r w:rsidR="00BA135A">
              <w:t>a</w:t>
            </w:r>
            <w:r w:rsidR="00BF6CA5">
              <w:t>, CARB 2015</w:t>
            </w:r>
            <w:r>
              <w:t>:</w:t>
            </w:r>
            <w:r w:rsidR="007D2CF1">
              <w:t xml:space="preserve"> </w:t>
            </w:r>
            <w:r>
              <w:t>Table 3.3-7</w:t>
            </w:r>
          </w:p>
        </w:tc>
      </w:tr>
    </w:tbl>
    <w:p w14:paraId="2E928136" w14:textId="77777777" w:rsidR="00823EF7" w:rsidRDefault="00823EF7" w:rsidP="00F33E30">
      <w:pPr>
        <w:pStyle w:val="BodyText"/>
      </w:pPr>
    </w:p>
    <w:p w14:paraId="5CB6F922" w14:textId="4CD97ACD" w:rsidR="00F53C5F" w:rsidRPr="00F53C5F" w:rsidRDefault="00F53C5F" w:rsidP="00F33E30">
      <w:pPr>
        <w:pStyle w:val="BodyText"/>
      </w:pPr>
      <w:r>
        <w:t>VMT</w:t>
      </w:r>
      <w:r w:rsidRPr="00F53C5F">
        <w:rPr>
          <w:vertAlign w:val="subscript"/>
        </w:rPr>
        <w:t>BEV_R</w:t>
      </w:r>
      <w:r w:rsidR="001672BA">
        <w:rPr>
          <w:vertAlign w:val="subscript"/>
        </w:rPr>
        <w:t>ECP</w:t>
      </w:r>
      <w:r>
        <w:rPr>
          <w:vertAlign w:val="subscript"/>
        </w:rPr>
        <w:t xml:space="preserve"> </w:t>
      </w:r>
      <w:r>
        <w:t xml:space="preserve">is calculated from the total number of chargers, active charging time for BEVs per charger, and EV fuel economy as shown in </w:t>
      </w:r>
      <w:r w:rsidR="00FE3C25">
        <w:t>Equation 3</w:t>
      </w:r>
      <w:r>
        <w:t>.</w:t>
      </w:r>
    </w:p>
    <w:p w14:paraId="44D87FA2" w14:textId="070FFE8D" w:rsidR="00F53C5F" w:rsidRPr="00BD2B28" w:rsidRDefault="00196062" w:rsidP="00F53C5F">
      <w:pPr>
        <w:pStyle w:val="BodyText"/>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m:t>
                  </m:r>
                </m:e>
                <m:sub>
                  <m:r>
                    <w:rPr>
                      <w:rFonts w:ascii="Cambria Math" w:hAnsi="Cambria Math"/>
                    </w:rPr>
                    <m:t>BE</m:t>
                  </m:r>
                  <m:sSub>
                    <m:sSubPr>
                      <m:ctrlPr>
                        <w:rPr>
                          <w:rFonts w:ascii="Cambria Math" w:hAnsi="Cambria Math"/>
                          <w:i/>
                        </w:rPr>
                      </m:ctrlPr>
                    </m:sSubPr>
                    <m:e>
                      <m:r>
                        <w:rPr>
                          <w:rFonts w:ascii="Cambria Math" w:hAnsi="Cambria Math"/>
                        </w:rPr>
                        <m:t>V</m:t>
                      </m:r>
                    </m:e>
                    <m:sub>
                      <m:r>
                        <w:rPr>
                          <w:rFonts w:ascii="Cambria Math" w:hAnsi="Cambria Math"/>
                        </w:rPr>
                        <m:t>RECP</m:t>
                      </m:r>
                    </m:sub>
                  </m:sSub>
                </m:sub>
              </m:sSub>
              <m:r>
                <w:rPr>
                  <w:rFonts w:ascii="Cambria Math" w:hAnsi="Cambria Math"/>
                </w:rPr>
                <m:t>=</m:t>
              </m:r>
              <m:nary>
                <m:naryPr>
                  <m:chr m:val="∑"/>
                  <m:limLoc m:val="undOvr"/>
                  <m:ctrlPr>
                    <w:rPr>
                      <w:rFonts w:ascii="Cambria Math" w:hAnsi="Cambria Math"/>
                      <w:i/>
                    </w:rPr>
                  </m:ctrlPr>
                </m:naryPr>
                <m:sub>
                  <m:r>
                    <w:rPr>
                      <w:rFonts w:ascii="Cambria Math" w:hAnsi="Cambria Math"/>
                    </w:rPr>
                    <m:t>i=Charger Type</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i</m:t>
                              </m:r>
                            </m:e>
                            <m:sub>
                              <m:r>
                                <w:rPr>
                                  <w:rFonts w:ascii="Cambria Math" w:hAnsi="Cambria Math"/>
                                </w:rPr>
                                <m:t>BEV</m:t>
                              </m:r>
                            </m:sub>
                          </m:sSub>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charger</m:t>
                          </m:r>
                        </m:sub>
                      </m:sSub>
                    </m:num>
                    <m:den>
                      <m:sSub>
                        <m:sSubPr>
                          <m:ctrlPr>
                            <w:rPr>
                              <w:rFonts w:ascii="Cambria Math" w:hAnsi="Cambria Math"/>
                              <w:i/>
                            </w:rPr>
                          </m:ctrlPr>
                        </m:sSubPr>
                        <m:e>
                          <m:r>
                            <w:rPr>
                              <w:rFonts w:ascii="Cambria Math" w:hAnsi="Cambria Math"/>
                            </w:rPr>
                            <m:t>FE</m:t>
                          </m:r>
                        </m:e>
                        <m:sub>
                          <m:r>
                            <w:rPr>
                              <w:rFonts w:ascii="Cambria Math" w:hAnsi="Cambria Math"/>
                            </w:rPr>
                            <m:t>EV</m:t>
                          </m:r>
                        </m:sub>
                      </m:sSub>
                    </m:den>
                  </m:f>
                </m:e>
              </m:nary>
              <m:r>
                <w:rPr>
                  <w:rFonts w:ascii="Cambria Math" w:hAnsi="Cambria Math"/>
                </w:rPr>
                <m:t>#</m:t>
              </m:r>
              <m:d>
                <m:dPr>
                  <m:ctrlPr>
                    <w:rPr>
                      <w:rFonts w:ascii="Cambria Math" w:hAnsi="Cambria Math"/>
                      <w:i/>
                    </w:rPr>
                  </m:ctrlPr>
                </m:dPr>
                <m:e>
                  <m:r>
                    <w:rPr>
                      <w:rFonts w:ascii="Cambria Math" w:hAnsi="Cambria Math"/>
                    </w:rPr>
                    <m:t>Equation 3</m:t>
                  </m:r>
                </m:e>
              </m:d>
            </m:e>
          </m:eqArr>
        </m:oMath>
      </m:oMathPara>
    </w:p>
    <w:p w14:paraId="40A54783" w14:textId="77777777" w:rsidR="00F53C5F" w:rsidRDefault="00F53C5F" w:rsidP="00F53C5F">
      <w:pPr>
        <w:pStyle w:val="BodyText"/>
      </w:pPr>
      <w:r>
        <w:t>Where:</w:t>
      </w:r>
    </w:p>
    <w:p w14:paraId="6DAD87A6" w14:textId="5FBA3C20" w:rsidR="00F53C5F" w:rsidRDefault="00F53C5F" w:rsidP="00F53C5F">
      <w:pPr>
        <w:pStyle w:val="BodyText"/>
        <w:ind w:left="1710" w:hanging="990"/>
      </w:pPr>
      <w:r>
        <w:t>VMT</w:t>
      </w:r>
      <w:r w:rsidRPr="005D33B5">
        <w:rPr>
          <w:vertAlign w:val="subscript"/>
        </w:rPr>
        <w:t>BEV_R</w:t>
      </w:r>
      <w:r w:rsidR="00DB7451">
        <w:rPr>
          <w:vertAlign w:val="subscript"/>
        </w:rPr>
        <w:t>ECP</w:t>
      </w:r>
      <w:r>
        <w:t xml:space="preserve"> = eVMT associated with the electricity provided by chargers to BEVs under the RECP</w:t>
      </w:r>
    </w:p>
    <w:p w14:paraId="08A67846" w14:textId="77777777" w:rsidR="00F53C5F" w:rsidRDefault="00F53C5F" w:rsidP="00F53C5F">
      <w:pPr>
        <w:pStyle w:val="BodyText"/>
        <w:ind w:left="1710" w:hanging="990"/>
      </w:pPr>
      <w:r>
        <w:t>i = charger type (e.g., Level 2 or DC Fast Charger)</w:t>
      </w:r>
    </w:p>
    <w:p w14:paraId="7560D065" w14:textId="3654E36F" w:rsidR="00F53C5F" w:rsidRDefault="00F53C5F" w:rsidP="00F53C5F">
      <w:pPr>
        <w:pStyle w:val="BodyText"/>
        <w:ind w:left="1170" w:hanging="450"/>
      </w:pPr>
      <w:r>
        <w:lastRenderedPageBreak/>
        <w:t>C</w:t>
      </w:r>
      <w:r w:rsidRPr="007F25E6">
        <w:rPr>
          <w:vertAlign w:val="subscript"/>
        </w:rPr>
        <w:t>i</w:t>
      </w:r>
      <w:r>
        <w:t xml:space="preserve"> = Cumulative number of charging </w:t>
      </w:r>
      <w:r w:rsidR="004D739F">
        <w:t>plug</w:t>
      </w:r>
      <w:r>
        <w:t xml:space="preserve">s or plugs by type installed under RECP (plugs). </w:t>
      </w:r>
    </w:p>
    <w:p w14:paraId="1E27B106" w14:textId="6FC1F32F" w:rsidR="00F53C5F" w:rsidRDefault="00F53C5F" w:rsidP="006F1D8D">
      <w:pPr>
        <w:pStyle w:val="BodyText"/>
        <w:ind w:left="1440" w:hanging="720"/>
      </w:pPr>
      <w:r>
        <w:t>H</w:t>
      </w:r>
      <w:r w:rsidRPr="00D91BA9">
        <w:rPr>
          <w:vertAlign w:val="subscript"/>
        </w:rPr>
        <w:t>i</w:t>
      </w:r>
      <w:r w:rsidR="00A07395">
        <w:rPr>
          <w:vertAlign w:val="subscript"/>
        </w:rPr>
        <w:t>_BEV</w:t>
      </w:r>
      <w:r>
        <w:t xml:space="preserve"> = Active hours charged by charger type</w:t>
      </w:r>
      <w:r w:rsidR="00BE0FB4">
        <w:t>,</w:t>
      </w:r>
      <w:r>
        <w:t xml:space="preserve"> per charger plug</w:t>
      </w:r>
      <w:r w:rsidR="00BE0FB4">
        <w:t>,</w:t>
      </w:r>
      <w:r>
        <w:t xml:space="preserve"> per day </w:t>
      </w:r>
      <w:r w:rsidR="00A07395">
        <w:t xml:space="preserve">associated with BEVs </w:t>
      </w:r>
      <w:r>
        <w:t>(hours/plug)</w:t>
      </w:r>
    </w:p>
    <w:p w14:paraId="73BEF03E" w14:textId="66AAA175" w:rsidR="00F53C5F" w:rsidRDefault="00F53C5F" w:rsidP="006F1D8D">
      <w:pPr>
        <w:pStyle w:val="BodyText"/>
        <w:ind w:left="1170" w:hanging="450"/>
      </w:pPr>
      <w:r>
        <w:t>P</w:t>
      </w:r>
      <w:r w:rsidRPr="00D91BA9">
        <w:rPr>
          <w:vertAlign w:val="subscript"/>
        </w:rPr>
        <w:t>i</w:t>
      </w:r>
      <w:r>
        <w:t xml:space="preserve"> = Power rating of charger type (e.g., 6.6 kW for Level 2 chargers or </w:t>
      </w:r>
      <w:r w:rsidR="006F1D8D">
        <w:t xml:space="preserve">between </w:t>
      </w:r>
      <w:r>
        <w:t>55</w:t>
      </w:r>
      <w:r w:rsidR="006F1D8D">
        <w:t xml:space="preserve"> and 105</w:t>
      </w:r>
      <w:r>
        <w:t xml:space="preserve"> kW for DC Fast Chargers)</w:t>
      </w:r>
    </w:p>
    <w:p w14:paraId="7F137C25" w14:textId="77777777" w:rsidR="00F53C5F" w:rsidRDefault="00F53C5F" w:rsidP="00F53C5F">
      <w:pPr>
        <w:pStyle w:val="BodyText"/>
        <w:ind w:left="1710" w:hanging="990"/>
      </w:pPr>
      <w:r>
        <w:rPr>
          <w:rFonts w:cs="Segoe UI Semilight"/>
        </w:rPr>
        <w:t>η</w:t>
      </w:r>
      <w:r>
        <w:rPr>
          <w:vertAlign w:val="subscript"/>
        </w:rPr>
        <w:t xml:space="preserve">charger </w:t>
      </w:r>
      <w:r>
        <w:t>= Charger efficiency (e.g., 90 percent)</w:t>
      </w:r>
    </w:p>
    <w:p w14:paraId="5FC0D6A6" w14:textId="66189891" w:rsidR="00F53C5F" w:rsidRPr="00D91BA9" w:rsidRDefault="00F53C5F" w:rsidP="00F53C5F">
      <w:pPr>
        <w:pStyle w:val="BodyText"/>
        <w:ind w:left="1710" w:hanging="990"/>
      </w:pPr>
      <w:r>
        <w:t>FE</w:t>
      </w:r>
      <w:r>
        <w:rPr>
          <w:vertAlign w:val="subscript"/>
        </w:rPr>
        <w:t>EV</w:t>
      </w:r>
      <w:r>
        <w:t xml:space="preserve"> = Fuel economy of electric vehicles (kWh/mi) (e.g., 0.225 kWh/mi)</w:t>
      </w:r>
    </w:p>
    <w:p w14:paraId="146492EA" w14:textId="32B9FDAD" w:rsidR="0065578D" w:rsidRDefault="00E44873" w:rsidP="00F33E30">
      <w:pPr>
        <w:pStyle w:val="BodyText"/>
      </w:pPr>
      <w:r>
        <w:t>C</w:t>
      </w:r>
      <w:r w:rsidRPr="00E44873">
        <w:rPr>
          <w:vertAlign w:val="subscript"/>
        </w:rPr>
        <w:t>i</w:t>
      </w:r>
      <w:r>
        <w:t xml:space="preserve"> is calculated from the charging plug-to-PEV ratio from EVI-Pro </w:t>
      </w:r>
      <w:r w:rsidR="00A600CF">
        <w:t xml:space="preserve">(See </w:t>
      </w:r>
      <w:r w:rsidR="00FB2DDF">
        <w:t>Figure</w:t>
      </w:r>
      <w:r w:rsidR="00A600CF">
        <w:t xml:space="preserve"> 1</w:t>
      </w:r>
      <w:r w:rsidR="00FB2DDF">
        <w:t>).</w:t>
      </w:r>
      <w:r>
        <w:t xml:space="preserve"> The a</w:t>
      </w:r>
      <w:r w:rsidR="00992FCA">
        <w:t xml:space="preserve">ctive charging </w:t>
      </w:r>
      <w:r>
        <w:t>referred to in H</w:t>
      </w:r>
      <w:r w:rsidRPr="00E44873">
        <w:rPr>
          <w:vertAlign w:val="subscript"/>
        </w:rPr>
        <w:t>i</w:t>
      </w:r>
      <w:r>
        <w:t xml:space="preserve"> </w:t>
      </w:r>
      <w:r w:rsidR="00992FCA">
        <w:t xml:space="preserve">is distinct from </w:t>
      </w:r>
      <w:r w:rsidR="00684FE6">
        <w:t>charging time</w:t>
      </w:r>
      <w:r w:rsidR="00A600CF">
        <w:t>, because</w:t>
      </w:r>
      <w:r w:rsidR="00992FCA">
        <w:t xml:space="preserve"> a car may </w:t>
      </w:r>
      <w:r w:rsidR="00A600CF">
        <w:t xml:space="preserve">still </w:t>
      </w:r>
      <w:r w:rsidR="00992FCA">
        <w:t>be plugged in but not actively charging</w:t>
      </w:r>
      <w:r w:rsidR="00684FE6">
        <w:t xml:space="preserve"> because the car may have </w:t>
      </w:r>
      <w:r w:rsidR="003C3592">
        <w:t xml:space="preserve">completed </w:t>
      </w:r>
      <w:r w:rsidR="00A600CF">
        <w:t>or stopped charging</w:t>
      </w:r>
      <w:r w:rsidR="00992FCA">
        <w:t xml:space="preserve">. </w:t>
      </w:r>
      <w:r w:rsidR="009D468B">
        <w:t>For H</w:t>
      </w:r>
      <w:r w:rsidR="009D468B" w:rsidRPr="0034505B">
        <w:rPr>
          <w:vertAlign w:val="subscript"/>
        </w:rPr>
        <w:t>i</w:t>
      </w:r>
      <w:r w:rsidR="009D468B">
        <w:t>, t</w:t>
      </w:r>
      <w:r w:rsidR="009722E3">
        <w:t xml:space="preserve">he default charging activity assumes </w:t>
      </w:r>
      <w:r w:rsidR="005E2A1E">
        <w:t xml:space="preserve">workplace chargers </w:t>
      </w:r>
      <w:r w:rsidR="004A6CDE">
        <w:t>actively</w:t>
      </w:r>
      <w:r w:rsidR="009722E3">
        <w:t xml:space="preserve"> </w:t>
      </w:r>
      <w:r w:rsidR="009722E3" w:rsidRPr="0034505B">
        <w:t xml:space="preserve">charge </w:t>
      </w:r>
      <w:r w:rsidR="005E2A1E" w:rsidRPr="0034505B">
        <w:t xml:space="preserve">BEVs </w:t>
      </w:r>
      <w:r w:rsidR="009722E3" w:rsidRPr="0034505B">
        <w:t xml:space="preserve">for </w:t>
      </w:r>
      <w:r w:rsidR="005E2A1E" w:rsidRPr="0034505B">
        <w:t xml:space="preserve">three </w:t>
      </w:r>
      <w:r w:rsidR="009722E3" w:rsidRPr="0034505B">
        <w:t xml:space="preserve">hours and </w:t>
      </w:r>
      <w:r w:rsidR="005E2A1E" w:rsidRPr="0034505B">
        <w:t>PHEVs for eight hours per day per charger, across multiple vehicles over the course of a day. P</w:t>
      </w:r>
      <w:r w:rsidR="009722E3" w:rsidRPr="0034505B">
        <w:t xml:space="preserve">ublic </w:t>
      </w:r>
      <w:r w:rsidR="00992FCA" w:rsidRPr="0034505B">
        <w:t xml:space="preserve">chargers </w:t>
      </w:r>
      <w:r w:rsidR="005E2A1E" w:rsidRPr="0034505B">
        <w:t xml:space="preserve">are assumed to charge BEVs </w:t>
      </w:r>
      <w:r w:rsidR="00992FCA" w:rsidRPr="0034505B">
        <w:t xml:space="preserve">for </w:t>
      </w:r>
      <w:r w:rsidR="005E2A1E" w:rsidRPr="0034505B">
        <w:t>one</w:t>
      </w:r>
      <w:r w:rsidR="009722E3" w:rsidRPr="0034505B">
        <w:t xml:space="preserve"> hour per day</w:t>
      </w:r>
      <w:r w:rsidR="005E2A1E" w:rsidRPr="0034505B">
        <w:t xml:space="preserve"> per charger and PHEVs for 10 hours per day per charger</w:t>
      </w:r>
      <w:r w:rsidR="009722E3" w:rsidRPr="0034505B">
        <w:t xml:space="preserve">. </w:t>
      </w:r>
      <w:r w:rsidR="006F1D8D" w:rsidRPr="0034505B">
        <w:t>These charging times are consistent with the understanding that PHEVs would need to charge more frequently due to their smaller range compared to BEVs</w:t>
      </w:r>
      <w:r w:rsidR="00992FCA" w:rsidRPr="0034505B">
        <w:t xml:space="preserve">. </w:t>
      </w:r>
      <w:r w:rsidR="009D468B" w:rsidRPr="006D6901">
        <w:t>P</w:t>
      </w:r>
      <w:r w:rsidR="009D468B" w:rsidRPr="006D6901">
        <w:rPr>
          <w:vertAlign w:val="subscript"/>
        </w:rPr>
        <w:t>i</w:t>
      </w:r>
      <w:r w:rsidR="009D468B">
        <w:rPr>
          <w:rFonts w:cs="Segoe UI Semilight"/>
        </w:rPr>
        <w:t xml:space="preserve">, </w:t>
      </w:r>
      <w:r w:rsidR="009D468B" w:rsidRPr="006D6901">
        <w:rPr>
          <w:rFonts w:cs="Segoe UI Semilight"/>
        </w:rPr>
        <w:t>η</w:t>
      </w:r>
      <w:r w:rsidR="009D468B" w:rsidRPr="006D6901">
        <w:rPr>
          <w:vertAlign w:val="subscript"/>
        </w:rPr>
        <w:t>charger</w:t>
      </w:r>
      <w:r w:rsidR="009D468B" w:rsidRPr="006D6901">
        <w:t xml:space="preserve">, </w:t>
      </w:r>
      <w:r w:rsidR="009D468B">
        <w:t xml:space="preserve">and </w:t>
      </w:r>
      <w:r w:rsidR="009D468B" w:rsidRPr="006D6901">
        <w:t>FE</w:t>
      </w:r>
      <w:r w:rsidR="009D468B" w:rsidRPr="006D6901">
        <w:rPr>
          <w:vertAlign w:val="subscript"/>
        </w:rPr>
        <w:t>EV</w:t>
      </w:r>
      <w:r w:rsidR="009D468B" w:rsidRPr="006D6901">
        <w:t xml:space="preserve"> are consistent with those used in CEC’s EVI-Pro</w:t>
      </w:r>
      <w:r w:rsidR="009D468B">
        <w:t xml:space="preserve"> </w:t>
      </w:r>
      <w:r w:rsidR="009D468B" w:rsidRPr="006D6901">
        <w:t>runs</w:t>
      </w:r>
      <w:r w:rsidR="009D468B">
        <w:t xml:space="preserve"> statewide</w:t>
      </w:r>
      <w:r w:rsidR="009D468B" w:rsidRPr="006D6901">
        <w:t>.</w:t>
      </w:r>
    </w:p>
    <w:p w14:paraId="5F0AF582" w14:textId="0186A105" w:rsidR="00F121A3" w:rsidRDefault="006A0213" w:rsidP="00F33E30">
      <w:pPr>
        <w:pStyle w:val="BodyText"/>
      </w:pPr>
      <w:r w:rsidRPr="006A0213">
        <w:t>The default</w:t>
      </w:r>
      <w:r w:rsidR="002B739A">
        <w:t xml:space="preserve"> H</w:t>
      </w:r>
      <w:r w:rsidR="002B739A" w:rsidRPr="0034505B">
        <w:rPr>
          <w:vertAlign w:val="subscript"/>
        </w:rPr>
        <w:t>i</w:t>
      </w:r>
      <w:r w:rsidR="002B739A">
        <w:t xml:space="preserve"> </w:t>
      </w:r>
      <w:r>
        <w:t xml:space="preserve">values given above </w:t>
      </w:r>
      <w:r w:rsidR="00992FCA" w:rsidRPr="0034505B">
        <w:t xml:space="preserve">are </w:t>
      </w:r>
      <w:r w:rsidR="00F121A3">
        <w:t>calculated from</w:t>
      </w:r>
      <w:r w:rsidR="00992FCA" w:rsidRPr="0034505B">
        <w:t xml:space="preserve"> </w:t>
      </w:r>
      <w:r w:rsidR="006F1D8D" w:rsidRPr="0034505B">
        <w:t xml:space="preserve">charger load results </w:t>
      </w:r>
      <w:r w:rsidR="006F1D8D" w:rsidRPr="007C75AE">
        <w:t xml:space="preserve">from CEC’s EVI-Pro runs for the SANDAG </w:t>
      </w:r>
      <w:r w:rsidR="00AC1669">
        <w:t>region</w:t>
      </w:r>
      <w:r w:rsidR="006F1D8D" w:rsidRPr="006D6901">
        <w:t xml:space="preserve"> (NREL 2018b)</w:t>
      </w:r>
      <w:r w:rsidR="00992FCA" w:rsidRPr="0034505B">
        <w:t>.</w:t>
      </w:r>
      <w:r w:rsidR="005E2A1E" w:rsidRPr="0034505B">
        <w:t xml:space="preserve"> </w:t>
      </w:r>
      <w:r w:rsidR="0065578D">
        <w:t>The charger load results show how much power, in MW, is drawn from each charger destination type (e.g., public level 2, workplace level 2, and public DC fast charger) over a 24-hour period</w:t>
      </w:r>
      <w:r w:rsidR="00F121A3">
        <w:t>, as shown in Figure 2</w:t>
      </w:r>
      <w:r w:rsidR="0065578D">
        <w:t xml:space="preserve">. </w:t>
      </w:r>
    </w:p>
    <w:p w14:paraId="69CC3D27" w14:textId="5609D39B" w:rsidR="00F121A3" w:rsidRDefault="00F121A3" w:rsidP="0034505B">
      <w:pPr>
        <w:pStyle w:val="BodyText"/>
        <w:jc w:val="center"/>
      </w:pPr>
      <w:r>
        <w:rPr>
          <w:noProof/>
        </w:rPr>
        <w:lastRenderedPageBreak/>
        <w:drawing>
          <wp:inline distT="0" distB="0" distL="0" distR="0" wp14:anchorId="2E03893B" wp14:editId="1371BFEA">
            <wp:extent cx="2464904" cy="3458391"/>
            <wp:effectExtent l="0" t="0" r="0" b="8890"/>
            <wp:docPr id="8" name="Picture 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507866.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76968" cy="3475318"/>
                    </a:xfrm>
                    <a:prstGeom prst="rect">
                      <a:avLst/>
                    </a:prstGeom>
                  </pic:spPr>
                </pic:pic>
              </a:graphicData>
            </a:graphic>
          </wp:inline>
        </w:drawing>
      </w:r>
    </w:p>
    <w:p w14:paraId="5207CF87" w14:textId="5658ED0A" w:rsidR="00F121A3" w:rsidRDefault="00F121A3" w:rsidP="00F34C87">
      <w:pPr>
        <w:pStyle w:val="ExhibitSource"/>
      </w:pPr>
      <w:r>
        <w:t>Source: NREL 2018a</w:t>
      </w:r>
      <w:r w:rsidR="00F6598A">
        <w:t>. Note that Public DC Fast charger loads are imperceptible in this figure due to very small loads in comparison to other charger types.</w:t>
      </w:r>
    </w:p>
    <w:p w14:paraId="559F59F8" w14:textId="7C2AD1A3" w:rsidR="00F121A3" w:rsidRDefault="00F121A3" w:rsidP="0034505B">
      <w:pPr>
        <w:pStyle w:val="ExhibitTitle"/>
        <w:spacing w:after="240"/>
        <w:ind w:left="1620" w:hanging="1620"/>
      </w:pPr>
      <w:r>
        <w:t>Figure 2</w:t>
      </w:r>
      <w:r>
        <w:tab/>
        <w:t>Power Load by Charger Destination Type over a 24-hour Period for SANDAG in 2025</w:t>
      </w:r>
    </w:p>
    <w:p w14:paraId="27C082D5" w14:textId="25FA51F9" w:rsidR="00DC46EB" w:rsidRDefault="0065578D" w:rsidP="00F33E30">
      <w:pPr>
        <w:pStyle w:val="BodyText"/>
      </w:pPr>
      <w:r>
        <w:t xml:space="preserve">The </w:t>
      </w:r>
      <w:r w:rsidR="00F121A3">
        <w:t xml:space="preserve">area under the curve by each </w:t>
      </w:r>
      <w:r>
        <w:t>charger type</w:t>
      </w:r>
      <w:r w:rsidR="00F121A3">
        <w:t xml:space="preserve"> is equal to the </w:t>
      </w:r>
      <w:r w:rsidR="009D468B">
        <w:t>daily electricity demand for all chargers in the SANDAG region in 2025, under CEC’s target scenario in their 2018 infrastructure report (CEC 2018).</w:t>
      </w:r>
      <w:r>
        <w:t xml:space="preserve"> Dividing </w:t>
      </w:r>
      <w:r w:rsidR="009D468B">
        <w:t>the total energy delivered (in MWh)</w:t>
      </w:r>
      <w:r>
        <w:t xml:space="preserve"> by the average charger power rating </w:t>
      </w:r>
      <w:r w:rsidR="009D468B">
        <w:t xml:space="preserve">(in </w:t>
      </w:r>
      <w:r w:rsidR="00F6598A">
        <w:t>k</w:t>
      </w:r>
      <w:r w:rsidR="009D468B">
        <w:t xml:space="preserve">W) </w:t>
      </w:r>
      <w:r>
        <w:t>gives the average hours charged</w:t>
      </w:r>
      <w:r w:rsidR="009D468B">
        <w:t xml:space="preserve"> by charger type</w:t>
      </w:r>
      <w:r>
        <w:t xml:space="preserve">. </w:t>
      </w:r>
      <w:r w:rsidR="009D468B">
        <w:t>Ascent further disaggregated the charging hours by PEV type using the charger demand profile by PEV type assumed in CEC’s modeling (CEC 2018:</w:t>
      </w:r>
      <w:r w:rsidR="00AC1669">
        <w:t xml:space="preserve"> </w:t>
      </w:r>
      <w:r w:rsidR="009D468B">
        <w:t>Figure 4.5)</w:t>
      </w:r>
      <w:r w:rsidR="00A07E15">
        <w:t>. This methodology to calculate the charging hours was recommended by CEC (Bedir, Pers. Comm., 2018).</w:t>
      </w:r>
      <w:r>
        <w:t xml:space="preserve"> </w:t>
      </w:r>
    </w:p>
    <w:p w14:paraId="5232A59B" w14:textId="0F278E9C" w:rsidR="00A07395" w:rsidRDefault="00A07395" w:rsidP="00A07395">
      <w:pPr>
        <w:pStyle w:val="Heading6"/>
      </w:pPr>
      <w:r>
        <w:t xml:space="preserve">PHEV </w:t>
      </w:r>
      <w:r w:rsidR="001732C1">
        <w:t>CO</w:t>
      </w:r>
      <w:r w:rsidR="001732C1" w:rsidRPr="001732C1">
        <w:rPr>
          <w:vertAlign w:val="subscript"/>
        </w:rPr>
        <w:t>2</w:t>
      </w:r>
      <w:r>
        <w:t xml:space="preserve"> Reductions</w:t>
      </w:r>
    </w:p>
    <w:p w14:paraId="54F9ED7B" w14:textId="256686EE" w:rsidR="00A2207C" w:rsidRDefault="00A600CF" w:rsidP="00F33E30">
      <w:pPr>
        <w:pStyle w:val="BodyText"/>
      </w:pPr>
      <w:r>
        <w:t xml:space="preserve">For </w:t>
      </w:r>
      <w:r w:rsidR="001732C1">
        <w:t>CO</w:t>
      </w:r>
      <w:r w:rsidR="001732C1" w:rsidRPr="001732C1">
        <w:rPr>
          <w:vertAlign w:val="subscript"/>
        </w:rPr>
        <w:t>2</w:t>
      </w:r>
      <w:r>
        <w:t xml:space="preserve"> reduc</w:t>
      </w:r>
      <w:r w:rsidR="00C82C16">
        <w:t xml:space="preserve">tions from PHEVs, </w:t>
      </w:r>
      <w:r w:rsidR="00664B84">
        <w:t>the approach differs fr</w:t>
      </w:r>
      <w:r w:rsidR="000414C6">
        <w:t xml:space="preserve">om the BEV calculations because </w:t>
      </w:r>
      <w:r w:rsidR="00664B84">
        <w:t xml:space="preserve">the chargers </w:t>
      </w:r>
      <w:r w:rsidR="00354639">
        <w:t xml:space="preserve">affect </w:t>
      </w:r>
      <w:r w:rsidR="00664B84">
        <w:t xml:space="preserve">the overall electric </w:t>
      </w:r>
      <w:r w:rsidR="007D5DE4">
        <w:t>UF</w:t>
      </w:r>
      <w:r w:rsidR="00917B74">
        <w:t xml:space="preserve"> </w:t>
      </w:r>
      <w:r w:rsidR="00664B84">
        <w:t>of PHEV</w:t>
      </w:r>
      <w:r w:rsidR="007D5DE4">
        <w:t>s</w:t>
      </w:r>
      <w:r w:rsidR="00664B84">
        <w:t>.</w:t>
      </w:r>
      <w:r w:rsidR="000414C6">
        <w:t xml:space="preserve"> </w:t>
      </w:r>
      <w:r w:rsidR="00344298">
        <w:t>D</w:t>
      </w:r>
      <w:r w:rsidR="00686E01">
        <w:t>epending on the</w:t>
      </w:r>
      <w:r w:rsidR="00344298">
        <w:t xml:space="preserve"> charger assumptions</w:t>
      </w:r>
      <w:r w:rsidR="000414C6">
        <w:t xml:space="preserve">, </w:t>
      </w:r>
      <w:r w:rsidR="00344298">
        <w:t xml:space="preserve">the chargers </w:t>
      </w:r>
      <w:r w:rsidR="000414C6">
        <w:t xml:space="preserve">would increase the </w:t>
      </w:r>
      <w:r w:rsidR="00344298">
        <w:t xml:space="preserve">amount of eVMT provided to PHEVs. Dividing the </w:t>
      </w:r>
      <w:r w:rsidR="00354639">
        <w:t xml:space="preserve">eVMT provided by the chargers </w:t>
      </w:r>
      <w:r w:rsidR="00344298">
        <w:t xml:space="preserve">by the </w:t>
      </w:r>
      <w:r w:rsidR="003C66A6">
        <w:t>PHEV VMT</w:t>
      </w:r>
      <w:r w:rsidR="00344298">
        <w:t xml:space="preserve"> assumed in EMFAC would </w:t>
      </w:r>
      <w:r w:rsidR="00354639">
        <w:t xml:space="preserve">result in a higher </w:t>
      </w:r>
      <w:r w:rsidR="00344298">
        <w:t>UF relative to EMFAC defaults, potentially beyond the maximum UF</w:t>
      </w:r>
      <w:r w:rsidR="00354639">
        <w:t xml:space="preserve"> for PHEVS</w:t>
      </w:r>
      <w:r w:rsidR="003C66A6">
        <w:t>.</w:t>
      </w:r>
      <w:r w:rsidR="00344298">
        <w:t xml:space="preserve"> The maximum UF for PHEVs, assuming access to charging is widely available, is 80 percent according to a 2017 NREL study and the San Diego 2025 PEV fleet mix [NREL 2017: </w:t>
      </w:r>
      <w:r w:rsidR="00B904F2">
        <w:t>Figure 2</w:t>
      </w:r>
      <w:r w:rsidR="00344298">
        <w:t>6].</w:t>
      </w:r>
      <w:r w:rsidR="003C66A6">
        <w:t xml:space="preserve"> </w:t>
      </w:r>
      <w:r w:rsidR="000414C6">
        <w:t xml:space="preserve">MTC </w:t>
      </w:r>
      <w:r w:rsidR="003C66A6">
        <w:t xml:space="preserve">used this </w:t>
      </w:r>
      <w:r w:rsidR="000414C6">
        <w:t>approach</w:t>
      </w:r>
      <w:r w:rsidR="00354639">
        <w:t xml:space="preserve"> of comparing UFs</w:t>
      </w:r>
      <w:r w:rsidR="000414C6">
        <w:t xml:space="preserve"> </w:t>
      </w:r>
      <w:r w:rsidR="003C66A6">
        <w:t xml:space="preserve">to assign </w:t>
      </w:r>
      <w:r w:rsidR="001732C1">
        <w:t>CO</w:t>
      </w:r>
      <w:r w:rsidR="001732C1" w:rsidRPr="001732C1">
        <w:rPr>
          <w:vertAlign w:val="subscript"/>
        </w:rPr>
        <w:t>2</w:t>
      </w:r>
      <w:r w:rsidR="003C66A6">
        <w:t xml:space="preserve"> reductions to the MTC’s RECP</w:t>
      </w:r>
      <w:r w:rsidR="00344298">
        <w:t xml:space="preserve"> and estimated a UF of 80 percent with additional chargers</w:t>
      </w:r>
      <w:r w:rsidR="003C66A6">
        <w:t xml:space="preserve">. </w:t>
      </w:r>
    </w:p>
    <w:p w14:paraId="0069EFE5" w14:textId="5D85500C" w:rsidR="00F33E30" w:rsidRDefault="003C66A6" w:rsidP="009D7D18">
      <w:pPr>
        <w:pStyle w:val="BodyText"/>
      </w:pPr>
      <w:r>
        <w:t>However,</w:t>
      </w:r>
      <w:r w:rsidR="00A2207C">
        <w:t xml:space="preserve"> PHEV UF assumed under the RECP is inextricably connected with the assumptions used to estimate reductions from the </w:t>
      </w:r>
      <w:r w:rsidR="00196062">
        <w:t>VIP</w:t>
      </w:r>
      <w:r w:rsidR="00A2207C">
        <w:t xml:space="preserve">. This is because the </w:t>
      </w:r>
      <w:r w:rsidR="00196062">
        <w:t>VIP</w:t>
      </w:r>
      <w:r w:rsidR="00A2207C">
        <w:t xml:space="preserve"> </w:t>
      </w:r>
      <w:r w:rsidR="00FC1A5F">
        <w:t xml:space="preserve">has the potential to increase </w:t>
      </w:r>
      <w:r>
        <w:t xml:space="preserve">overall PHEV VMT </w:t>
      </w:r>
      <w:r w:rsidR="00FC1A5F">
        <w:t xml:space="preserve">by increasing the number of PHEVs in the </w:t>
      </w:r>
      <w:r w:rsidR="00A2207C">
        <w:t xml:space="preserve">region. </w:t>
      </w:r>
      <w:r w:rsidR="00696009">
        <w:t xml:space="preserve">This affects the calculation of the PHEV UF under the </w:t>
      </w:r>
      <w:r w:rsidR="00696009">
        <w:lastRenderedPageBreak/>
        <w:t xml:space="preserve">RECP because the UF </w:t>
      </w:r>
      <w:r w:rsidR="00A2207C">
        <w:t>is calculated by dividing PHEV eVMT</w:t>
      </w:r>
      <w:r w:rsidR="00696009">
        <w:t xml:space="preserve"> provided under the RECP </w:t>
      </w:r>
      <w:r w:rsidR="00A2207C">
        <w:t xml:space="preserve">by </w:t>
      </w:r>
      <w:r w:rsidR="00696009">
        <w:t xml:space="preserve">the </w:t>
      </w:r>
      <w:r w:rsidR="00A2207C">
        <w:t xml:space="preserve">total </w:t>
      </w:r>
      <w:r w:rsidR="00696009">
        <w:t xml:space="preserve">PHEV </w:t>
      </w:r>
      <w:r w:rsidR="00A2207C">
        <w:t>VMT</w:t>
      </w:r>
      <w:r w:rsidR="00696009">
        <w:t>.</w:t>
      </w:r>
      <w:r w:rsidR="00344298">
        <w:t xml:space="preserve"> </w:t>
      </w:r>
      <w:r w:rsidR="00FA217C">
        <w:t xml:space="preserve">Thus, </w:t>
      </w:r>
      <w:r w:rsidR="00696009">
        <w:t>the calculations are set up to avoid double counting reductions from PHEVs from the two programs</w:t>
      </w:r>
      <w:r w:rsidR="00344298" w:rsidRPr="00F10CD2">
        <w:t>.</w:t>
      </w:r>
      <w:r w:rsidR="003C04B5" w:rsidRPr="00F10CD2">
        <w:t xml:space="preserve"> </w:t>
      </w:r>
      <w:r w:rsidR="00664B84" w:rsidRPr="00F10CD2">
        <w:t xml:space="preserve">This approach is detailed in </w:t>
      </w:r>
      <w:r w:rsidR="00C719AC">
        <w:t>E</w:t>
      </w:r>
      <w:r w:rsidR="00C82C16" w:rsidRPr="00F10CD2">
        <w:t xml:space="preserve">quations </w:t>
      </w:r>
      <w:r w:rsidR="00974DC2" w:rsidRPr="00F10CD2">
        <w:t xml:space="preserve">4 through </w:t>
      </w:r>
      <w:r w:rsidR="001B03B4">
        <w:t>7</w:t>
      </w:r>
      <w:r w:rsidR="00C82C16" w:rsidRPr="00F10CD2">
        <w:t>.</w:t>
      </w:r>
    </w:p>
    <w:p w14:paraId="42E9EB46" w14:textId="1FD12DE8" w:rsidR="00C82C16" w:rsidRDefault="00196062" w:rsidP="00C82C16">
      <w:pPr>
        <w:pStyle w:val="BodyText"/>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PHE</m:t>
                  </m:r>
                  <m:sSub>
                    <m:sSubPr>
                      <m:ctrlPr>
                        <w:rPr>
                          <w:rFonts w:ascii="Cambria Math" w:hAnsi="Cambria Math"/>
                          <w:i/>
                        </w:rPr>
                      </m:ctrlPr>
                    </m:sSubPr>
                    <m:e>
                      <m:r>
                        <w:rPr>
                          <w:rFonts w:ascii="Cambria Math" w:hAnsi="Cambria Math"/>
                        </w:rPr>
                        <m:t>V</m:t>
                      </m:r>
                    </m:e>
                    <m:sub>
                      <m:r>
                        <w:rPr>
                          <w:rFonts w:ascii="Cambria Math" w:hAnsi="Cambria Math"/>
                        </w:rPr>
                        <m:t>RECP</m:t>
                      </m:r>
                    </m:sub>
                  </m:sSub>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PHE</m:t>
                  </m:r>
                  <m:sSub>
                    <m:sSubPr>
                      <m:ctrlPr>
                        <w:rPr>
                          <w:rFonts w:ascii="Cambria Math" w:hAnsi="Cambria Math"/>
                          <w:i/>
                        </w:rPr>
                      </m:ctrlPr>
                    </m:sSubPr>
                    <m:e>
                      <m:r>
                        <w:rPr>
                          <w:rFonts w:ascii="Cambria Math" w:hAnsi="Cambria Math"/>
                        </w:rPr>
                        <m:t>V</m:t>
                      </m:r>
                    </m:e>
                    <m:sub>
                      <m:r>
                        <w:rPr>
                          <w:rFonts w:ascii="Cambria Math" w:hAnsi="Cambria Math"/>
                        </w:rPr>
                        <m:t>EMFAC</m:t>
                      </m:r>
                    </m:sub>
                  </m:sSub>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PHEV</m:t>
                      </m:r>
                    </m:e>
                    <m:sub>
                      <m:r>
                        <w:rPr>
                          <w:rFonts w:ascii="Cambria Math" w:hAnsi="Cambria Math"/>
                        </w:rPr>
                        <m:t>SANDAG</m:t>
                      </m:r>
                    </m:sub>
                  </m:sSub>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PHEV</m:t>
                      </m:r>
                    </m:e>
                    <m:sub>
                      <m:r>
                        <w:rPr>
                          <w:rFonts w:ascii="Cambria Math" w:hAnsi="Cambria Math"/>
                        </w:rPr>
                        <m:t>VIP</m:t>
                      </m:r>
                    </m:sub>
                  </m:sSub>
                </m:sub>
              </m:sSub>
              <m:r>
                <w:rPr>
                  <w:rFonts w:ascii="Cambria Math" w:hAnsi="Cambria Math"/>
                </w:rPr>
                <m:t>#(Equation 4)</m:t>
              </m:r>
            </m:e>
          </m:eqArr>
          <m:r>
            <w:rPr>
              <w:rFonts w:ascii="Cambria Math" w:hAnsi="Cambria Math"/>
            </w:rPr>
            <m:t xml:space="preserve"> </m:t>
          </m:r>
        </m:oMath>
      </m:oMathPara>
    </w:p>
    <w:p w14:paraId="0772F233" w14:textId="6EAE6BC5" w:rsidR="00C82C16" w:rsidRDefault="00974DC2" w:rsidP="00F33E30">
      <w:pPr>
        <w:pStyle w:val="BodyText"/>
      </w:pPr>
      <w:r>
        <w:t>Where:</w:t>
      </w:r>
    </w:p>
    <w:p w14:paraId="34694F7D" w14:textId="325C06BF" w:rsidR="00974DC2" w:rsidRDefault="00974DC2" w:rsidP="00974DC2">
      <w:pPr>
        <w:pStyle w:val="BodyText"/>
        <w:ind w:firstLine="720"/>
      </w:pPr>
      <w:r>
        <w:t>E</w:t>
      </w:r>
      <w:r w:rsidRPr="00974DC2">
        <w:rPr>
          <w:vertAlign w:val="subscript"/>
        </w:rPr>
        <w:t>PHEV</w:t>
      </w:r>
      <w:r>
        <w:rPr>
          <w:vertAlign w:val="subscript"/>
        </w:rPr>
        <w:t>_</w:t>
      </w:r>
      <w:r w:rsidRPr="00974DC2">
        <w:rPr>
          <w:vertAlign w:val="subscript"/>
        </w:rPr>
        <w:t>R</w:t>
      </w:r>
      <w:r w:rsidR="00DB7451">
        <w:rPr>
          <w:vertAlign w:val="subscript"/>
        </w:rPr>
        <w:t>ECP</w:t>
      </w:r>
      <w:r>
        <w:t xml:space="preserve"> = Emissions reductions associated with PHEVs under the RECP (MT </w:t>
      </w:r>
      <w:r w:rsidR="001732C1">
        <w:t>CO</w:t>
      </w:r>
      <w:r w:rsidR="001732C1" w:rsidRPr="001732C1">
        <w:rPr>
          <w:vertAlign w:val="subscript"/>
        </w:rPr>
        <w:t>2</w:t>
      </w:r>
      <w:r w:rsidRPr="007962CE">
        <w:t>)</w:t>
      </w:r>
    </w:p>
    <w:p w14:paraId="73659873" w14:textId="159D2FD0" w:rsidR="00974DC2" w:rsidRPr="00974DC2" w:rsidRDefault="00974DC2" w:rsidP="00903FE1">
      <w:pPr>
        <w:pStyle w:val="BodyText"/>
        <w:ind w:left="1890" w:hanging="1170"/>
      </w:pPr>
      <w:r>
        <w:t>E</w:t>
      </w:r>
      <w:r w:rsidRPr="00974DC2">
        <w:rPr>
          <w:vertAlign w:val="subscript"/>
        </w:rPr>
        <w:t>PHEV</w:t>
      </w:r>
      <w:r>
        <w:rPr>
          <w:vertAlign w:val="subscript"/>
        </w:rPr>
        <w:t>_</w:t>
      </w:r>
      <w:r w:rsidRPr="00974DC2">
        <w:rPr>
          <w:vertAlign w:val="subscript"/>
        </w:rPr>
        <w:t>EMFAC</w:t>
      </w:r>
      <w:r>
        <w:t xml:space="preserve"> = Emissions from PHEVs </w:t>
      </w:r>
      <w:r w:rsidR="0083002B">
        <w:t xml:space="preserve">and Gasoline LDVs </w:t>
      </w:r>
      <w:r>
        <w:t xml:space="preserve">as forecasted in </w:t>
      </w:r>
      <w:r w:rsidR="008311A2">
        <w:t>EMFAC2017</w:t>
      </w:r>
      <w:r>
        <w:t xml:space="preserve"> (MT </w:t>
      </w:r>
      <w:r w:rsidR="001732C1">
        <w:t>CO</w:t>
      </w:r>
      <w:r w:rsidR="001732C1" w:rsidRPr="001732C1">
        <w:rPr>
          <w:vertAlign w:val="subscript"/>
        </w:rPr>
        <w:t>2</w:t>
      </w:r>
      <w:r>
        <w:t>)</w:t>
      </w:r>
    </w:p>
    <w:p w14:paraId="5F8A4CB8" w14:textId="26536DDD" w:rsidR="00974DC2" w:rsidRDefault="00974DC2" w:rsidP="00974DC2">
      <w:pPr>
        <w:pStyle w:val="BodyText"/>
        <w:ind w:firstLine="720"/>
      </w:pPr>
      <w:r>
        <w:t>E</w:t>
      </w:r>
      <w:r w:rsidRPr="00974DC2">
        <w:rPr>
          <w:vertAlign w:val="subscript"/>
        </w:rPr>
        <w:t>PHEV_</w:t>
      </w:r>
      <w:r w:rsidR="00251F1E">
        <w:rPr>
          <w:vertAlign w:val="subscript"/>
        </w:rPr>
        <w:t>SANDAG</w:t>
      </w:r>
      <w:r w:rsidRPr="00974DC2">
        <w:t xml:space="preserve"> = </w:t>
      </w:r>
      <w:r>
        <w:t>Emissions from PHEVs that would occur under the RECP</w:t>
      </w:r>
      <w:r w:rsidR="00251F1E">
        <w:t xml:space="preserve"> and </w:t>
      </w:r>
      <w:r w:rsidR="00196062">
        <w:t>VIP</w:t>
      </w:r>
      <w:r>
        <w:t xml:space="preserve"> (MT </w:t>
      </w:r>
      <w:r w:rsidR="001732C1">
        <w:t>CO</w:t>
      </w:r>
      <w:r w:rsidR="001732C1" w:rsidRPr="001732C1">
        <w:rPr>
          <w:vertAlign w:val="subscript"/>
        </w:rPr>
        <w:t>2</w:t>
      </w:r>
      <w:r>
        <w:t>)</w:t>
      </w:r>
    </w:p>
    <w:p w14:paraId="01B0BFCA" w14:textId="743AE4A2" w:rsidR="00251F1E" w:rsidRDefault="00251F1E" w:rsidP="00251F1E">
      <w:pPr>
        <w:pStyle w:val="BodyText"/>
        <w:ind w:firstLine="720"/>
      </w:pPr>
      <w:r>
        <w:t>E</w:t>
      </w:r>
      <w:r w:rsidRPr="00974DC2">
        <w:rPr>
          <w:vertAlign w:val="subscript"/>
        </w:rPr>
        <w:t>PHEV_</w:t>
      </w:r>
      <w:r w:rsidR="00196062">
        <w:rPr>
          <w:vertAlign w:val="subscript"/>
        </w:rPr>
        <w:t>VIP</w:t>
      </w:r>
      <w:r w:rsidRPr="00974DC2">
        <w:t xml:space="preserve"> = </w:t>
      </w:r>
      <w:r>
        <w:t xml:space="preserve">Emissions reductions from PHEVs that would occur under the </w:t>
      </w:r>
      <w:r w:rsidR="00196062">
        <w:t>VIP</w:t>
      </w:r>
      <w:r>
        <w:t xml:space="preserve"> only (MT </w:t>
      </w:r>
      <w:r w:rsidR="001732C1">
        <w:t>CO</w:t>
      </w:r>
      <w:r w:rsidR="001732C1" w:rsidRPr="001732C1">
        <w:rPr>
          <w:vertAlign w:val="subscript"/>
        </w:rPr>
        <w:t>2</w:t>
      </w:r>
      <w:r>
        <w:t>)</w:t>
      </w:r>
    </w:p>
    <w:p w14:paraId="452A893C" w14:textId="3D35A38D" w:rsidR="007E13D7" w:rsidRDefault="00664B84" w:rsidP="007E13D7">
      <w:pPr>
        <w:pStyle w:val="BodyText"/>
      </w:pPr>
      <w:r>
        <w:t xml:space="preserve">The overall PHEV daily VMT, regardless of fuel types, is assumed to be equal for both </w:t>
      </w:r>
      <w:r w:rsidR="0083002B">
        <w:t>E</w:t>
      </w:r>
      <w:r w:rsidR="0083002B" w:rsidRPr="00974DC2">
        <w:rPr>
          <w:vertAlign w:val="subscript"/>
        </w:rPr>
        <w:t>PHEV</w:t>
      </w:r>
      <w:r w:rsidR="0083002B">
        <w:rPr>
          <w:vertAlign w:val="subscript"/>
        </w:rPr>
        <w:t>_</w:t>
      </w:r>
      <w:r w:rsidR="0083002B" w:rsidRPr="00974DC2">
        <w:rPr>
          <w:vertAlign w:val="subscript"/>
        </w:rPr>
        <w:t>EMFAC</w:t>
      </w:r>
      <w:r w:rsidR="0083002B">
        <w:rPr>
          <w:vertAlign w:val="subscript"/>
        </w:rPr>
        <w:t xml:space="preserve"> </w:t>
      </w:r>
      <w:r>
        <w:t>and E</w:t>
      </w:r>
      <w:r w:rsidRPr="00664B84">
        <w:rPr>
          <w:vertAlign w:val="subscript"/>
        </w:rPr>
        <w:t>PHEV_</w:t>
      </w:r>
      <w:r w:rsidR="00251F1E">
        <w:rPr>
          <w:vertAlign w:val="subscript"/>
        </w:rPr>
        <w:t>SANDAG</w:t>
      </w:r>
      <w:r w:rsidR="00F47B4E">
        <w:rPr>
          <w:vertAlign w:val="subscript"/>
        </w:rPr>
        <w:t xml:space="preserve"> </w:t>
      </w:r>
      <w:r w:rsidR="00F47B4E">
        <w:t xml:space="preserve">(See </w:t>
      </w:r>
      <w:r w:rsidR="00B904F2">
        <w:t xml:space="preserve">Figure </w:t>
      </w:r>
      <w:r w:rsidR="00A07E15">
        <w:t>3</w:t>
      </w:r>
      <w:r w:rsidR="00F47B4E">
        <w:t>)</w:t>
      </w:r>
      <w:r>
        <w:rPr>
          <w:vertAlign w:val="subscript"/>
        </w:rPr>
        <w:t xml:space="preserve">. </w:t>
      </w:r>
      <w:r w:rsidR="004F4635" w:rsidRPr="004F4635">
        <w:t>E</w:t>
      </w:r>
      <w:r w:rsidR="004F4635">
        <w:rPr>
          <w:vertAlign w:val="subscript"/>
        </w:rPr>
        <w:t>PHEV_</w:t>
      </w:r>
      <w:r w:rsidR="00196062">
        <w:rPr>
          <w:vertAlign w:val="subscript"/>
        </w:rPr>
        <w:t>VIP</w:t>
      </w:r>
      <w:r w:rsidR="004F4635">
        <w:rPr>
          <w:vertAlign w:val="subscript"/>
        </w:rPr>
        <w:t xml:space="preserve"> </w:t>
      </w:r>
      <w:r w:rsidR="004F4635">
        <w:t xml:space="preserve">is calculated in Equation </w:t>
      </w:r>
      <w:r w:rsidR="001B03B4">
        <w:t>10</w:t>
      </w:r>
      <w:r w:rsidR="004F4635">
        <w:t xml:space="preserve">. </w:t>
      </w:r>
      <w:r>
        <w:t>The PHEV</w:t>
      </w:r>
      <w:r w:rsidR="004F4635">
        <w:t>-related</w:t>
      </w:r>
      <w:r>
        <w:t xml:space="preserve"> VMT</w:t>
      </w:r>
      <w:r w:rsidR="004F4635">
        <w:t xml:space="preserve"> (VMT</w:t>
      </w:r>
      <w:r w:rsidR="004F4635">
        <w:rPr>
          <w:vertAlign w:val="subscript"/>
        </w:rPr>
        <w:t>PHEV_SANDAG</w:t>
      </w:r>
      <w:r w:rsidR="004F4635">
        <w:t>)</w:t>
      </w:r>
      <w:r>
        <w:t xml:space="preserve"> </w:t>
      </w:r>
      <w:r w:rsidR="00251F1E">
        <w:t xml:space="preserve">under both </w:t>
      </w:r>
      <w:r w:rsidR="004F4635">
        <w:t xml:space="preserve">programs </w:t>
      </w:r>
      <w:r>
        <w:t xml:space="preserve">is assumed to be equal to the product of </w:t>
      </w:r>
      <w:r w:rsidR="00486046">
        <w:t xml:space="preserve">1) </w:t>
      </w:r>
      <w:r w:rsidR="004F4635">
        <w:t xml:space="preserve">the total number of PHEVs anticipated under the </w:t>
      </w:r>
      <w:r w:rsidR="00196062">
        <w:t>VIP</w:t>
      </w:r>
      <w:r w:rsidR="004F4635">
        <w:t xml:space="preserve"> </w:t>
      </w:r>
      <w:r>
        <w:t xml:space="preserve">and </w:t>
      </w:r>
      <w:r w:rsidR="00486046">
        <w:t>2)</w:t>
      </w:r>
      <w:r w:rsidR="004F4635">
        <w:t xml:space="preserve"> average daily VMT per gasoline LDV assumed in </w:t>
      </w:r>
      <w:r w:rsidR="008311A2">
        <w:t>EMFAC2017</w:t>
      </w:r>
      <w:r w:rsidR="00486046">
        <w:t>.</w:t>
      </w:r>
      <w:r>
        <w:t xml:space="preserve"> </w:t>
      </w:r>
      <w:r w:rsidR="008D0D76">
        <w:t>The</w:t>
      </w:r>
      <w:r>
        <w:t xml:space="preserve"> PHEV</w:t>
      </w:r>
      <w:r w:rsidR="007F5997">
        <w:t xml:space="preserve"> population</w:t>
      </w:r>
      <w:r>
        <w:t xml:space="preserve"> target under the </w:t>
      </w:r>
      <w:r w:rsidR="00196062">
        <w:t>VIP</w:t>
      </w:r>
      <w:r>
        <w:t xml:space="preserve"> </w:t>
      </w:r>
      <w:r w:rsidR="008D0D76">
        <w:t>needs to be</w:t>
      </w:r>
      <w:r>
        <w:t xml:space="preserve"> </w:t>
      </w:r>
      <w:r w:rsidR="00A815DA">
        <w:t>greater than or equal to</w:t>
      </w:r>
      <w:r>
        <w:t xml:space="preserve"> EMFAC forecasts</w:t>
      </w:r>
      <w:r w:rsidR="00DF1A1F">
        <w:t xml:space="preserve"> </w:t>
      </w:r>
      <w:r w:rsidR="008D0D76">
        <w:t xml:space="preserve">to achieve </w:t>
      </w:r>
      <w:r w:rsidR="001027E0">
        <w:t xml:space="preserve">applicable </w:t>
      </w:r>
      <w:r w:rsidR="008D0D76">
        <w:t>reductions</w:t>
      </w:r>
      <w:r>
        <w:t xml:space="preserve">. </w:t>
      </w:r>
      <w:r w:rsidR="00C719AC">
        <w:t>T</w:t>
      </w:r>
      <w:r w:rsidR="00F47B4E">
        <w:t xml:space="preserve">he </w:t>
      </w:r>
      <w:r w:rsidR="00196062">
        <w:t>VIP</w:t>
      </w:r>
      <w:r w:rsidR="00F47B4E">
        <w:t xml:space="preserve"> </w:t>
      </w:r>
      <w:r w:rsidR="001732C1">
        <w:t>CO</w:t>
      </w:r>
      <w:r w:rsidR="001732C1" w:rsidRPr="001732C1">
        <w:rPr>
          <w:vertAlign w:val="subscript"/>
        </w:rPr>
        <w:t>2</w:t>
      </w:r>
      <w:r w:rsidR="00F47B4E">
        <w:t xml:space="preserve"> reductions from PHEVs are subtracted from the total in Equation 4 </w:t>
      </w:r>
      <w:r w:rsidR="00486046">
        <w:t xml:space="preserve">to avoid double counting. </w:t>
      </w:r>
    </w:p>
    <w:p w14:paraId="0BDF9658" w14:textId="123F933C" w:rsidR="007E13D7" w:rsidRDefault="007E13D7" w:rsidP="007E13D7">
      <w:pPr>
        <w:pStyle w:val="BodyText"/>
        <w:jc w:val="center"/>
      </w:pPr>
      <w:r w:rsidRPr="007E13D7">
        <w:rPr>
          <w:noProof/>
        </w:rPr>
        <w:drawing>
          <wp:inline distT="0" distB="0" distL="0" distR="0" wp14:anchorId="06DAD45A" wp14:editId="73F828BB">
            <wp:extent cx="5001260" cy="313309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1260" cy="3133090"/>
                    </a:xfrm>
                    <a:prstGeom prst="rect">
                      <a:avLst/>
                    </a:prstGeom>
                    <a:noFill/>
                    <a:ln>
                      <a:noFill/>
                    </a:ln>
                  </pic:spPr>
                </pic:pic>
              </a:graphicData>
            </a:graphic>
          </wp:inline>
        </w:drawing>
      </w:r>
    </w:p>
    <w:p w14:paraId="1B9775C1" w14:textId="3D5EBA73" w:rsidR="007E13D7" w:rsidRDefault="007E13D7" w:rsidP="007E13D7">
      <w:pPr>
        <w:pStyle w:val="ExhibitSource"/>
      </w:pPr>
      <w:r>
        <w:t>(For demonstration purposes only. Relative values are subject to EV Off-Model calculator inputs</w:t>
      </w:r>
      <w:r w:rsidR="00C514A9">
        <w:t xml:space="preserve"> and assumptions</w:t>
      </w:r>
      <w:r>
        <w:t>.)</w:t>
      </w:r>
    </w:p>
    <w:p w14:paraId="1C8D210B" w14:textId="04B3CAAE" w:rsidR="007E13D7" w:rsidRDefault="00B904F2" w:rsidP="007E13D7">
      <w:pPr>
        <w:pStyle w:val="ExhibitTitle"/>
        <w:tabs>
          <w:tab w:val="left" w:pos="1620"/>
        </w:tabs>
      </w:pPr>
      <w:r>
        <w:t xml:space="preserve">Figure </w:t>
      </w:r>
      <w:r w:rsidR="00A07E15">
        <w:t>3</w:t>
      </w:r>
      <w:r w:rsidR="007E13D7">
        <w:tab/>
        <w:t xml:space="preserve">Comparison of </w:t>
      </w:r>
      <w:r w:rsidR="00ED3212">
        <w:t xml:space="preserve">PHEV </w:t>
      </w:r>
      <w:r w:rsidR="007E13D7">
        <w:t xml:space="preserve">VMT by Fuel Type between </w:t>
      </w:r>
      <w:r w:rsidR="00BE302F">
        <w:t>SANDAG EV Programs</w:t>
      </w:r>
      <w:r w:rsidR="007E13D7">
        <w:t xml:space="preserve"> and </w:t>
      </w:r>
      <w:r w:rsidR="008311A2">
        <w:t>EMFAC2017</w:t>
      </w:r>
      <w:r w:rsidR="007E13D7">
        <w:t xml:space="preserve"> Defaults</w:t>
      </w:r>
      <w:r w:rsidR="007E13D7">
        <w:tab/>
      </w:r>
    </w:p>
    <w:p w14:paraId="59903856" w14:textId="77777777" w:rsidR="00E269C2" w:rsidRDefault="00E269C2" w:rsidP="007E13D7">
      <w:pPr>
        <w:pStyle w:val="ExhibitTitle"/>
        <w:tabs>
          <w:tab w:val="left" w:pos="1620"/>
        </w:tabs>
      </w:pPr>
    </w:p>
    <w:p w14:paraId="69AA1919" w14:textId="459952F1" w:rsidR="00A516CC" w:rsidRDefault="00B51B1A" w:rsidP="007E13D7">
      <w:pPr>
        <w:pStyle w:val="BodyText"/>
      </w:pPr>
      <w:r>
        <w:lastRenderedPageBreak/>
        <w:t xml:space="preserve">Each bar in </w:t>
      </w:r>
      <w:r w:rsidR="00B904F2">
        <w:t xml:space="preserve">Figure </w:t>
      </w:r>
      <w:r w:rsidR="00A07E15">
        <w:t>3</w:t>
      </w:r>
      <w:r>
        <w:t xml:space="preserve"> adds up to daily</w:t>
      </w:r>
      <w:r w:rsidR="007E13D7">
        <w:t xml:space="preserve"> PHEV VMT anticipated under </w:t>
      </w:r>
      <w:r w:rsidR="009D7D18">
        <w:t xml:space="preserve">both the RECP and </w:t>
      </w:r>
      <w:r w:rsidR="00196062">
        <w:t>VIP</w:t>
      </w:r>
      <w:r w:rsidR="007E13D7">
        <w:t xml:space="preserve">. </w:t>
      </w:r>
      <w:r w:rsidR="002F5A6D">
        <w:t>It is assumed that any PHEV VMT beyond EMFAC’s PHEV VMT forecasts would offset gasoline LDV VMT</w:t>
      </w:r>
      <w:r w:rsidR="00A516CC">
        <w:t>, as shown in the light gray bar in Figure 3</w:t>
      </w:r>
      <w:r w:rsidR="002F5A6D">
        <w:t xml:space="preserve">. </w:t>
      </w:r>
      <w:r w:rsidR="00A516CC">
        <w:t xml:space="preserve">Applying the default EMFAC gasoline LDV emission factors to the difference in PHEV VMT results in the </w:t>
      </w:r>
      <w:r w:rsidR="00486046">
        <w:t xml:space="preserve">emissions reductions </w:t>
      </w:r>
      <w:r w:rsidR="007E13D7">
        <w:t xml:space="preserve">associated with </w:t>
      </w:r>
      <w:r w:rsidR="009D7D18">
        <w:t xml:space="preserve">both SANDAG </w:t>
      </w:r>
      <w:r w:rsidR="00A516CC">
        <w:t xml:space="preserve">programs. </w:t>
      </w:r>
    </w:p>
    <w:p w14:paraId="13FBBEA6" w14:textId="500EB60C" w:rsidR="007E13D7" w:rsidRDefault="00486046" w:rsidP="007E13D7">
      <w:pPr>
        <w:pStyle w:val="BodyText"/>
      </w:pPr>
      <w:r>
        <w:t>Equation 5 describes how E</w:t>
      </w:r>
      <w:r w:rsidRPr="00486046">
        <w:rPr>
          <w:vertAlign w:val="subscript"/>
        </w:rPr>
        <w:t>PHEV_EMFAC</w:t>
      </w:r>
      <w:r>
        <w:t xml:space="preserve"> is calculated.</w:t>
      </w:r>
    </w:p>
    <w:p w14:paraId="36D7D294" w14:textId="4BA23A7D" w:rsidR="00E44873" w:rsidRDefault="00196062" w:rsidP="00F33E30">
      <w:pPr>
        <w:pStyle w:val="BodyText"/>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PHE</m:t>
                  </m:r>
                  <m:sSub>
                    <m:sSubPr>
                      <m:ctrlPr>
                        <w:rPr>
                          <w:rFonts w:ascii="Cambria Math" w:hAnsi="Cambria Math"/>
                          <w:i/>
                        </w:rPr>
                      </m:ctrlPr>
                    </m:sSubPr>
                    <m:e>
                      <m:r>
                        <w:rPr>
                          <w:rFonts w:ascii="Cambria Math" w:hAnsi="Cambria Math"/>
                        </w:rPr>
                        <m:t>V</m:t>
                      </m:r>
                    </m:e>
                    <m:sub>
                      <m:r>
                        <w:rPr>
                          <w:rFonts w:ascii="Cambria Math" w:hAnsi="Cambria Math"/>
                        </w:rPr>
                        <m:t>EMFAC</m:t>
                      </m:r>
                    </m:sub>
                  </m:sSub>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VMT</m:t>
                          </m:r>
                        </m:e>
                        <m:sub>
                          <m:sSub>
                            <m:sSubPr>
                              <m:ctrlPr>
                                <w:rPr>
                                  <w:rFonts w:ascii="Cambria Math" w:hAnsi="Cambria Math"/>
                                  <w:i/>
                                </w:rPr>
                              </m:ctrlPr>
                            </m:sSubPr>
                            <m:e>
                              <m:r>
                                <w:rPr>
                                  <w:rFonts w:ascii="Cambria Math" w:hAnsi="Cambria Math"/>
                                </w:rPr>
                                <m:t>PHEV</m:t>
                              </m:r>
                            </m:e>
                            <m:sub>
                              <m:r>
                                <w:rPr>
                                  <w:rFonts w:ascii="Cambria Math" w:hAnsi="Cambria Math"/>
                                </w:rPr>
                                <m:t>VIP</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m:t>
                              </m:r>
                            </m:e>
                            <m:sub>
                              <m:sSub>
                                <m:sSubPr>
                                  <m:ctrlPr>
                                    <w:rPr>
                                      <w:rFonts w:ascii="Cambria Math" w:hAnsi="Cambria Math"/>
                                      <w:i/>
                                    </w:rPr>
                                  </m:ctrlPr>
                                </m:sSubPr>
                                <m:e>
                                  <m:r>
                                    <w:rPr>
                                      <w:rFonts w:ascii="Cambria Math" w:hAnsi="Cambria Math"/>
                                    </w:rPr>
                                    <m:t>PHEV</m:t>
                                  </m:r>
                                </m:e>
                                <m:sub>
                                  <m:r>
                                    <w:rPr>
                                      <w:rFonts w:ascii="Cambria Math" w:hAnsi="Cambria Math"/>
                                    </w:rPr>
                                    <m:t>EMFAC</m:t>
                                  </m:r>
                                </m:sub>
                              </m:sSub>
                            </m:sub>
                          </m:sSub>
                          <m:r>
                            <w:rPr>
                              <w:rFonts w:ascii="Cambria Math" w:hAnsi="Cambria Math"/>
                            </w:rPr>
                            <m:t>*</m:t>
                          </m:r>
                          <m:sSub>
                            <m:sSubPr>
                              <m:ctrlPr>
                                <w:rPr>
                                  <w:rFonts w:ascii="Cambria Math" w:hAnsi="Cambria Math"/>
                                  <w:i/>
                                </w:rPr>
                              </m:ctrlPr>
                            </m:sSubPr>
                            <m:e>
                              <m:r>
                                <w:rPr>
                                  <w:rFonts w:ascii="Cambria Math" w:hAnsi="Cambria Math"/>
                                </w:rPr>
                                <m:t>UF</m:t>
                              </m:r>
                            </m:e>
                            <m:sub>
                              <m:r>
                                <w:rPr>
                                  <w:rFonts w:ascii="Cambria Math" w:hAnsi="Cambria Math"/>
                                </w:rPr>
                                <m:t>EMFAC</m:t>
                              </m:r>
                            </m:sub>
                          </m:sSub>
                        </m:e>
                      </m:d>
                    </m:e>
                  </m:d>
                  <m:r>
                    <w:rPr>
                      <w:rFonts w:ascii="Cambria Math" w:hAnsi="Cambria Math"/>
                    </w:rPr>
                    <m:t>*</m:t>
                  </m:r>
                  <m:sSub>
                    <m:sSubPr>
                      <m:ctrlPr>
                        <w:rPr>
                          <w:rFonts w:ascii="Cambria Math" w:hAnsi="Cambria Math"/>
                          <w:i/>
                        </w:rPr>
                      </m:ctrlPr>
                    </m:sSubPr>
                    <m:e>
                      <m:r>
                        <w:rPr>
                          <w:rFonts w:ascii="Cambria Math" w:hAnsi="Cambria Math"/>
                        </w:rPr>
                        <m:t>EF</m:t>
                      </m:r>
                    </m:e>
                    <m:sub>
                      <m:r>
                        <w:rPr>
                          <w:rFonts w:ascii="Cambria Math" w:hAnsi="Cambria Math"/>
                        </w:rPr>
                        <m:t>Gas</m:t>
                      </m:r>
                    </m:sub>
                  </m:sSub>
                  <m:r>
                    <w:rPr>
                      <w:rFonts w:ascii="Cambria Math" w:hAnsi="Cambria Math"/>
                    </w:rPr>
                    <m:t>+</m:t>
                  </m:r>
                  <m:sSub>
                    <m:sSubPr>
                      <m:ctrlPr>
                        <w:rPr>
                          <w:rFonts w:ascii="Cambria Math" w:hAnsi="Cambria Math"/>
                          <w:i/>
                        </w:rPr>
                      </m:ctrlPr>
                    </m:sSubPr>
                    <m:e>
                      <m:r>
                        <w:rPr>
                          <w:rFonts w:ascii="Cambria Math" w:hAnsi="Cambria Math"/>
                        </w:rPr>
                        <m:t>VMT</m:t>
                      </m:r>
                    </m:e>
                    <m:sub>
                      <m:sSub>
                        <m:sSubPr>
                          <m:ctrlPr>
                            <w:rPr>
                              <w:rFonts w:ascii="Cambria Math" w:hAnsi="Cambria Math"/>
                              <w:i/>
                            </w:rPr>
                          </m:ctrlPr>
                        </m:sSubPr>
                        <m:e>
                          <m:r>
                            <w:rPr>
                              <w:rFonts w:ascii="Cambria Math" w:hAnsi="Cambria Math"/>
                            </w:rPr>
                            <m:t>PHEV</m:t>
                          </m:r>
                        </m:e>
                        <m:sub>
                          <m:r>
                            <w:rPr>
                              <w:rFonts w:ascii="Cambria Math" w:hAnsi="Cambria Math"/>
                            </w:rPr>
                            <m:t>EMFAC</m:t>
                          </m:r>
                        </m:sub>
                      </m:sSub>
                    </m:sub>
                  </m:sSub>
                  <m:r>
                    <w:rPr>
                      <w:rFonts w:ascii="Cambria Math" w:hAnsi="Cambria Math"/>
                    </w:rPr>
                    <m:t>*</m:t>
                  </m:r>
                  <m:sSub>
                    <m:sSubPr>
                      <m:ctrlPr>
                        <w:rPr>
                          <w:rFonts w:ascii="Cambria Math" w:hAnsi="Cambria Math"/>
                          <w:i/>
                        </w:rPr>
                      </m:ctrlPr>
                    </m:sSubPr>
                    <m:e>
                      <m:r>
                        <w:rPr>
                          <w:rFonts w:ascii="Cambria Math" w:hAnsi="Cambria Math"/>
                        </w:rPr>
                        <m:t>UF</m:t>
                      </m:r>
                    </m:e>
                    <m:sub>
                      <m:r>
                        <w:rPr>
                          <w:rFonts w:ascii="Cambria Math" w:hAnsi="Cambria Math"/>
                        </w:rPr>
                        <m:t>EMFAC</m:t>
                      </m:r>
                    </m:sub>
                  </m:sSub>
                  <m:r>
                    <w:rPr>
                      <w:rFonts w:ascii="Cambria Math" w:hAnsi="Cambria Math"/>
                    </w:rPr>
                    <m:t>*</m:t>
                  </m:r>
                  <m:sSub>
                    <m:sSubPr>
                      <m:ctrlPr>
                        <w:rPr>
                          <w:rFonts w:ascii="Cambria Math" w:hAnsi="Cambria Math"/>
                          <w:i/>
                        </w:rPr>
                      </m:ctrlPr>
                    </m:sSubPr>
                    <m:e>
                      <m:r>
                        <w:rPr>
                          <w:rFonts w:ascii="Cambria Math" w:hAnsi="Cambria Math"/>
                        </w:rPr>
                        <m:t>EF</m:t>
                      </m:r>
                    </m:e>
                    <m:sub>
                      <m:r>
                        <w:rPr>
                          <w:rFonts w:ascii="Cambria Math" w:hAnsi="Cambria Math"/>
                        </w:rPr>
                        <m:t>EV</m:t>
                      </m:r>
                    </m:sub>
                  </m:sSub>
                </m:num>
                <m:den>
                  <m:sSup>
                    <m:sSupPr>
                      <m:ctrlPr>
                        <w:rPr>
                          <w:rFonts w:ascii="Cambria Math" w:hAnsi="Cambria Math"/>
                          <w:i/>
                        </w:rPr>
                      </m:ctrlPr>
                    </m:sSupPr>
                    <m:e>
                      <m:r>
                        <w:rPr>
                          <w:rFonts w:ascii="Cambria Math" w:hAnsi="Cambria Math"/>
                        </w:rPr>
                        <m:t>10</m:t>
                      </m:r>
                    </m:e>
                    <m:sup>
                      <m:r>
                        <w:rPr>
                          <w:rFonts w:ascii="Cambria Math" w:hAnsi="Cambria Math"/>
                        </w:rPr>
                        <m:t>6</m:t>
                      </m:r>
                    </m:sup>
                  </m:sSup>
                  <m:f>
                    <m:fPr>
                      <m:ctrlPr>
                        <w:rPr>
                          <w:rFonts w:ascii="Cambria Math" w:hAnsi="Cambria Math"/>
                          <w:i/>
                        </w:rPr>
                      </m:ctrlPr>
                    </m:fPr>
                    <m:num>
                      <m:r>
                        <w:rPr>
                          <w:rFonts w:ascii="Cambria Math" w:hAnsi="Cambria Math"/>
                        </w:rPr>
                        <m:t>g</m:t>
                      </m:r>
                    </m:num>
                    <m:den>
                      <m:r>
                        <w:rPr>
                          <w:rFonts w:ascii="Cambria Math" w:hAnsi="Cambria Math"/>
                        </w:rPr>
                        <m:t>MT</m:t>
                      </m:r>
                    </m:den>
                  </m:f>
                </m:den>
              </m:f>
              <m:r>
                <w:rPr>
                  <w:rFonts w:ascii="Cambria Math" w:hAnsi="Cambria Math"/>
                </w:rPr>
                <m:t>#(Equation 5)</m:t>
              </m:r>
            </m:e>
          </m:eqArr>
        </m:oMath>
      </m:oMathPara>
    </w:p>
    <w:p w14:paraId="54FAA604" w14:textId="66364F9E" w:rsidR="009B4458" w:rsidRDefault="009232D4" w:rsidP="00F33E30">
      <w:pPr>
        <w:pStyle w:val="BodyText"/>
      </w:pPr>
      <w:r>
        <w:t>Where:</w:t>
      </w:r>
    </w:p>
    <w:p w14:paraId="7CD5F969" w14:textId="7DB4FC64" w:rsidR="009B4458" w:rsidRPr="00974DC2" w:rsidRDefault="009B4458" w:rsidP="00F121A3">
      <w:pPr>
        <w:pStyle w:val="BodyText"/>
        <w:ind w:left="1890" w:hanging="1170"/>
      </w:pPr>
      <w:r>
        <w:t>E</w:t>
      </w:r>
      <w:r w:rsidRPr="009B4458">
        <w:rPr>
          <w:vertAlign w:val="subscript"/>
        </w:rPr>
        <w:t>PHEV</w:t>
      </w:r>
      <w:r>
        <w:rPr>
          <w:vertAlign w:val="subscript"/>
        </w:rPr>
        <w:t>_</w:t>
      </w:r>
      <w:r w:rsidRPr="009B4458">
        <w:rPr>
          <w:vertAlign w:val="subscript"/>
        </w:rPr>
        <w:t>EMFAC</w:t>
      </w:r>
      <w:r>
        <w:t xml:space="preserve"> = Emissions from PHEVs and Gasoline LDVs as forecasted in </w:t>
      </w:r>
      <w:r w:rsidR="008311A2">
        <w:t>EMFAC2017</w:t>
      </w:r>
      <w:r>
        <w:t xml:space="preserve"> (MT </w:t>
      </w:r>
      <w:r w:rsidR="001732C1">
        <w:t>CO</w:t>
      </w:r>
      <w:r w:rsidR="001732C1" w:rsidRPr="001732C1">
        <w:rPr>
          <w:vertAlign w:val="subscript"/>
        </w:rPr>
        <w:t>2</w:t>
      </w:r>
      <w:r>
        <w:t>)</w:t>
      </w:r>
    </w:p>
    <w:p w14:paraId="51892EF1" w14:textId="34D0C573" w:rsidR="009B4458" w:rsidRDefault="009B4458" w:rsidP="009B4458">
      <w:pPr>
        <w:pStyle w:val="BodyText"/>
        <w:ind w:left="720"/>
      </w:pPr>
      <w:r>
        <w:t>VMT</w:t>
      </w:r>
      <w:r w:rsidRPr="009B4458">
        <w:rPr>
          <w:vertAlign w:val="subscript"/>
        </w:rPr>
        <w:t>PHEV_</w:t>
      </w:r>
      <w:r w:rsidR="00196062">
        <w:rPr>
          <w:vertAlign w:val="subscript"/>
        </w:rPr>
        <w:t>VIP</w:t>
      </w:r>
      <w:r>
        <w:rPr>
          <w:vertAlign w:val="subscript"/>
        </w:rPr>
        <w:t xml:space="preserve"> </w:t>
      </w:r>
      <w:r>
        <w:t xml:space="preserve">= Daily VMT associated with PHEVs under the </w:t>
      </w:r>
      <w:r w:rsidR="00196062">
        <w:t>VIP</w:t>
      </w:r>
      <w:r>
        <w:t xml:space="preserve"> (mi/day)</w:t>
      </w:r>
    </w:p>
    <w:p w14:paraId="6729A972" w14:textId="366A4CE9" w:rsidR="009B4458" w:rsidRDefault="009B4458" w:rsidP="009B4458">
      <w:pPr>
        <w:pStyle w:val="BodyText"/>
        <w:ind w:left="720"/>
      </w:pPr>
      <w:r>
        <w:t>VMT</w:t>
      </w:r>
      <w:r>
        <w:rPr>
          <w:vertAlign w:val="subscript"/>
        </w:rPr>
        <w:t xml:space="preserve">PHEV_EMFAC </w:t>
      </w:r>
      <w:r>
        <w:t xml:space="preserve">= Daily VMT associated with PHEVs under </w:t>
      </w:r>
      <w:r w:rsidR="008311A2">
        <w:t>EMFAC2017</w:t>
      </w:r>
      <w:r>
        <w:t xml:space="preserve"> (mi/day)</w:t>
      </w:r>
    </w:p>
    <w:p w14:paraId="649CB17E" w14:textId="27155F49" w:rsidR="00486046" w:rsidRPr="009B4458" w:rsidRDefault="009B4458" w:rsidP="009B4458">
      <w:pPr>
        <w:pStyle w:val="BodyText"/>
        <w:ind w:left="720"/>
      </w:pPr>
      <w:r>
        <w:t>UF</w:t>
      </w:r>
      <w:r>
        <w:rPr>
          <w:vertAlign w:val="subscript"/>
        </w:rPr>
        <w:t xml:space="preserve">EMFAC </w:t>
      </w:r>
      <w:r>
        <w:t xml:space="preserve">= Default PHEV Utility Factor assumed in </w:t>
      </w:r>
      <w:r w:rsidR="008311A2">
        <w:t>EMFAC2017</w:t>
      </w:r>
      <w:r>
        <w:t xml:space="preserve"> (%)</w:t>
      </w:r>
      <w:r w:rsidR="000267A2">
        <w:t xml:space="preserve">. </w:t>
      </w:r>
    </w:p>
    <w:p w14:paraId="276450B0" w14:textId="700AA476" w:rsidR="00A14F11" w:rsidRDefault="00A14F11" w:rsidP="00A14F11">
      <w:pPr>
        <w:pStyle w:val="BodyText"/>
        <w:ind w:left="1440" w:hanging="720"/>
      </w:pPr>
      <w:r>
        <w:t>EF</w:t>
      </w:r>
      <w:r w:rsidRPr="00AF66BC">
        <w:rPr>
          <w:vertAlign w:val="subscript"/>
        </w:rPr>
        <w:t>Gas</w:t>
      </w:r>
      <w:r>
        <w:t xml:space="preserve"> = Emissions factor per mile associated with gasoline LDVs in the SANDAG region, as modeled in </w:t>
      </w:r>
      <w:r w:rsidR="008311A2">
        <w:t>EMFAC2017</w:t>
      </w:r>
      <w:r>
        <w:t xml:space="preserve"> (g </w:t>
      </w:r>
      <w:r w:rsidR="001732C1">
        <w:t>CO</w:t>
      </w:r>
      <w:r w:rsidR="001732C1" w:rsidRPr="001732C1">
        <w:rPr>
          <w:vertAlign w:val="subscript"/>
        </w:rPr>
        <w:t>2</w:t>
      </w:r>
      <w:r>
        <w:t>/mi</w:t>
      </w:r>
      <w:r w:rsidRPr="007962CE">
        <w:t>)</w:t>
      </w:r>
      <w:r>
        <w:t xml:space="preserve">. Based on EMFAC vehicle categories LDA, LDT1, LDT2, and MDV. </w:t>
      </w:r>
    </w:p>
    <w:p w14:paraId="738A28E1" w14:textId="321101B3" w:rsidR="00A14F11" w:rsidRPr="00D91BA9" w:rsidRDefault="00A14F11" w:rsidP="00A14F11">
      <w:pPr>
        <w:pStyle w:val="BodyText"/>
        <w:ind w:left="1710" w:hanging="990"/>
      </w:pPr>
      <w:r>
        <w:t>EF</w:t>
      </w:r>
      <w:r w:rsidRPr="00A14F11">
        <w:rPr>
          <w:vertAlign w:val="subscript"/>
        </w:rPr>
        <w:t>EV</w:t>
      </w:r>
      <w:r w:rsidRPr="00A14F11">
        <w:t xml:space="preserve"> = </w:t>
      </w:r>
      <w:r>
        <w:t>FE</w:t>
      </w:r>
      <w:r>
        <w:rPr>
          <w:vertAlign w:val="subscript"/>
        </w:rPr>
        <w:t>EV</w:t>
      </w:r>
      <w:r>
        <w:t xml:space="preserve"> * EF</w:t>
      </w:r>
      <w:r>
        <w:rPr>
          <w:vertAlign w:val="subscript"/>
        </w:rPr>
        <w:t xml:space="preserve">E </w:t>
      </w:r>
      <w:r>
        <w:t xml:space="preserve">(g </w:t>
      </w:r>
      <w:r w:rsidR="001732C1">
        <w:t>CO</w:t>
      </w:r>
      <w:r w:rsidR="001732C1" w:rsidRPr="001732C1">
        <w:rPr>
          <w:vertAlign w:val="subscript"/>
        </w:rPr>
        <w:t>2</w:t>
      </w:r>
      <w:r>
        <w:t>/mi) (See Equation 2)</w:t>
      </w:r>
    </w:p>
    <w:p w14:paraId="344A7B26" w14:textId="2447724F" w:rsidR="00147D03" w:rsidRDefault="00617864" w:rsidP="00147D03">
      <w:pPr>
        <w:pStyle w:val="BodyText"/>
      </w:pPr>
      <w:r>
        <w:t>VMT</w:t>
      </w:r>
      <w:r w:rsidRPr="00617864">
        <w:rPr>
          <w:vertAlign w:val="subscript"/>
        </w:rPr>
        <w:t>PHEV_</w:t>
      </w:r>
      <w:r w:rsidR="00196062">
        <w:rPr>
          <w:vertAlign w:val="subscript"/>
        </w:rPr>
        <w:t>VIP</w:t>
      </w:r>
      <w:r>
        <w:t xml:space="preserve"> </w:t>
      </w:r>
      <w:r w:rsidR="004718D2">
        <w:t xml:space="preserve">is the product of </w:t>
      </w:r>
      <w:r>
        <w:t xml:space="preserve">the </w:t>
      </w:r>
      <w:r w:rsidR="004718D2">
        <w:t>total PHEV population</w:t>
      </w:r>
      <w:r>
        <w:t xml:space="preserve"> under </w:t>
      </w:r>
      <w:r w:rsidR="00196062">
        <w:t>VIP</w:t>
      </w:r>
      <w:r w:rsidR="004718D2">
        <w:t xml:space="preserve"> and the average daily miles per gasoline LDV, as modeled in </w:t>
      </w:r>
      <w:r w:rsidR="008311A2">
        <w:t>EMFAC2017</w:t>
      </w:r>
      <w:r>
        <w:t>. Because EMFAC’s user interface does not separate VMT by PEV type, VMT</w:t>
      </w:r>
      <w:r w:rsidRPr="00617864">
        <w:rPr>
          <w:vertAlign w:val="subscript"/>
        </w:rPr>
        <w:t>PHEV</w:t>
      </w:r>
      <w:r>
        <w:rPr>
          <w:vertAlign w:val="subscript"/>
        </w:rPr>
        <w:softHyphen/>
        <w:t>_</w:t>
      </w:r>
      <w:r w:rsidRPr="00617864">
        <w:rPr>
          <w:vertAlign w:val="subscript"/>
        </w:rPr>
        <w:t>EMFAC</w:t>
      </w:r>
      <w:r>
        <w:t xml:space="preserve"> is the product of </w:t>
      </w:r>
      <w:r w:rsidR="00147D03">
        <w:t xml:space="preserve">the PHEV population and </w:t>
      </w:r>
      <w:r>
        <w:t xml:space="preserve">the average </w:t>
      </w:r>
      <w:r w:rsidR="00147D03">
        <w:t xml:space="preserve">daily </w:t>
      </w:r>
      <w:r>
        <w:t xml:space="preserve">gasoline </w:t>
      </w:r>
      <w:r w:rsidR="00147D03">
        <w:t xml:space="preserve">VMT per LDV, as modeled in </w:t>
      </w:r>
      <w:r w:rsidR="008311A2">
        <w:t>EMFAC2017</w:t>
      </w:r>
      <w:r>
        <w:t xml:space="preserve">. </w:t>
      </w:r>
      <w:r w:rsidR="00064343">
        <w:t>As with BEVs,</w:t>
      </w:r>
      <w:r w:rsidR="00147D03">
        <w:t xml:space="preserve"> </w:t>
      </w:r>
      <w:r w:rsidR="008311A2">
        <w:t>EMFAC2017</w:t>
      </w:r>
      <w:r w:rsidR="00147D03">
        <w:t xml:space="preserve"> does not output vehicle populations by PEV</w:t>
      </w:r>
      <w:r w:rsidR="00064343">
        <w:t xml:space="preserve"> types. Thus, </w:t>
      </w:r>
      <w:r w:rsidR="00147D03">
        <w:t>the EMFAC PHEV population forecasts were</w:t>
      </w:r>
      <w:r w:rsidR="00064343">
        <w:t xml:space="preserve"> calculated</w:t>
      </w:r>
      <w:r w:rsidR="00147D03">
        <w:t xml:space="preserve"> based on 1) manufacturer ZEV sales requirements under the </w:t>
      </w:r>
      <w:r w:rsidR="004326EE">
        <w:t>S</w:t>
      </w:r>
      <w:r w:rsidR="00147D03">
        <w:t xml:space="preserve">tate’s ZEV mandate (see Table 1) and 2) 2016 PHEV populations assumed in </w:t>
      </w:r>
      <w:r w:rsidR="008311A2">
        <w:t>EMFAC2017</w:t>
      </w:r>
      <w:r w:rsidR="00147D03">
        <w:t>, which were requested directly from CARB (Long, pers. comm., 2018</w:t>
      </w:r>
      <w:r w:rsidR="00BA135A">
        <w:t>a</w:t>
      </w:r>
      <w:r w:rsidR="00147D03">
        <w:t>).</w:t>
      </w:r>
      <w:r w:rsidR="00064343">
        <w:t xml:space="preserve"> See Table 1 for EMFAC’s ZEV forecast assumptions.</w:t>
      </w:r>
      <w:r w:rsidR="00147D03">
        <w:t xml:space="preserve"> </w:t>
      </w:r>
    </w:p>
    <w:p w14:paraId="1CD42CDA" w14:textId="5D98F88C" w:rsidR="00C34670" w:rsidRDefault="00A62336" w:rsidP="00147D03">
      <w:pPr>
        <w:pStyle w:val="BodyText"/>
      </w:pPr>
      <w:r>
        <w:t>UF</w:t>
      </w:r>
      <w:r w:rsidRPr="00A62336">
        <w:rPr>
          <w:vertAlign w:val="subscript"/>
        </w:rPr>
        <w:t>EMFAC</w:t>
      </w:r>
      <w:r>
        <w:rPr>
          <w:vertAlign w:val="subscript"/>
        </w:rPr>
        <w:t xml:space="preserve"> </w:t>
      </w:r>
      <w:r>
        <w:t xml:space="preserve">was based on data obtained directed from CARB. CARB provided PHEV UF assumptions for each model year (MY) starting with MY 2018. Prior to MY 2018, EMFAC assumes all PHEVs have a UF of 40 percent, which was the assumption used in MTC’s EV off-model calculator. </w:t>
      </w:r>
      <w:r w:rsidR="00B81AC3">
        <w:t xml:space="preserve">For </w:t>
      </w:r>
      <w:r w:rsidR="008311A2">
        <w:t>EMFAC2017</w:t>
      </w:r>
      <w:r w:rsidR="00B81AC3">
        <w:t xml:space="preserve">, however, CARB increased the UF assumptions for future </w:t>
      </w:r>
      <w:r w:rsidR="00B81AC3" w:rsidRPr="00BA135A">
        <w:t>model years to account for increasing electric range of available PHEVs (Long, pers. comm., 2018</w:t>
      </w:r>
      <w:r w:rsidR="00BA135A" w:rsidRPr="00BA135A">
        <w:t>b</w:t>
      </w:r>
      <w:r w:rsidR="00B81AC3">
        <w:t xml:space="preserve">). </w:t>
      </w:r>
      <w:r w:rsidR="008311A2">
        <w:t>EMFAC2017</w:t>
      </w:r>
      <w:r w:rsidR="00B81AC3">
        <w:t xml:space="preserve"> UF assumptions by model year are summarized in Table 2. These assumptions were applied to the PHEV population </w:t>
      </w:r>
      <w:r w:rsidR="00C34670">
        <w:t xml:space="preserve">mix </w:t>
      </w:r>
      <w:r w:rsidR="00B81AC3">
        <w:t>in EMFAC</w:t>
      </w:r>
      <w:r w:rsidR="00C34670">
        <w:t xml:space="preserve"> </w:t>
      </w:r>
      <w:r w:rsidR="00B81AC3">
        <w:t>to calculate a weighted average UF</w:t>
      </w:r>
      <w:r w:rsidR="00B81AC3" w:rsidRPr="00B81AC3">
        <w:rPr>
          <w:vertAlign w:val="subscript"/>
        </w:rPr>
        <w:t>EMFAC</w:t>
      </w:r>
      <w:r w:rsidR="00B81AC3">
        <w:t xml:space="preserve"> that accounts for the different UFs across model years for a given calendar year.</w:t>
      </w:r>
    </w:p>
    <w:p w14:paraId="11A1EF0E" w14:textId="224AE354" w:rsidR="00981E96" w:rsidRDefault="00981E96" w:rsidP="00147D03">
      <w:pPr>
        <w:pStyle w:val="BodyText"/>
      </w:pPr>
    </w:p>
    <w:p w14:paraId="2DFFC03E" w14:textId="1EF971D9" w:rsidR="00981E96" w:rsidRDefault="00981E96" w:rsidP="00147D03">
      <w:pPr>
        <w:pStyle w:val="BodyText"/>
      </w:pPr>
    </w:p>
    <w:p w14:paraId="629166A6" w14:textId="77777777" w:rsidR="00981E96" w:rsidRDefault="00981E96" w:rsidP="00147D03">
      <w:pPr>
        <w:pStyle w:val="BodyText"/>
      </w:pPr>
    </w:p>
    <w:tbl>
      <w:tblPr>
        <w:tblW w:w="0" w:type="auto"/>
        <w:jc w:val="center"/>
        <w:tblBorders>
          <w:insideH w:val="single" w:sz="4" w:space="0" w:color="auto"/>
          <w:insideV w:val="single" w:sz="4" w:space="0" w:color="auto"/>
        </w:tblBorders>
        <w:tblLayout w:type="fixed"/>
        <w:tblCellMar>
          <w:top w:w="43" w:type="dxa"/>
          <w:left w:w="115" w:type="dxa"/>
          <w:bottom w:w="43" w:type="dxa"/>
          <w:right w:w="115" w:type="dxa"/>
        </w:tblCellMar>
        <w:tblLook w:val="04A0" w:firstRow="1" w:lastRow="0" w:firstColumn="1" w:lastColumn="0" w:noHBand="0" w:noVBand="1"/>
      </w:tblPr>
      <w:tblGrid>
        <w:gridCol w:w="3572"/>
        <w:gridCol w:w="4253"/>
      </w:tblGrid>
      <w:tr w:rsidR="00C34670" w:rsidRPr="00B42715" w14:paraId="70E04E8F" w14:textId="77777777" w:rsidTr="0034505B">
        <w:trPr>
          <w:tblHeader/>
          <w:jc w:val="center"/>
        </w:trPr>
        <w:tc>
          <w:tcPr>
            <w:tcW w:w="7825" w:type="dxa"/>
            <w:gridSpan w:val="2"/>
            <w:shd w:val="clear" w:color="auto" w:fill="auto"/>
            <w:noWrap/>
            <w:vAlign w:val="bottom"/>
          </w:tcPr>
          <w:p w14:paraId="0D86365D" w14:textId="7477AE85" w:rsidR="00C34670" w:rsidRDefault="00B81AC3" w:rsidP="00DB7451">
            <w:pPr>
              <w:pStyle w:val="TableHeader"/>
              <w:rPr>
                <w:color w:val="000000"/>
                <w:szCs w:val="16"/>
              </w:rPr>
            </w:pPr>
            <w:r>
              <w:t xml:space="preserve"> </w:t>
            </w:r>
            <w:r w:rsidR="00C34670">
              <w:br w:type="page"/>
            </w:r>
            <w:r w:rsidR="00C34670">
              <w:rPr>
                <w:color w:val="000000"/>
                <w:szCs w:val="16"/>
              </w:rPr>
              <w:br w:type="page"/>
            </w:r>
            <w:r w:rsidR="00C34670">
              <w:t>Table 2</w:t>
            </w:r>
            <w:r w:rsidR="00C34670" w:rsidRPr="00823EF7">
              <w:tab/>
            </w:r>
            <w:r w:rsidR="008311A2">
              <w:t>EMFAC2017</w:t>
            </w:r>
            <w:r w:rsidR="00C34670">
              <w:t xml:space="preserve"> </w:t>
            </w:r>
            <w:r w:rsidR="00DD39F4">
              <w:t xml:space="preserve">PHEV </w:t>
            </w:r>
            <w:r w:rsidR="00C34670">
              <w:t>Utility Factor Assumptions</w:t>
            </w:r>
          </w:p>
        </w:tc>
      </w:tr>
      <w:tr w:rsidR="00C34670" w:rsidRPr="00B42715" w14:paraId="04F9E2D0" w14:textId="77777777" w:rsidTr="0034505B">
        <w:trPr>
          <w:trHeight w:val="289"/>
          <w:jc w:val="center"/>
        </w:trPr>
        <w:tc>
          <w:tcPr>
            <w:tcW w:w="3572" w:type="dxa"/>
            <w:shd w:val="clear" w:color="auto" w:fill="D9D9D9" w:themeFill="background1" w:themeFillShade="D9"/>
            <w:noWrap/>
            <w:vAlign w:val="center"/>
          </w:tcPr>
          <w:p w14:paraId="75F2E66F" w14:textId="77777777" w:rsidR="00C34670" w:rsidRPr="00B42715" w:rsidRDefault="00C34670" w:rsidP="00DB7451">
            <w:pPr>
              <w:pStyle w:val="TableColumn"/>
            </w:pPr>
            <w:r>
              <w:t>Model Year</w:t>
            </w:r>
          </w:p>
        </w:tc>
        <w:tc>
          <w:tcPr>
            <w:tcW w:w="4253" w:type="dxa"/>
            <w:shd w:val="clear" w:color="auto" w:fill="D9D9D9" w:themeFill="background1" w:themeFillShade="D9"/>
            <w:noWrap/>
          </w:tcPr>
          <w:p w14:paraId="027F255E" w14:textId="0DDEF1A2" w:rsidR="00C34670" w:rsidRPr="009D1578" w:rsidRDefault="00C34670" w:rsidP="00DB7451">
            <w:pPr>
              <w:pStyle w:val="TableColumn"/>
            </w:pPr>
            <w:r w:rsidRPr="00F93031">
              <w:t>PHEV</w:t>
            </w:r>
            <w:r>
              <w:t xml:space="preserve"> UF</w:t>
            </w:r>
          </w:p>
        </w:tc>
      </w:tr>
      <w:tr w:rsidR="00C34670" w:rsidRPr="002C771F" w14:paraId="4556939A" w14:textId="77777777" w:rsidTr="0034505B">
        <w:trPr>
          <w:jc w:val="center"/>
        </w:trPr>
        <w:tc>
          <w:tcPr>
            <w:tcW w:w="3572" w:type="dxa"/>
            <w:shd w:val="clear" w:color="auto" w:fill="auto"/>
          </w:tcPr>
          <w:p w14:paraId="017EFCA4" w14:textId="2D621CEB" w:rsidR="00C34670" w:rsidRPr="00C679AE" w:rsidRDefault="00C34670" w:rsidP="00C34670">
            <w:pPr>
              <w:pStyle w:val="TableTextL"/>
              <w:jc w:val="center"/>
            </w:pPr>
            <w:r>
              <w:t>Pre-2018</w:t>
            </w:r>
          </w:p>
        </w:tc>
        <w:tc>
          <w:tcPr>
            <w:tcW w:w="4253" w:type="dxa"/>
            <w:shd w:val="clear" w:color="auto" w:fill="auto"/>
          </w:tcPr>
          <w:p w14:paraId="7FAEC018" w14:textId="2CC4CE48" w:rsidR="00C34670" w:rsidRPr="00C679AE" w:rsidRDefault="00C34670" w:rsidP="00C34670">
            <w:pPr>
              <w:pStyle w:val="TableText"/>
            </w:pPr>
            <w:r w:rsidRPr="00E9441F">
              <w:t>40%</w:t>
            </w:r>
          </w:p>
        </w:tc>
      </w:tr>
      <w:tr w:rsidR="00C34670" w:rsidRPr="002C771F" w14:paraId="0916D03B" w14:textId="77777777" w:rsidTr="0034505B">
        <w:trPr>
          <w:jc w:val="center"/>
        </w:trPr>
        <w:tc>
          <w:tcPr>
            <w:tcW w:w="3572" w:type="dxa"/>
            <w:shd w:val="clear" w:color="auto" w:fill="auto"/>
          </w:tcPr>
          <w:p w14:paraId="256963B2" w14:textId="77777777" w:rsidR="00C34670" w:rsidRPr="00832878" w:rsidRDefault="00C34670" w:rsidP="00C34670">
            <w:pPr>
              <w:pStyle w:val="TableTextL"/>
              <w:jc w:val="center"/>
            </w:pPr>
            <w:r w:rsidRPr="009F120F">
              <w:t>2018</w:t>
            </w:r>
          </w:p>
        </w:tc>
        <w:tc>
          <w:tcPr>
            <w:tcW w:w="4253" w:type="dxa"/>
            <w:shd w:val="clear" w:color="auto" w:fill="auto"/>
          </w:tcPr>
          <w:p w14:paraId="57227AF4" w14:textId="148F3740" w:rsidR="00C34670" w:rsidRPr="00832878" w:rsidRDefault="00C34670" w:rsidP="00C34670">
            <w:pPr>
              <w:pStyle w:val="TableText"/>
            </w:pPr>
            <w:r w:rsidRPr="00E9441F">
              <w:t>46%</w:t>
            </w:r>
          </w:p>
        </w:tc>
      </w:tr>
      <w:tr w:rsidR="00C34670" w:rsidRPr="002C771F" w14:paraId="5923056D" w14:textId="77777777" w:rsidTr="0034505B">
        <w:trPr>
          <w:jc w:val="center"/>
        </w:trPr>
        <w:tc>
          <w:tcPr>
            <w:tcW w:w="3572" w:type="dxa"/>
            <w:shd w:val="clear" w:color="auto" w:fill="auto"/>
          </w:tcPr>
          <w:p w14:paraId="4B3F1178" w14:textId="77777777" w:rsidR="00C34670" w:rsidRPr="00832878" w:rsidRDefault="00C34670" w:rsidP="00C34670">
            <w:pPr>
              <w:pStyle w:val="TableTextL"/>
              <w:jc w:val="center"/>
            </w:pPr>
            <w:r w:rsidRPr="009F120F">
              <w:t>2019</w:t>
            </w:r>
          </w:p>
        </w:tc>
        <w:tc>
          <w:tcPr>
            <w:tcW w:w="4253" w:type="dxa"/>
            <w:shd w:val="clear" w:color="auto" w:fill="auto"/>
          </w:tcPr>
          <w:p w14:paraId="4D8DFE9C" w14:textId="2AF17ABE" w:rsidR="00C34670" w:rsidRPr="00832878" w:rsidRDefault="00C34670" w:rsidP="00C34670">
            <w:pPr>
              <w:pStyle w:val="TableText"/>
            </w:pPr>
            <w:r w:rsidRPr="00E9441F">
              <w:t>47%</w:t>
            </w:r>
          </w:p>
        </w:tc>
      </w:tr>
      <w:tr w:rsidR="00C34670" w:rsidRPr="002C771F" w14:paraId="757D2C8A" w14:textId="77777777" w:rsidTr="0034505B">
        <w:trPr>
          <w:jc w:val="center"/>
        </w:trPr>
        <w:tc>
          <w:tcPr>
            <w:tcW w:w="3572" w:type="dxa"/>
            <w:shd w:val="clear" w:color="auto" w:fill="auto"/>
          </w:tcPr>
          <w:p w14:paraId="2F940C80" w14:textId="77777777" w:rsidR="00C34670" w:rsidRPr="00832878" w:rsidRDefault="00C34670" w:rsidP="00C34670">
            <w:pPr>
              <w:pStyle w:val="TableTextL"/>
              <w:jc w:val="center"/>
            </w:pPr>
            <w:r w:rsidRPr="009F120F">
              <w:t>2020</w:t>
            </w:r>
          </w:p>
        </w:tc>
        <w:tc>
          <w:tcPr>
            <w:tcW w:w="4253" w:type="dxa"/>
            <w:shd w:val="clear" w:color="auto" w:fill="auto"/>
          </w:tcPr>
          <w:p w14:paraId="5DB06589" w14:textId="1EA313FF" w:rsidR="00C34670" w:rsidRPr="00832878" w:rsidRDefault="00C34670" w:rsidP="00C34670">
            <w:pPr>
              <w:pStyle w:val="TableText"/>
            </w:pPr>
            <w:r w:rsidRPr="00E9441F">
              <w:t>48%</w:t>
            </w:r>
          </w:p>
        </w:tc>
      </w:tr>
      <w:tr w:rsidR="00C34670" w:rsidRPr="002C771F" w14:paraId="2302B3DA" w14:textId="77777777" w:rsidTr="0034505B">
        <w:trPr>
          <w:jc w:val="center"/>
        </w:trPr>
        <w:tc>
          <w:tcPr>
            <w:tcW w:w="3572" w:type="dxa"/>
            <w:shd w:val="clear" w:color="auto" w:fill="auto"/>
          </w:tcPr>
          <w:p w14:paraId="5E22B0A1" w14:textId="77777777" w:rsidR="00C34670" w:rsidRPr="00832878" w:rsidRDefault="00C34670" w:rsidP="00C34670">
            <w:pPr>
              <w:pStyle w:val="TableTextL"/>
              <w:jc w:val="center"/>
            </w:pPr>
            <w:r w:rsidRPr="009F120F">
              <w:t>2021</w:t>
            </w:r>
          </w:p>
        </w:tc>
        <w:tc>
          <w:tcPr>
            <w:tcW w:w="4253" w:type="dxa"/>
            <w:shd w:val="clear" w:color="auto" w:fill="auto"/>
          </w:tcPr>
          <w:p w14:paraId="73DEEC1F" w14:textId="2D2342C6" w:rsidR="00C34670" w:rsidRPr="00832878" w:rsidRDefault="00C34670" w:rsidP="00C34670">
            <w:pPr>
              <w:pStyle w:val="TableText"/>
            </w:pPr>
            <w:r w:rsidRPr="00E9441F">
              <w:t>50%</w:t>
            </w:r>
          </w:p>
        </w:tc>
      </w:tr>
      <w:tr w:rsidR="00C34670" w:rsidRPr="002C771F" w14:paraId="45060EB6" w14:textId="77777777" w:rsidTr="0034505B">
        <w:trPr>
          <w:jc w:val="center"/>
        </w:trPr>
        <w:tc>
          <w:tcPr>
            <w:tcW w:w="3572" w:type="dxa"/>
            <w:shd w:val="clear" w:color="auto" w:fill="auto"/>
          </w:tcPr>
          <w:p w14:paraId="39BA6DEA" w14:textId="77777777" w:rsidR="00C34670" w:rsidRPr="00832878" w:rsidRDefault="00C34670" w:rsidP="00C34670">
            <w:pPr>
              <w:pStyle w:val="TableTextL"/>
              <w:jc w:val="center"/>
            </w:pPr>
            <w:r w:rsidRPr="009F120F">
              <w:t>2022</w:t>
            </w:r>
          </w:p>
        </w:tc>
        <w:tc>
          <w:tcPr>
            <w:tcW w:w="4253" w:type="dxa"/>
            <w:shd w:val="clear" w:color="auto" w:fill="auto"/>
          </w:tcPr>
          <w:p w14:paraId="40177AEE" w14:textId="7FDA7933" w:rsidR="00C34670" w:rsidRPr="00832878" w:rsidRDefault="00C34670" w:rsidP="00C34670">
            <w:pPr>
              <w:pStyle w:val="TableText"/>
            </w:pPr>
            <w:r w:rsidRPr="00E9441F">
              <w:t>55%</w:t>
            </w:r>
          </w:p>
        </w:tc>
      </w:tr>
      <w:tr w:rsidR="00C34670" w:rsidRPr="002C771F" w14:paraId="5E55F5F4" w14:textId="77777777" w:rsidTr="0034505B">
        <w:trPr>
          <w:jc w:val="center"/>
        </w:trPr>
        <w:tc>
          <w:tcPr>
            <w:tcW w:w="3572" w:type="dxa"/>
            <w:shd w:val="clear" w:color="auto" w:fill="auto"/>
          </w:tcPr>
          <w:p w14:paraId="146F24F3" w14:textId="77777777" w:rsidR="00C34670" w:rsidRDefault="00C34670" w:rsidP="00C34670">
            <w:pPr>
              <w:pStyle w:val="TableTextL"/>
              <w:jc w:val="center"/>
            </w:pPr>
            <w:r w:rsidRPr="009F120F">
              <w:t>2023</w:t>
            </w:r>
          </w:p>
        </w:tc>
        <w:tc>
          <w:tcPr>
            <w:tcW w:w="4253" w:type="dxa"/>
            <w:shd w:val="clear" w:color="auto" w:fill="auto"/>
          </w:tcPr>
          <w:p w14:paraId="06E94709" w14:textId="779C2424" w:rsidR="00C34670" w:rsidRPr="00C63965" w:rsidRDefault="00C34670" w:rsidP="00C34670">
            <w:pPr>
              <w:pStyle w:val="TableText"/>
            </w:pPr>
            <w:r w:rsidRPr="00E9441F">
              <w:t>56%</w:t>
            </w:r>
          </w:p>
        </w:tc>
      </w:tr>
      <w:tr w:rsidR="00C34670" w:rsidRPr="002C771F" w14:paraId="3AD5D563" w14:textId="77777777" w:rsidTr="0034505B">
        <w:trPr>
          <w:jc w:val="center"/>
        </w:trPr>
        <w:tc>
          <w:tcPr>
            <w:tcW w:w="3572" w:type="dxa"/>
            <w:shd w:val="clear" w:color="auto" w:fill="auto"/>
          </w:tcPr>
          <w:p w14:paraId="22C98110" w14:textId="77777777" w:rsidR="00C34670" w:rsidRDefault="00C34670" w:rsidP="00C34670">
            <w:pPr>
              <w:pStyle w:val="TableTextL"/>
              <w:jc w:val="center"/>
            </w:pPr>
            <w:r w:rsidRPr="009F120F">
              <w:t>2024</w:t>
            </w:r>
          </w:p>
        </w:tc>
        <w:tc>
          <w:tcPr>
            <w:tcW w:w="4253" w:type="dxa"/>
            <w:shd w:val="clear" w:color="auto" w:fill="auto"/>
          </w:tcPr>
          <w:p w14:paraId="2768FA1D" w14:textId="38694B79" w:rsidR="00C34670" w:rsidRPr="00832878" w:rsidRDefault="00C34670" w:rsidP="00C34670">
            <w:pPr>
              <w:pStyle w:val="TableText"/>
            </w:pPr>
            <w:r w:rsidRPr="00E9441F">
              <w:t>58%</w:t>
            </w:r>
          </w:p>
        </w:tc>
      </w:tr>
      <w:tr w:rsidR="00C34670" w:rsidRPr="002C771F" w14:paraId="3A7A46D9" w14:textId="77777777" w:rsidTr="0034505B">
        <w:trPr>
          <w:jc w:val="center"/>
        </w:trPr>
        <w:tc>
          <w:tcPr>
            <w:tcW w:w="3572" w:type="dxa"/>
            <w:shd w:val="clear" w:color="auto" w:fill="auto"/>
            <w:noWrap/>
          </w:tcPr>
          <w:p w14:paraId="38681A8C" w14:textId="77777777" w:rsidR="00C34670" w:rsidRPr="00C679AE" w:rsidRDefault="00C34670" w:rsidP="00C34670">
            <w:pPr>
              <w:pStyle w:val="TableTextL"/>
              <w:jc w:val="center"/>
            </w:pPr>
            <w:r w:rsidRPr="009F120F">
              <w:t>2025+</w:t>
            </w:r>
          </w:p>
        </w:tc>
        <w:tc>
          <w:tcPr>
            <w:tcW w:w="4253" w:type="dxa"/>
            <w:shd w:val="clear" w:color="auto" w:fill="auto"/>
            <w:noWrap/>
          </w:tcPr>
          <w:p w14:paraId="0CCF2FB3" w14:textId="08C26C6B" w:rsidR="00C34670" w:rsidRPr="00C679AE" w:rsidRDefault="00C34670" w:rsidP="00C34670">
            <w:pPr>
              <w:pStyle w:val="TableText"/>
            </w:pPr>
            <w:r w:rsidRPr="00E9441F">
              <w:t>59%</w:t>
            </w:r>
          </w:p>
        </w:tc>
      </w:tr>
      <w:tr w:rsidR="00C34670" w:rsidRPr="00C47C08" w14:paraId="61C227E6" w14:textId="77777777" w:rsidTr="0034505B">
        <w:trPr>
          <w:jc w:val="center"/>
        </w:trPr>
        <w:tc>
          <w:tcPr>
            <w:tcW w:w="7825" w:type="dxa"/>
            <w:gridSpan w:val="2"/>
            <w:shd w:val="clear" w:color="auto" w:fill="D9D9D9" w:themeFill="background1" w:themeFillShade="D9"/>
            <w:noWrap/>
            <w:vAlign w:val="bottom"/>
          </w:tcPr>
          <w:p w14:paraId="1F368051" w14:textId="67C65F4D" w:rsidR="00C34670" w:rsidRPr="00BA135A" w:rsidRDefault="00C34670" w:rsidP="00DB7451">
            <w:pPr>
              <w:pStyle w:val="TableSource"/>
            </w:pPr>
            <w:r w:rsidRPr="00C47C08">
              <w:t>Notes:</w:t>
            </w:r>
            <w:r>
              <w:t xml:space="preserve"> UF assumptions apply stat</w:t>
            </w:r>
            <w:r w:rsidRPr="00BA135A">
              <w:t>ewide. EMFAC = EMission FACtor model; PHEV = plug-in hybrid electric vehicle; UF = utility factor.</w:t>
            </w:r>
          </w:p>
          <w:p w14:paraId="08E55A34" w14:textId="0B3A5F28" w:rsidR="00C34670" w:rsidRPr="00C47C08" w:rsidRDefault="00C34670" w:rsidP="00DB7451">
            <w:pPr>
              <w:pStyle w:val="TableSource"/>
            </w:pPr>
            <w:r w:rsidRPr="00BA135A">
              <w:t>Source: Long, pers. comm., 2018</w:t>
            </w:r>
            <w:r w:rsidR="00BA135A" w:rsidRPr="00BA135A">
              <w:t>b</w:t>
            </w:r>
          </w:p>
        </w:tc>
      </w:tr>
    </w:tbl>
    <w:p w14:paraId="711B750E" w14:textId="0D76B063" w:rsidR="00A62336" w:rsidRPr="00A62336" w:rsidRDefault="00A62336" w:rsidP="00147D03">
      <w:pPr>
        <w:pStyle w:val="BodyText"/>
      </w:pPr>
    </w:p>
    <w:p w14:paraId="630BFF80" w14:textId="2E6F09FF" w:rsidR="00147D03" w:rsidRDefault="00C34670" w:rsidP="00147D03">
      <w:pPr>
        <w:pStyle w:val="BodyText"/>
      </w:pPr>
      <w:r>
        <w:t>Equation 6 describes how E</w:t>
      </w:r>
      <w:r w:rsidRPr="00974DC2">
        <w:rPr>
          <w:vertAlign w:val="subscript"/>
        </w:rPr>
        <w:t>PHEV_</w:t>
      </w:r>
      <w:r w:rsidR="001B03B4">
        <w:rPr>
          <w:vertAlign w:val="subscript"/>
        </w:rPr>
        <w:t>RECP</w:t>
      </w:r>
      <w:r w:rsidRPr="00974DC2">
        <w:t xml:space="preserve"> </w:t>
      </w:r>
      <w:r>
        <w:t>is calculated.</w:t>
      </w:r>
    </w:p>
    <w:p w14:paraId="6200DC3E" w14:textId="117B5674" w:rsidR="00C34670" w:rsidRDefault="00196062" w:rsidP="00147D03">
      <w:pPr>
        <w:pStyle w:val="BodyText"/>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PHE</m:t>
                  </m:r>
                  <m:sSub>
                    <m:sSubPr>
                      <m:ctrlPr>
                        <w:rPr>
                          <w:rFonts w:ascii="Cambria Math" w:hAnsi="Cambria Math"/>
                          <w:i/>
                        </w:rPr>
                      </m:ctrlPr>
                    </m:sSubPr>
                    <m:e>
                      <m:r>
                        <w:rPr>
                          <w:rFonts w:ascii="Cambria Math" w:hAnsi="Cambria Math"/>
                        </w:rPr>
                        <m:t>V</m:t>
                      </m:r>
                    </m:e>
                    <m:sub>
                      <m:r>
                        <w:rPr>
                          <w:rFonts w:ascii="Cambria Math" w:hAnsi="Cambria Math"/>
                        </w:rPr>
                        <m:t>SANDAG</m:t>
                      </m:r>
                    </m:sub>
                  </m:sSub>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VMT</m:t>
                          </m:r>
                        </m:e>
                        <m:sub>
                          <m:sSub>
                            <m:sSubPr>
                              <m:ctrlPr>
                                <w:rPr>
                                  <w:rFonts w:ascii="Cambria Math" w:hAnsi="Cambria Math"/>
                                  <w:i/>
                                </w:rPr>
                              </m:ctrlPr>
                            </m:sSubPr>
                            <m:e>
                              <m:r>
                                <w:rPr>
                                  <w:rFonts w:ascii="Cambria Math" w:hAnsi="Cambria Math"/>
                                </w:rPr>
                                <m:t>PHEV</m:t>
                              </m:r>
                            </m:e>
                            <m:sub>
                              <m:r>
                                <w:rPr>
                                  <w:rFonts w:ascii="Cambria Math" w:hAnsi="Cambria Math"/>
                                </w:rPr>
                                <m:t>VIP</m:t>
                              </m:r>
                            </m:sub>
                          </m:sSub>
                        </m:sub>
                      </m:sSub>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UF</m:t>
                              </m:r>
                            </m:e>
                            <m:sub>
                              <m:r>
                                <w:rPr>
                                  <w:rFonts w:ascii="Cambria Math" w:hAnsi="Cambria Math"/>
                                </w:rPr>
                                <m:t>RECP</m:t>
                              </m:r>
                            </m:sub>
                          </m:sSub>
                        </m:e>
                      </m:d>
                    </m:e>
                  </m:d>
                  <m:r>
                    <w:rPr>
                      <w:rFonts w:ascii="Cambria Math" w:hAnsi="Cambria Math"/>
                    </w:rPr>
                    <m:t>*</m:t>
                  </m:r>
                  <m:sSub>
                    <m:sSubPr>
                      <m:ctrlPr>
                        <w:rPr>
                          <w:rFonts w:ascii="Cambria Math" w:hAnsi="Cambria Math"/>
                          <w:i/>
                        </w:rPr>
                      </m:ctrlPr>
                    </m:sSubPr>
                    <m:e>
                      <m:r>
                        <w:rPr>
                          <w:rFonts w:ascii="Cambria Math" w:hAnsi="Cambria Math"/>
                        </w:rPr>
                        <m:t>EF</m:t>
                      </m:r>
                    </m:e>
                    <m:sub>
                      <m:r>
                        <w:rPr>
                          <w:rFonts w:ascii="Cambria Math" w:hAnsi="Cambria Math"/>
                        </w:rPr>
                        <m:t>Gas</m:t>
                      </m:r>
                    </m:sub>
                  </m:sSub>
                  <m:r>
                    <w:rPr>
                      <w:rFonts w:ascii="Cambria Math" w:hAnsi="Cambria Math"/>
                    </w:rPr>
                    <m:t>+</m:t>
                  </m:r>
                  <m:sSub>
                    <m:sSubPr>
                      <m:ctrlPr>
                        <w:rPr>
                          <w:rFonts w:ascii="Cambria Math" w:hAnsi="Cambria Math"/>
                          <w:i/>
                        </w:rPr>
                      </m:ctrlPr>
                    </m:sSubPr>
                    <m:e>
                      <m:r>
                        <w:rPr>
                          <w:rFonts w:ascii="Cambria Math" w:hAnsi="Cambria Math"/>
                        </w:rPr>
                        <m:t>VMT</m:t>
                      </m:r>
                    </m:e>
                    <m:sub>
                      <m:sSub>
                        <m:sSubPr>
                          <m:ctrlPr>
                            <w:rPr>
                              <w:rFonts w:ascii="Cambria Math" w:hAnsi="Cambria Math"/>
                              <w:i/>
                            </w:rPr>
                          </m:ctrlPr>
                        </m:sSubPr>
                        <m:e>
                          <m:r>
                            <w:rPr>
                              <w:rFonts w:ascii="Cambria Math" w:hAnsi="Cambria Math"/>
                            </w:rPr>
                            <m:t>PHEV</m:t>
                          </m:r>
                        </m:e>
                        <m:sub>
                          <m:r>
                            <w:rPr>
                              <w:rFonts w:ascii="Cambria Math" w:hAnsi="Cambria Math"/>
                            </w:rPr>
                            <m:t>VIP</m:t>
                          </m:r>
                        </m:sub>
                      </m:sSub>
                    </m:sub>
                  </m:sSub>
                  <m:r>
                    <w:rPr>
                      <w:rFonts w:ascii="Cambria Math" w:hAnsi="Cambria Math"/>
                    </w:rPr>
                    <m:t>*</m:t>
                  </m:r>
                  <m:sSub>
                    <m:sSubPr>
                      <m:ctrlPr>
                        <w:rPr>
                          <w:rFonts w:ascii="Cambria Math" w:hAnsi="Cambria Math"/>
                          <w:i/>
                        </w:rPr>
                      </m:ctrlPr>
                    </m:sSubPr>
                    <m:e>
                      <m:r>
                        <w:rPr>
                          <w:rFonts w:ascii="Cambria Math" w:hAnsi="Cambria Math"/>
                        </w:rPr>
                        <m:t>UF</m:t>
                      </m:r>
                    </m:e>
                    <m:sub>
                      <m:r>
                        <w:rPr>
                          <w:rFonts w:ascii="Cambria Math" w:hAnsi="Cambria Math"/>
                        </w:rPr>
                        <m:t>RECP</m:t>
                      </m:r>
                    </m:sub>
                  </m:sSub>
                  <m:r>
                    <w:rPr>
                      <w:rFonts w:ascii="Cambria Math" w:hAnsi="Cambria Math"/>
                    </w:rPr>
                    <m:t>*</m:t>
                  </m:r>
                  <m:sSub>
                    <m:sSubPr>
                      <m:ctrlPr>
                        <w:rPr>
                          <w:rFonts w:ascii="Cambria Math" w:hAnsi="Cambria Math"/>
                          <w:i/>
                        </w:rPr>
                      </m:ctrlPr>
                    </m:sSubPr>
                    <m:e>
                      <m:r>
                        <w:rPr>
                          <w:rFonts w:ascii="Cambria Math" w:hAnsi="Cambria Math"/>
                        </w:rPr>
                        <m:t>EF</m:t>
                      </m:r>
                    </m:e>
                    <m:sub>
                      <m:r>
                        <w:rPr>
                          <w:rFonts w:ascii="Cambria Math" w:hAnsi="Cambria Math"/>
                        </w:rPr>
                        <m:t>EV</m:t>
                      </m:r>
                    </m:sub>
                  </m:sSub>
                </m:num>
                <m:den>
                  <m:sSup>
                    <m:sSupPr>
                      <m:ctrlPr>
                        <w:rPr>
                          <w:rFonts w:ascii="Cambria Math" w:hAnsi="Cambria Math"/>
                          <w:i/>
                        </w:rPr>
                      </m:ctrlPr>
                    </m:sSupPr>
                    <m:e>
                      <m:r>
                        <w:rPr>
                          <w:rFonts w:ascii="Cambria Math" w:hAnsi="Cambria Math"/>
                        </w:rPr>
                        <m:t>10</m:t>
                      </m:r>
                    </m:e>
                    <m:sup>
                      <m:r>
                        <w:rPr>
                          <w:rFonts w:ascii="Cambria Math" w:hAnsi="Cambria Math"/>
                        </w:rPr>
                        <m:t>6</m:t>
                      </m:r>
                    </m:sup>
                  </m:sSup>
                  <m:f>
                    <m:fPr>
                      <m:ctrlPr>
                        <w:rPr>
                          <w:rFonts w:ascii="Cambria Math" w:hAnsi="Cambria Math"/>
                          <w:i/>
                        </w:rPr>
                      </m:ctrlPr>
                    </m:fPr>
                    <m:num>
                      <m:r>
                        <w:rPr>
                          <w:rFonts w:ascii="Cambria Math" w:hAnsi="Cambria Math"/>
                        </w:rPr>
                        <m:t>g</m:t>
                      </m:r>
                    </m:num>
                    <m:den>
                      <m:r>
                        <w:rPr>
                          <w:rFonts w:ascii="Cambria Math" w:hAnsi="Cambria Math"/>
                        </w:rPr>
                        <m:t>MT</m:t>
                      </m:r>
                    </m:den>
                  </m:f>
                </m:den>
              </m:f>
              <m:r>
                <w:rPr>
                  <w:rFonts w:ascii="Cambria Math" w:hAnsi="Cambria Math"/>
                </w:rPr>
                <m:t>#(Equation 6)</m:t>
              </m:r>
            </m:e>
          </m:eqArr>
        </m:oMath>
      </m:oMathPara>
    </w:p>
    <w:p w14:paraId="7C041E79" w14:textId="299D7A3C" w:rsidR="00833191" w:rsidRDefault="009232D4" w:rsidP="00BC4F1D">
      <w:pPr>
        <w:pStyle w:val="BodyText"/>
      </w:pPr>
      <w:r>
        <w:t>Where:</w:t>
      </w:r>
    </w:p>
    <w:p w14:paraId="6E2B0610" w14:textId="5F6ABE81" w:rsidR="00251F1E" w:rsidRPr="00251F1E" w:rsidRDefault="00251F1E" w:rsidP="0034505B">
      <w:pPr>
        <w:pStyle w:val="BodyText"/>
        <w:ind w:left="2070" w:hanging="1350"/>
      </w:pPr>
      <w:r>
        <w:t>E</w:t>
      </w:r>
      <w:r w:rsidRPr="00251F1E">
        <w:rPr>
          <w:vertAlign w:val="subscript"/>
        </w:rPr>
        <w:t>PHEV_</w:t>
      </w:r>
      <w:r>
        <w:rPr>
          <w:vertAlign w:val="subscript"/>
        </w:rPr>
        <w:t>SANDAG</w:t>
      </w:r>
      <w:r>
        <w:t xml:space="preserve"> = Emissions from PHEVs as anticipated under </w:t>
      </w:r>
      <w:r w:rsidR="001C2F5C">
        <w:t xml:space="preserve">2019 </w:t>
      </w:r>
      <w:r w:rsidR="00F6598A">
        <w:t>Regional Plan</w:t>
      </w:r>
      <w:r>
        <w:t xml:space="preserve"> scenarios </w:t>
      </w:r>
      <w:r w:rsidR="00F6598A">
        <w:t xml:space="preserve">with the implementation of the off-model programs </w:t>
      </w:r>
      <w:r>
        <w:t xml:space="preserve">(MT </w:t>
      </w:r>
      <w:r w:rsidR="001732C1">
        <w:t>CO</w:t>
      </w:r>
      <w:r w:rsidR="001732C1" w:rsidRPr="001732C1">
        <w:rPr>
          <w:vertAlign w:val="subscript"/>
        </w:rPr>
        <w:t>2</w:t>
      </w:r>
      <w:r>
        <w:t>)</w:t>
      </w:r>
    </w:p>
    <w:p w14:paraId="4CF87C38" w14:textId="0BCB6D71" w:rsidR="006C1F8A" w:rsidRDefault="006C1F8A" w:rsidP="006C1F8A">
      <w:pPr>
        <w:pStyle w:val="BodyText"/>
        <w:ind w:firstLine="720"/>
      </w:pPr>
      <w:r>
        <w:t>VMT</w:t>
      </w:r>
      <w:r w:rsidRPr="009B4458">
        <w:rPr>
          <w:vertAlign w:val="subscript"/>
        </w:rPr>
        <w:t>PHEV_</w:t>
      </w:r>
      <w:r w:rsidR="00196062">
        <w:rPr>
          <w:vertAlign w:val="subscript"/>
        </w:rPr>
        <w:t>VIP</w:t>
      </w:r>
      <w:r>
        <w:rPr>
          <w:vertAlign w:val="subscript"/>
        </w:rPr>
        <w:t xml:space="preserve"> </w:t>
      </w:r>
      <w:r>
        <w:t xml:space="preserve">= Daily VMT associated with PHEVs under the </w:t>
      </w:r>
      <w:r w:rsidR="00196062">
        <w:t>VIP</w:t>
      </w:r>
      <w:r>
        <w:t xml:space="preserve"> (mi/day)</w:t>
      </w:r>
    </w:p>
    <w:p w14:paraId="310A1E7E" w14:textId="3C5E6DE6" w:rsidR="006C1F8A" w:rsidRPr="009B4458" w:rsidRDefault="006C1F8A" w:rsidP="006C1F8A">
      <w:pPr>
        <w:pStyle w:val="BodyText"/>
        <w:ind w:left="1530" w:hanging="810"/>
      </w:pPr>
      <w:r>
        <w:t>UF</w:t>
      </w:r>
      <w:r>
        <w:rPr>
          <w:vertAlign w:val="subscript"/>
        </w:rPr>
        <w:t xml:space="preserve">RECP </w:t>
      </w:r>
      <w:r>
        <w:t xml:space="preserve">= PHEV </w:t>
      </w:r>
      <w:r w:rsidR="00DB7451">
        <w:t>u</w:t>
      </w:r>
      <w:r>
        <w:t xml:space="preserve">tility </w:t>
      </w:r>
      <w:r w:rsidR="00DB7451">
        <w:t>f</w:t>
      </w:r>
      <w:r>
        <w:t>actor associated with charger scenario under the RECP</w:t>
      </w:r>
      <w:r w:rsidR="00DB7451">
        <w:t>. Limited to be between UF</w:t>
      </w:r>
      <w:r w:rsidR="00DB7451" w:rsidRPr="00DB7451">
        <w:rPr>
          <w:vertAlign w:val="subscript"/>
        </w:rPr>
        <w:t>EMFAC</w:t>
      </w:r>
      <w:r w:rsidR="00DB7451">
        <w:t xml:space="preserve"> and a maximum of 80 percent.</w:t>
      </w:r>
      <w:r w:rsidR="007E4300">
        <w:t xml:space="preserve"> (%)</w:t>
      </w:r>
    </w:p>
    <w:p w14:paraId="6C409F23" w14:textId="0D8A24FF" w:rsidR="006C1F8A" w:rsidRDefault="006C1F8A" w:rsidP="006C1F8A">
      <w:pPr>
        <w:pStyle w:val="BodyText"/>
        <w:ind w:left="1440" w:hanging="720"/>
      </w:pPr>
      <w:r>
        <w:t>EF</w:t>
      </w:r>
      <w:r w:rsidRPr="00AF66BC">
        <w:rPr>
          <w:vertAlign w:val="subscript"/>
        </w:rPr>
        <w:t>Gas</w:t>
      </w:r>
      <w:r>
        <w:t xml:space="preserve"> = Emissions factor per mile associated with gasoline LDVs in the SANDAG region, as modeled in </w:t>
      </w:r>
      <w:r w:rsidR="008311A2">
        <w:t>EMFAC2017</w:t>
      </w:r>
      <w:r>
        <w:t xml:space="preserve"> (g </w:t>
      </w:r>
      <w:r w:rsidR="001732C1">
        <w:t>CO</w:t>
      </w:r>
      <w:r w:rsidR="001732C1" w:rsidRPr="001732C1">
        <w:rPr>
          <w:vertAlign w:val="subscript"/>
        </w:rPr>
        <w:t>2</w:t>
      </w:r>
      <w:r>
        <w:t>/mi</w:t>
      </w:r>
      <w:r w:rsidRPr="007962CE">
        <w:t>)</w:t>
      </w:r>
      <w:r>
        <w:t xml:space="preserve">. Based on EMFAC vehicle categories LDA, LDT1, LDT2, and MDV. </w:t>
      </w:r>
    </w:p>
    <w:p w14:paraId="0625F9FB" w14:textId="03B882D5" w:rsidR="006C1F8A" w:rsidRPr="00D91BA9" w:rsidRDefault="006C1F8A" w:rsidP="006C1F8A">
      <w:pPr>
        <w:pStyle w:val="BodyText"/>
        <w:ind w:left="1710" w:hanging="990"/>
      </w:pPr>
      <w:r>
        <w:t>EF</w:t>
      </w:r>
      <w:r w:rsidRPr="00A14F11">
        <w:rPr>
          <w:vertAlign w:val="subscript"/>
        </w:rPr>
        <w:t>EV</w:t>
      </w:r>
      <w:r w:rsidRPr="00A14F11">
        <w:t xml:space="preserve"> = </w:t>
      </w:r>
      <w:r>
        <w:t>FE</w:t>
      </w:r>
      <w:r>
        <w:rPr>
          <w:vertAlign w:val="subscript"/>
        </w:rPr>
        <w:t>EV</w:t>
      </w:r>
      <w:r>
        <w:t xml:space="preserve"> * EF</w:t>
      </w:r>
      <w:r>
        <w:rPr>
          <w:vertAlign w:val="subscript"/>
        </w:rPr>
        <w:t xml:space="preserve">E </w:t>
      </w:r>
      <w:r>
        <w:t xml:space="preserve">(g </w:t>
      </w:r>
      <w:r w:rsidR="001732C1">
        <w:t>CO</w:t>
      </w:r>
      <w:r w:rsidR="001732C1" w:rsidRPr="001732C1">
        <w:rPr>
          <w:vertAlign w:val="subscript"/>
        </w:rPr>
        <w:t>2</w:t>
      </w:r>
      <w:r>
        <w:t>/mi) (See Equation 2)</w:t>
      </w:r>
    </w:p>
    <w:p w14:paraId="6CE01681" w14:textId="473F5C4F" w:rsidR="00DB7451" w:rsidRDefault="00DB7451" w:rsidP="00BC4F1D">
      <w:pPr>
        <w:pStyle w:val="BodyText"/>
      </w:pPr>
      <w:r>
        <w:t>UF</w:t>
      </w:r>
      <w:r w:rsidRPr="00DB7451">
        <w:rPr>
          <w:vertAlign w:val="subscript"/>
        </w:rPr>
        <w:t>RECP</w:t>
      </w:r>
      <w:r>
        <w:rPr>
          <w:vertAlign w:val="subscript"/>
        </w:rPr>
        <w:t xml:space="preserve"> </w:t>
      </w:r>
      <w:r>
        <w:t xml:space="preserve">is the calculated PHEV UF associated with the charging scenario under the RECP, as shown in Equation </w:t>
      </w:r>
      <w:r w:rsidR="00AC2E3C">
        <w:t>7</w:t>
      </w:r>
      <w:r>
        <w:t>.</w:t>
      </w:r>
    </w:p>
    <w:p w14:paraId="07E5239A" w14:textId="43B05830" w:rsidR="00DB7451" w:rsidRPr="00F10CD2" w:rsidRDefault="00196062" w:rsidP="00BC4F1D">
      <w:pPr>
        <w:pStyle w:val="BodyText"/>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UF</m:t>
                  </m:r>
                </m:e>
                <m:sub>
                  <m:r>
                    <w:rPr>
                      <w:rFonts w:ascii="Cambria Math" w:hAnsi="Cambria Math"/>
                    </w:rPr>
                    <m:t>RECP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eVMT</m:t>
                      </m:r>
                    </m:e>
                    <m:sub>
                      <m:sSub>
                        <m:sSubPr>
                          <m:ctrlPr>
                            <w:rPr>
                              <w:rFonts w:ascii="Cambria Math" w:hAnsi="Cambria Math"/>
                              <w:i/>
                            </w:rPr>
                          </m:ctrlPr>
                        </m:sSubPr>
                        <m:e>
                          <m:r>
                            <w:rPr>
                              <w:rFonts w:ascii="Cambria Math" w:hAnsi="Cambria Math"/>
                            </w:rPr>
                            <m:t>PHEV</m:t>
                          </m:r>
                        </m:e>
                        <m:sub>
                          <m:r>
                            <w:rPr>
                              <w:rFonts w:ascii="Cambria Math" w:hAnsi="Cambria Math"/>
                            </w:rPr>
                            <m:t>RECP</m:t>
                          </m:r>
                        </m:sub>
                      </m:sSub>
                    </m:sub>
                  </m:sSub>
                </m:num>
                <m:den>
                  <m:sSub>
                    <m:sSubPr>
                      <m:ctrlPr>
                        <w:rPr>
                          <w:rFonts w:ascii="Cambria Math" w:hAnsi="Cambria Math"/>
                          <w:i/>
                        </w:rPr>
                      </m:ctrlPr>
                    </m:sSubPr>
                    <m:e>
                      <m:r>
                        <w:rPr>
                          <w:rFonts w:ascii="Cambria Math" w:hAnsi="Cambria Math"/>
                        </w:rPr>
                        <m:t>VMT</m:t>
                      </m:r>
                    </m:e>
                    <m:sub>
                      <m:sSub>
                        <m:sSubPr>
                          <m:ctrlPr>
                            <w:rPr>
                              <w:rFonts w:ascii="Cambria Math" w:hAnsi="Cambria Math"/>
                              <w:i/>
                            </w:rPr>
                          </m:ctrlPr>
                        </m:sSubPr>
                        <m:e>
                          <m:r>
                            <w:rPr>
                              <w:rFonts w:ascii="Cambria Math" w:hAnsi="Cambria Math"/>
                            </w:rPr>
                            <m:t>PHEV</m:t>
                          </m:r>
                        </m:e>
                        <m:sub>
                          <m:r>
                            <w:rPr>
                              <w:rFonts w:ascii="Cambria Math" w:hAnsi="Cambria Math"/>
                            </w:rPr>
                            <m:t>VIP</m:t>
                          </m:r>
                        </m:sub>
                      </m:sSub>
                    </m:sub>
                  </m:sSub>
                </m:den>
              </m:f>
              <m:r>
                <w:rPr>
                  <w:rFonts w:ascii="Cambria Math" w:hAnsi="Cambria Math"/>
                </w:rPr>
                <m:t>#</m:t>
              </m:r>
              <m:d>
                <m:dPr>
                  <m:ctrlPr>
                    <w:rPr>
                      <w:rFonts w:ascii="Cambria Math" w:hAnsi="Cambria Math"/>
                      <w:i/>
                    </w:rPr>
                  </m:ctrlPr>
                </m:dPr>
                <m:e>
                  <m:r>
                    <w:rPr>
                      <w:rFonts w:ascii="Cambria Math" w:hAnsi="Cambria Math"/>
                    </w:rPr>
                    <m:t>Equation 7</m:t>
                  </m:r>
                </m:e>
              </m:d>
            </m:e>
          </m:eqArr>
        </m:oMath>
      </m:oMathPara>
    </w:p>
    <w:p w14:paraId="0A34EDA5" w14:textId="095C69FC" w:rsidR="00DB7451" w:rsidRDefault="009232D4" w:rsidP="00BC4F1D">
      <w:pPr>
        <w:pStyle w:val="BodyText"/>
      </w:pPr>
      <w:r>
        <w:lastRenderedPageBreak/>
        <w:t xml:space="preserve">Where, </w:t>
      </w:r>
      <w:bookmarkStart w:id="0" w:name="_GoBack"/>
      <w:bookmarkEnd w:id="0"/>
    </w:p>
    <w:p w14:paraId="7D54A821" w14:textId="1CBC4241" w:rsidR="009232D4" w:rsidRDefault="009232D4" w:rsidP="000E5AD2">
      <w:pPr>
        <w:pStyle w:val="BodyText"/>
        <w:ind w:left="2250" w:hanging="1530"/>
      </w:pPr>
      <w:r>
        <w:t>eVMT</w:t>
      </w:r>
      <w:r w:rsidRPr="009232D4">
        <w:rPr>
          <w:vertAlign w:val="subscript"/>
        </w:rPr>
        <w:t>PHEV_RECP</w:t>
      </w:r>
      <w:r>
        <w:t xml:space="preserve"> = eVMT associated with the elect</w:t>
      </w:r>
      <w:r w:rsidR="000E5AD2">
        <w:t>ricity provided by chargers to PH</w:t>
      </w:r>
      <w:r>
        <w:t>EVs under the RECP</w:t>
      </w:r>
    </w:p>
    <w:p w14:paraId="79B55BCD" w14:textId="06DE1EE2" w:rsidR="000E5AD2" w:rsidRDefault="000E5AD2" w:rsidP="000E5AD2">
      <w:pPr>
        <w:pStyle w:val="BodyText"/>
        <w:ind w:firstLine="720"/>
      </w:pPr>
      <w:r>
        <w:t>VMT</w:t>
      </w:r>
      <w:r w:rsidRPr="000E5AD2">
        <w:rPr>
          <w:vertAlign w:val="subscript"/>
        </w:rPr>
        <w:t>PHEV_</w:t>
      </w:r>
      <w:r w:rsidR="00196062">
        <w:rPr>
          <w:vertAlign w:val="subscript"/>
        </w:rPr>
        <w:t>VIP</w:t>
      </w:r>
      <w:r w:rsidRPr="000E5AD2">
        <w:rPr>
          <w:vertAlign w:val="subscript"/>
        </w:rPr>
        <w:t xml:space="preserve"> </w:t>
      </w:r>
      <w:r>
        <w:t xml:space="preserve">= Daily VMT associated with PHEVs under the </w:t>
      </w:r>
      <w:r w:rsidR="00196062">
        <w:t>VIP</w:t>
      </w:r>
      <w:r>
        <w:t xml:space="preserve"> (mi/day)</w:t>
      </w:r>
    </w:p>
    <w:p w14:paraId="0B5E7681" w14:textId="4A70AB24" w:rsidR="000E5AD2" w:rsidRDefault="000E5AD2" w:rsidP="000E5AD2">
      <w:pPr>
        <w:pStyle w:val="BodyText"/>
      </w:pPr>
      <w:r>
        <w:t>eVMT</w:t>
      </w:r>
      <w:r w:rsidRPr="000E5AD2">
        <w:rPr>
          <w:vertAlign w:val="subscript"/>
        </w:rPr>
        <w:t>PHEV_RECP</w:t>
      </w:r>
      <w:r>
        <w:t xml:space="preserve"> is the eVMT provided to PHEVs by all chargers in the SANDAG region including those associated with RECP. eVMT</w:t>
      </w:r>
      <w:r w:rsidRPr="000E5AD2">
        <w:rPr>
          <w:vertAlign w:val="subscript"/>
        </w:rPr>
        <w:t>PHEV_RECP</w:t>
      </w:r>
      <w:r>
        <w:rPr>
          <w:vertAlign w:val="subscript"/>
        </w:rPr>
        <w:t xml:space="preserve"> </w:t>
      </w:r>
      <w:r>
        <w:t>is calculated i</w:t>
      </w:r>
      <w:r w:rsidR="00A07395">
        <w:t>dentically to Equation 3, with the exception of H</w:t>
      </w:r>
      <w:r w:rsidR="00A07395" w:rsidRPr="00A07395">
        <w:rPr>
          <w:vertAlign w:val="subscript"/>
        </w:rPr>
        <w:t>i</w:t>
      </w:r>
      <w:r w:rsidR="00A07395">
        <w:t>. In the case of PHEVs, H</w:t>
      </w:r>
      <w:r w:rsidR="00A07395" w:rsidRPr="00A07395">
        <w:rPr>
          <w:vertAlign w:val="subscript"/>
        </w:rPr>
        <w:t>i</w:t>
      </w:r>
      <w:r w:rsidR="00A07395">
        <w:t xml:space="preserve"> refers to the active hours charged by charger type per plug per day associated with PHEVs. </w:t>
      </w:r>
    </w:p>
    <w:p w14:paraId="788B778A" w14:textId="5346A9E5" w:rsidR="00DA3E0C" w:rsidRDefault="00DA3E0C" w:rsidP="00DA3E0C">
      <w:pPr>
        <w:pStyle w:val="Heading5"/>
      </w:pPr>
      <w:r>
        <w:t xml:space="preserve">Vehicle </w:t>
      </w:r>
      <w:r w:rsidR="00D24A40">
        <w:t xml:space="preserve">Incentive </w:t>
      </w:r>
      <w:r>
        <w:t>Program</w:t>
      </w:r>
    </w:p>
    <w:p w14:paraId="0624D212" w14:textId="4ABFEAD3" w:rsidR="00D24A40" w:rsidRDefault="00D24A40" w:rsidP="00D24A40">
      <w:pPr>
        <w:pStyle w:val="BodyText"/>
      </w:pPr>
      <w:r>
        <w:t xml:space="preserve">Under the </w:t>
      </w:r>
      <w:r w:rsidR="00196062">
        <w:t>VIP</w:t>
      </w:r>
      <w:r>
        <w:t xml:space="preserve">, SANDAG would </w:t>
      </w:r>
      <w:r w:rsidR="00A454E6">
        <w:t xml:space="preserve">offer </w:t>
      </w:r>
      <w:r w:rsidR="00F10CD2">
        <w:t>incentives</w:t>
      </w:r>
      <w:r>
        <w:t xml:space="preserve"> for </w:t>
      </w:r>
      <w:r w:rsidR="008301EF">
        <w:t>drivers</w:t>
      </w:r>
      <w:r>
        <w:t xml:space="preserve"> to replace older gasoline passenger vehicles with </w:t>
      </w:r>
      <w:r w:rsidRPr="004F5433">
        <w:t xml:space="preserve">equivalent </w:t>
      </w:r>
      <w:r w:rsidRPr="0034505B">
        <w:t xml:space="preserve">PEVs. While SANDAG </w:t>
      </w:r>
      <w:r w:rsidR="008301EF">
        <w:t>could consider incentivizing</w:t>
      </w:r>
      <w:r w:rsidRPr="0034505B">
        <w:t xml:space="preserve"> FCVs in addition to PEVs, this calculator only </w:t>
      </w:r>
      <w:r w:rsidR="00257784" w:rsidRPr="0034505B">
        <w:t>accounts for</w:t>
      </w:r>
      <w:r w:rsidRPr="0034505B">
        <w:t xml:space="preserve"> reductions associated with </w:t>
      </w:r>
      <w:r w:rsidR="008301EF">
        <w:t xml:space="preserve">incentives for </w:t>
      </w:r>
      <w:r w:rsidRPr="0034505B">
        <w:t>PEVs due to the relatively small FCV population forecast</w:t>
      </w:r>
      <w:r w:rsidR="004326EE" w:rsidRPr="0034505B">
        <w:t xml:space="preserve"> and limited amount of existing infrastructure</w:t>
      </w:r>
      <w:r w:rsidRPr="0034505B">
        <w:t>.</w:t>
      </w:r>
      <w:r w:rsidR="0034505B">
        <w:t xml:space="preserve"> </w:t>
      </w:r>
      <w:r w:rsidR="00257784">
        <w:t xml:space="preserve">The </w:t>
      </w:r>
      <w:r w:rsidR="00196062">
        <w:t>VIP</w:t>
      </w:r>
      <w:r w:rsidR="00257784">
        <w:t xml:space="preserve"> would increase the share of PEVs among the LDA fleet in the </w:t>
      </w:r>
      <w:r w:rsidR="008301EF">
        <w:t xml:space="preserve">San Diego </w:t>
      </w:r>
      <w:r w:rsidR="00257784">
        <w:t xml:space="preserve">region. It is assumed that the </w:t>
      </w:r>
      <w:r w:rsidR="00196062">
        <w:t>VIP</w:t>
      </w:r>
      <w:r w:rsidR="00257784">
        <w:t xml:space="preserve"> would not </w:t>
      </w:r>
      <w:r w:rsidR="008301EF">
        <w:t xml:space="preserve">increase or decrease </w:t>
      </w:r>
      <w:r w:rsidR="00257784">
        <w:t xml:space="preserve">overall VMT in the </w:t>
      </w:r>
      <w:r w:rsidR="008301EF">
        <w:t xml:space="preserve">San Diego </w:t>
      </w:r>
      <w:r w:rsidR="00257784">
        <w:t xml:space="preserve">region anticipated under </w:t>
      </w:r>
      <w:r w:rsidR="004326EE">
        <w:t xml:space="preserve">2019 </w:t>
      </w:r>
      <w:r w:rsidR="00F6598A">
        <w:t>Regional Plan</w:t>
      </w:r>
      <w:r w:rsidR="00257784">
        <w:t xml:space="preserve">. </w:t>
      </w:r>
    </w:p>
    <w:p w14:paraId="498F0C50" w14:textId="5F41C63D" w:rsidR="00257784" w:rsidRDefault="00F47B4E" w:rsidP="00D24A40">
      <w:pPr>
        <w:pStyle w:val="BodyText"/>
      </w:pPr>
      <w:r>
        <w:t xml:space="preserve">The </w:t>
      </w:r>
      <w:r w:rsidR="001732C1">
        <w:t>CO</w:t>
      </w:r>
      <w:r w:rsidR="001732C1" w:rsidRPr="001732C1">
        <w:rPr>
          <w:vertAlign w:val="subscript"/>
        </w:rPr>
        <w:t>2</w:t>
      </w:r>
      <w:r w:rsidR="0051465C">
        <w:t xml:space="preserve"> </w:t>
      </w:r>
      <w:r>
        <w:t xml:space="preserve">reductions </w:t>
      </w:r>
      <w:r w:rsidR="008301EF">
        <w:t xml:space="preserve">associated with the </w:t>
      </w:r>
      <w:r w:rsidR="00196062">
        <w:t>VIP</w:t>
      </w:r>
      <w:r w:rsidR="008301EF">
        <w:t xml:space="preserve"> </w:t>
      </w:r>
      <w:r>
        <w:t xml:space="preserve">are </w:t>
      </w:r>
      <w:r w:rsidR="0051465C">
        <w:t xml:space="preserve">essentially a comparison of the new eVMT that would occur from the additional BEVs and PHEVs </w:t>
      </w:r>
      <w:r>
        <w:t>incentivized under the program</w:t>
      </w:r>
      <w:r w:rsidR="0051465C">
        <w:t xml:space="preserve"> beyond EMFAC forecasts</w:t>
      </w:r>
      <w:r>
        <w:t xml:space="preserve">. The calculation of </w:t>
      </w:r>
      <w:r w:rsidR="001732C1">
        <w:t>CO</w:t>
      </w:r>
      <w:r w:rsidR="001732C1" w:rsidRPr="001732C1">
        <w:rPr>
          <w:vertAlign w:val="subscript"/>
        </w:rPr>
        <w:t>2</w:t>
      </w:r>
      <w:r>
        <w:t xml:space="preserve"> reductions from </w:t>
      </w:r>
      <w:r w:rsidR="00196062">
        <w:t>VIP</w:t>
      </w:r>
      <w:r>
        <w:t xml:space="preserve"> are reflected in Equ</w:t>
      </w:r>
      <w:r w:rsidRPr="00542B09">
        <w:t xml:space="preserve">ations </w:t>
      </w:r>
      <w:r w:rsidR="00AC2E3C">
        <w:t>8</w:t>
      </w:r>
      <w:r w:rsidRPr="00542B09">
        <w:t xml:space="preserve"> through </w:t>
      </w:r>
      <w:r w:rsidR="00AC2E3C">
        <w:t>10</w:t>
      </w:r>
      <w:r w:rsidRPr="00542B09">
        <w:t>. Similar</w:t>
      </w:r>
      <w:r>
        <w:t xml:space="preserve"> to Equation 1, the emissions reductions from </w:t>
      </w:r>
      <w:r w:rsidR="00196062">
        <w:t>VIP</w:t>
      </w:r>
      <w:r>
        <w:t xml:space="preserve"> are the sum of the emissions reductions from BEVs and PHEVs under the program.</w:t>
      </w:r>
    </w:p>
    <w:p w14:paraId="6BD28B09" w14:textId="2B1C14AE" w:rsidR="00F47B4E" w:rsidRPr="00BD2B28" w:rsidRDefault="00196062" w:rsidP="00F47B4E">
      <w:pPr>
        <w:pStyle w:val="BodyText"/>
      </w:pPr>
      <m:oMathPara>
        <m:oMathParaPr>
          <m:jc m:val="center"/>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VIP</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BE</m:t>
                  </m:r>
                  <m:sSub>
                    <m:sSubPr>
                      <m:ctrlPr>
                        <w:rPr>
                          <w:rFonts w:ascii="Cambria Math" w:hAnsi="Cambria Math"/>
                          <w:i/>
                        </w:rPr>
                      </m:ctrlPr>
                    </m:sSubPr>
                    <m:e>
                      <m:r>
                        <w:rPr>
                          <w:rFonts w:ascii="Cambria Math" w:hAnsi="Cambria Math"/>
                        </w:rPr>
                        <m:t>V</m:t>
                      </m:r>
                    </m:e>
                    <m:sub>
                      <m:r>
                        <w:rPr>
                          <w:rFonts w:ascii="Cambria Math" w:hAnsi="Cambria Math"/>
                        </w:rPr>
                        <m:t>VIP</m:t>
                      </m:r>
                    </m:sub>
                  </m:sSub>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PHE</m:t>
                  </m:r>
                  <m:sSub>
                    <m:sSubPr>
                      <m:ctrlPr>
                        <w:rPr>
                          <w:rFonts w:ascii="Cambria Math" w:hAnsi="Cambria Math"/>
                          <w:i/>
                        </w:rPr>
                      </m:ctrlPr>
                    </m:sSubPr>
                    <m:e>
                      <m:r>
                        <w:rPr>
                          <w:rFonts w:ascii="Cambria Math" w:hAnsi="Cambria Math"/>
                        </w:rPr>
                        <m:t>V</m:t>
                      </m:r>
                    </m:e>
                    <m:sub>
                      <m:r>
                        <w:rPr>
                          <w:rFonts w:ascii="Cambria Math" w:hAnsi="Cambria Math"/>
                        </w:rPr>
                        <m:t>VIP</m:t>
                      </m:r>
                    </m:sub>
                  </m:sSub>
                </m:sub>
              </m:sSub>
              <m:r>
                <w:rPr>
                  <w:rFonts w:ascii="Cambria Math" w:hAnsi="Cambria Math"/>
                </w:rPr>
                <m:t>#</m:t>
              </m:r>
              <m:d>
                <m:dPr>
                  <m:ctrlPr>
                    <w:rPr>
                      <w:rFonts w:ascii="Cambria Math" w:hAnsi="Cambria Math"/>
                      <w:i/>
                    </w:rPr>
                  </m:ctrlPr>
                </m:dPr>
                <m:e>
                  <m:r>
                    <w:rPr>
                      <w:rFonts w:ascii="Cambria Math" w:hAnsi="Cambria Math"/>
                    </w:rPr>
                    <m:t>Equation 8</m:t>
                  </m:r>
                </m:e>
              </m:d>
            </m:e>
          </m:eqArr>
        </m:oMath>
      </m:oMathPara>
    </w:p>
    <w:p w14:paraId="072CC1EC" w14:textId="77777777" w:rsidR="00F47B4E" w:rsidRDefault="00F47B4E" w:rsidP="00F47B4E">
      <w:pPr>
        <w:pStyle w:val="BodyText"/>
      </w:pPr>
      <w:r>
        <w:t>Where:</w:t>
      </w:r>
    </w:p>
    <w:p w14:paraId="5B1832B4" w14:textId="4EE425F1" w:rsidR="00F47B4E" w:rsidRDefault="00F47B4E" w:rsidP="00F47B4E">
      <w:pPr>
        <w:pStyle w:val="BodyText"/>
        <w:ind w:left="1440" w:hanging="720"/>
      </w:pPr>
      <w:r>
        <w:t>E</w:t>
      </w:r>
      <w:r w:rsidR="00196062">
        <w:rPr>
          <w:vertAlign w:val="subscript"/>
        </w:rPr>
        <w:t>VIP</w:t>
      </w:r>
      <w:r>
        <w:t xml:space="preserve"> = Emissions reductions associated with implementation of </w:t>
      </w:r>
      <w:r w:rsidR="00196062">
        <w:t>VIP</w:t>
      </w:r>
      <w:r>
        <w:t xml:space="preserve"> (MT </w:t>
      </w:r>
      <w:r w:rsidR="001732C1">
        <w:t>CO</w:t>
      </w:r>
      <w:r w:rsidR="001732C1" w:rsidRPr="001732C1">
        <w:rPr>
          <w:vertAlign w:val="subscript"/>
        </w:rPr>
        <w:t>2</w:t>
      </w:r>
      <w:r>
        <w:t>)</w:t>
      </w:r>
    </w:p>
    <w:p w14:paraId="4A5E1787" w14:textId="46C2B1AF" w:rsidR="00F47B4E" w:rsidRDefault="00F47B4E" w:rsidP="00F47B4E">
      <w:pPr>
        <w:pStyle w:val="BodyText"/>
        <w:ind w:firstLine="720"/>
      </w:pPr>
      <w:r>
        <w:t>E</w:t>
      </w:r>
      <w:r w:rsidRPr="00033FA2">
        <w:rPr>
          <w:vertAlign w:val="subscript"/>
        </w:rPr>
        <w:t>BEV</w:t>
      </w:r>
      <w:r>
        <w:rPr>
          <w:vertAlign w:val="subscript"/>
        </w:rPr>
        <w:t>_</w:t>
      </w:r>
      <w:r w:rsidR="00196062">
        <w:rPr>
          <w:vertAlign w:val="subscript"/>
        </w:rPr>
        <w:t>VIP</w:t>
      </w:r>
      <w:r>
        <w:t xml:space="preserve"> = Emissions reductions associated with BEVs under the </w:t>
      </w:r>
      <w:r w:rsidR="00196062">
        <w:t>VIP</w:t>
      </w:r>
      <w:r>
        <w:t xml:space="preserve"> (MT </w:t>
      </w:r>
      <w:r w:rsidR="001732C1">
        <w:t>CO</w:t>
      </w:r>
      <w:r w:rsidR="001732C1" w:rsidRPr="001732C1">
        <w:rPr>
          <w:vertAlign w:val="subscript"/>
        </w:rPr>
        <w:t>2</w:t>
      </w:r>
      <w:r w:rsidRPr="007962CE">
        <w:t>)</w:t>
      </w:r>
    </w:p>
    <w:p w14:paraId="16B984B7" w14:textId="2B98078D" w:rsidR="00F47B4E" w:rsidRDefault="00F47B4E" w:rsidP="00F47B4E">
      <w:pPr>
        <w:pStyle w:val="BodyText"/>
        <w:ind w:firstLine="720"/>
      </w:pPr>
      <w:r>
        <w:t>E</w:t>
      </w:r>
      <w:r w:rsidRPr="00033FA2">
        <w:rPr>
          <w:vertAlign w:val="subscript"/>
        </w:rPr>
        <w:t>PHEV</w:t>
      </w:r>
      <w:r>
        <w:rPr>
          <w:vertAlign w:val="subscript"/>
        </w:rPr>
        <w:t>_</w:t>
      </w:r>
      <w:r w:rsidRPr="00F47B4E">
        <w:rPr>
          <w:vertAlign w:val="subscript"/>
        </w:rPr>
        <w:t xml:space="preserve"> </w:t>
      </w:r>
      <w:r w:rsidR="00196062">
        <w:rPr>
          <w:vertAlign w:val="subscript"/>
        </w:rPr>
        <w:t>VIP</w:t>
      </w:r>
      <w:r>
        <w:t xml:space="preserve"> = Emissions reductions associated with PHEVs under the </w:t>
      </w:r>
      <w:r w:rsidR="00196062">
        <w:t>VIP</w:t>
      </w:r>
      <w:r>
        <w:t xml:space="preserve"> (MT </w:t>
      </w:r>
      <w:r w:rsidR="001732C1">
        <w:t>CO</w:t>
      </w:r>
      <w:r w:rsidR="001732C1" w:rsidRPr="001732C1">
        <w:rPr>
          <w:vertAlign w:val="subscript"/>
        </w:rPr>
        <w:t>2</w:t>
      </w:r>
      <w:r w:rsidRPr="007962CE">
        <w:t>)</w:t>
      </w:r>
    </w:p>
    <w:p w14:paraId="4D6DC133" w14:textId="328D4649" w:rsidR="0051465C" w:rsidRDefault="0051465C" w:rsidP="0051465C">
      <w:pPr>
        <w:pStyle w:val="Heading6"/>
      </w:pPr>
      <w:r>
        <w:t xml:space="preserve">BEV </w:t>
      </w:r>
      <w:r w:rsidR="001732C1">
        <w:t>CO</w:t>
      </w:r>
      <w:r w:rsidR="001732C1" w:rsidRPr="001732C1">
        <w:rPr>
          <w:vertAlign w:val="subscript"/>
        </w:rPr>
        <w:t>2</w:t>
      </w:r>
      <w:r>
        <w:t xml:space="preserve"> Reductions</w:t>
      </w:r>
    </w:p>
    <w:p w14:paraId="400C4E98" w14:textId="77AC2B7D" w:rsidR="00F47B4E" w:rsidRDefault="001732C1" w:rsidP="00D24A40">
      <w:pPr>
        <w:pStyle w:val="BodyText"/>
      </w:pPr>
      <w:r>
        <w:t>CO</w:t>
      </w:r>
      <w:r w:rsidRPr="001732C1">
        <w:rPr>
          <w:vertAlign w:val="subscript"/>
        </w:rPr>
        <w:t>2</w:t>
      </w:r>
      <w:r w:rsidR="0051465C">
        <w:t xml:space="preserve"> reductions from BEVs are based on the difference between emissions from charging associated with the eVMT of the BEVs incentivized under the </w:t>
      </w:r>
      <w:r w:rsidR="00196062">
        <w:t>VIP</w:t>
      </w:r>
      <w:r w:rsidR="0051465C">
        <w:t xml:space="preserve"> compared to the eVMT from BEV anticipated by EMFAC. Any additional eVMT from the </w:t>
      </w:r>
      <w:r w:rsidR="00196062">
        <w:t>VIP</w:t>
      </w:r>
      <w:r w:rsidR="0051465C">
        <w:t xml:space="preserve"> is assumed to offset </w:t>
      </w:r>
      <w:r w:rsidR="009177C4">
        <w:t xml:space="preserve">equivalent </w:t>
      </w:r>
      <w:r w:rsidR="0051465C">
        <w:t>gasoline LDV VMT.</w:t>
      </w:r>
      <w:r w:rsidR="009177C4">
        <w:t xml:space="preserve"> </w:t>
      </w:r>
      <w:r w:rsidR="00C601E3">
        <w:t>Similar to Equation 2</w:t>
      </w:r>
      <w:r w:rsidR="0097327C">
        <w:t>,</w:t>
      </w:r>
      <w:r w:rsidR="009177C4">
        <w:t xml:space="preserve"> BEV emission reductions from the </w:t>
      </w:r>
      <w:r w:rsidR="00196062">
        <w:t>VIP</w:t>
      </w:r>
      <w:r w:rsidR="009177C4">
        <w:t xml:space="preserve"> are based on the following equation. </w:t>
      </w:r>
    </w:p>
    <w:p w14:paraId="7D760BC0" w14:textId="571DBE58" w:rsidR="009177C4" w:rsidRDefault="00196062" w:rsidP="00D24A40">
      <w:pPr>
        <w:pStyle w:val="BodyText"/>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BE</m:t>
                  </m:r>
                  <m:sSub>
                    <m:sSubPr>
                      <m:ctrlPr>
                        <w:rPr>
                          <w:rFonts w:ascii="Cambria Math" w:hAnsi="Cambria Math"/>
                          <w:i/>
                        </w:rPr>
                      </m:ctrlPr>
                    </m:sSubPr>
                    <m:e>
                      <m:r>
                        <w:rPr>
                          <w:rFonts w:ascii="Cambria Math" w:hAnsi="Cambria Math"/>
                        </w:rPr>
                        <m:t>V</m:t>
                      </m:r>
                    </m:e>
                    <m:sub>
                      <m:r>
                        <w:rPr>
                          <w:rFonts w:ascii="Cambria Math" w:hAnsi="Cambria Math"/>
                        </w:rPr>
                        <m:t>VBIP</m:t>
                      </m:r>
                    </m:sub>
                  </m:sSub>
                </m:sub>
              </m:sSub>
              <m:r>
                <w:rPr>
                  <w:rFonts w:ascii="Cambria Math" w:hAnsi="Cambria Math"/>
                </w:rPr>
                <m:t xml:space="preserve">= </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VMT</m:t>
                          </m:r>
                        </m:e>
                        <m:sub>
                          <m:r>
                            <w:rPr>
                              <w:rFonts w:ascii="Cambria Math" w:hAnsi="Cambria Math"/>
                            </w:rPr>
                            <m:t>BE</m:t>
                          </m:r>
                          <m:sSub>
                            <m:sSubPr>
                              <m:ctrlPr>
                                <w:rPr>
                                  <w:rFonts w:ascii="Cambria Math" w:hAnsi="Cambria Math"/>
                                  <w:i/>
                                </w:rPr>
                              </m:ctrlPr>
                            </m:sSubPr>
                            <m:e>
                              <m:r>
                                <w:rPr>
                                  <w:rFonts w:ascii="Cambria Math" w:hAnsi="Cambria Math"/>
                                </w:rPr>
                                <m:t>V</m:t>
                              </m:r>
                            </m:e>
                            <m:sub>
                              <m:r>
                                <w:rPr>
                                  <w:rFonts w:ascii="Cambria Math" w:hAnsi="Cambria Math"/>
                                </w:rPr>
                                <m:t>VIP</m:t>
                              </m:r>
                            </m:sub>
                          </m:sSub>
                        </m:sub>
                      </m:sSub>
                      <m:r>
                        <w:rPr>
                          <w:rFonts w:ascii="Cambria Math" w:hAnsi="Cambria Math"/>
                        </w:rPr>
                        <m:t>-</m:t>
                      </m:r>
                      <m:sSub>
                        <m:sSubPr>
                          <m:ctrlPr>
                            <w:rPr>
                              <w:rFonts w:ascii="Cambria Math" w:hAnsi="Cambria Math"/>
                              <w:i/>
                            </w:rPr>
                          </m:ctrlPr>
                        </m:sSubPr>
                        <m:e>
                          <m:r>
                            <w:rPr>
                              <w:rFonts w:ascii="Cambria Math" w:hAnsi="Cambria Math"/>
                            </w:rPr>
                            <m:t>VMT</m:t>
                          </m:r>
                        </m:e>
                        <m:sub>
                          <m:r>
                            <w:rPr>
                              <w:rFonts w:ascii="Cambria Math" w:hAnsi="Cambria Math"/>
                            </w:rPr>
                            <m:t>BE</m:t>
                          </m:r>
                          <m:sSub>
                            <m:sSubPr>
                              <m:ctrlPr>
                                <w:rPr>
                                  <w:rFonts w:ascii="Cambria Math" w:hAnsi="Cambria Math"/>
                                  <w:i/>
                                </w:rPr>
                              </m:ctrlPr>
                            </m:sSubPr>
                            <m:e>
                              <m:r>
                                <w:rPr>
                                  <w:rFonts w:ascii="Cambria Math" w:hAnsi="Cambria Math"/>
                                </w:rPr>
                                <m:t>V</m:t>
                              </m:r>
                            </m:e>
                            <m:sub>
                              <m:r>
                                <w:rPr>
                                  <w:rFonts w:ascii="Cambria Math" w:hAnsi="Cambria Math"/>
                                </w:rPr>
                                <m:t>EMFAC</m:t>
                              </m:r>
                            </m:sub>
                          </m:sSub>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EF</m:t>
                          </m:r>
                        </m:e>
                        <m:sub>
                          <m:r>
                            <w:rPr>
                              <w:rFonts w:ascii="Cambria Math" w:hAnsi="Cambria Math"/>
                            </w:rPr>
                            <m:t>Gas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FE</m:t>
                              </m:r>
                            </m:e>
                            <m:sub>
                              <m:r>
                                <w:rPr>
                                  <w:rFonts w:ascii="Cambria Math" w:hAnsi="Cambria Math"/>
                                </w:rPr>
                                <m:t>EV</m:t>
                              </m:r>
                            </m:sub>
                          </m:sSub>
                          <m:r>
                            <w:rPr>
                              <w:rFonts w:ascii="Cambria Math" w:hAnsi="Cambria Math"/>
                            </w:rPr>
                            <m:t xml:space="preserve">* </m:t>
                          </m:r>
                          <m:sSub>
                            <m:sSubPr>
                              <m:ctrlPr>
                                <w:rPr>
                                  <w:rFonts w:ascii="Cambria Math" w:hAnsi="Cambria Math"/>
                                  <w:i/>
                                </w:rPr>
                              </m:ctrlPr>
                            </m:sSubPr>
                            <m:e>
                              <m:r>
                                <w:rPr>
                                  <w:rFonts w:ascii="Cambria Math" w:hAnsi="Cambria Math"/>
                                </w:rPr>
                                <m:t>EF</m:t>
                              </m:r>
                            </m:e>
                            <m:sub>
                              <m:r>
                                <w:rPr>
                                  <w:rFonts w:ascii="Cambria Math" w:hAnsi="Cambria Math"/>
                                </w:rPr>
                                <m:t>E</m:t>
                              </m:r>
                            </m:sub>
                          </m:sSub>
                        </m:e>
                      </m:d>
                    </m:e>
                  </m:d>
                </m:num>
                <m:den>
                  <m:sSup>
                    <m:sSupPr>
                      <m:ctrlPr>
                        <w:rPr>
                          <w:rFonts w:ascii="Cambria Math" w:hAnsi="Cambria Math"/>
                          <w:i/>
                        </w:rPr>
                      </m:ctrlPr>
                    </m:sSupPr>
                    <m:e>
                      <m:r>
                        <w:rPr>
                          <w:rFonts w:ascii="Cambria Math" w:hAnsi="Cambria Math"/>
                        </w:rPr>
                        <m:t>10</m:t>
                      </m:r>
                    </m:e>
                    <m:sup>
                      <m:r>
                        <w:rPr>
                          <w:rFonts w:ascii="Cambria Math" w:hAnsi="Cambria Math"/>
                        </w:rPr>
                        <m:t>6</m:t>
                      </m:r>
                    </m:sup>
                  </m:sSup>
                  <m:f>
                    <m:fPr>
                      <m:ctrlPr>
                        <w:rPr>
                          <w:rFonts w:ascii="Cambria Math" w:hAnsi="Cambria Math"/>
                          <w:i/>
                        </w:rPr>
                      </m:ctrlPr>
                    </m:fPr>
                    <m:num>
                      <m:r>
                        <w:rPr>
                          <w:rFonts w:ascii="Cambria Math" w:hAnsi="Cambria Math"/>
                        </w:rPr>
                        <m:t>g</m:t>
                      </m:r>
                    </m:num>
                    <m:den>
                      <m:r>
                        <w:rPr>
                          <w:rFonts w:ascii="Cambria Math" w:hAnsi="Cambria Math"/>
                        </w:rPr>
                        <m:t>MT</m:t>
                      </m:r>
                    </m:den>
                  </m:f>
                </m:den>
              </m:f>
              <m:r>
                <w:rPr>
                  <w:rFonts w:ascii="Cambria Math" w:hAnsi="Cambria Math"/>
                </w:rPr>
                <m:t>#(Equation 9)</m:t>
              </m:r>
            </m:e>
          </m:eqArr>
        </m:oMath>
      </m:oMathPara>
    </w:p>
    <w:p w14:paraId="06A18058" w14:textId="77777777" w:rsidR="00C601E3" w:rsidRDefault="00C601E3" w:rsidP="00C601E3">
      <w:pPr>
        <w:pStyle w:val="BodyText"/>
      </w:pPr>
      <w:r>
        <w:lastRenderedPageBreak/>
        <w:t>Where:</w:t>
      </w:r>
    </w:p>
    <w:p w14:paraId="7CC55820" w14:textId="4BAA4B5A" w:rsidR="00C601E3" w:rsidRPr="00D91BA9" w:rsidRDefault="00C601E3" w:rsidP="0097327C">
      <w:pPr>
        <w:pStyle w:val="BodyText"/>
        <w:ind w:left="1620" w:hanging="900"/>
      </w:pPr>
      <w:r>
        <w:t>E</w:t>
      </w:r>
      <w:r w:rsidRPr="007F25E6">
        <w:rPr>
          <w:vertAlign w:val="subscript"/>
        </w:rPr>
        <w:t>BEV_</w:t>
      </w:r>
      <w:r w:rsidR="00196062">
        <w:rPr>
          <w:vertAlign w:val="subscript"/>
        </w:rPr>
        <w:t>VIP</w:t>
      </w:r>
      <w:r>
        <w:rPr>
          <w:vertAlign w:val="subscript"/>
        </w:rPr>
        <w:t xml:space="preserve"> </w:t>
      </w:r>
      <w:r>
        <w:t xml:space="preserve">= Emissions </w:t>
      </w:r>
      <w:r w:rsidR="0097327C">
        <w:t xml:space="preserve">reductions </w:t>
      </w:r>
      <w:r>
        <w:t xml:space="preserve">from </w:t>
      </w:r>
      <w:r w:rsidR="0097327C">
        <w:t xml:space="preserve">the BEV population under </w:t>
      </w:r>
      <w:r w:rsidR="00196062">
        <w:t>VIP</w:t>
      </w:r>
      <w:r>
        <w:t xml:space="preserve"> compared to EMFAC forecasts (MT </w:t>
      </w:r>
      <w:r w:rsidR="001732C1">
        <w:t>CO</w:t>
      </w:r>
      <w:r w:rsidR="001732C1" w:rsidRPr="001732C1">
        <w:rPr>
          <w:vertAlign w:val="subscript"/>
        </w:rPr>
        <w:t>2</w:t>
      </w:r>
      <w:r w:rsidRPr="007962CE">
        <w:t>)</w:t>
      </w:r>
    </w:p>
    <w:p w14:paraId="39D2D19D" w14:textId="519B75F8" w:rsidR="00C601E3" w:rsidRDefault="00C601E3" w:rsidP="00C601E3">
      <w:pPr>
        <w:pStyle w:val="BodyText"/>
        <w:ind w:left="1710" w:hanging="990"/>
      </w:pPr>
      <w:r>
        <w:t>VMT</w:t>
      </w:r>
      <w:r w:rsidRPr="005D33B5">
        <w:rPr>
          <w:vertAlign w:val="subscript"/>
        </w:rPr>
        <w:t>BEV_</w:t>
      </w:r>
      <w:r w:rsidR="00196062">
        <w:rPr>
          <w:vertAlign w:val="subscript"/>
        </w:rPr>
        <w:t>VIP</w:t>
      </w:r>
      <w:r>
        <w:t xml:space="preserve"> = eVMT associated with </w:t>
      </w:r>
      <w:r w:rsidR="0097327C">
        <w:t xml:space="preserve">all </w:t>
      </w:r>
      <w:r>
        <w:t xml:space="preserve">BEVs </w:t>
      </w:r>
      <w:r w:rsidR="0097327C">
        <w:t xml:space="preserve">including those incentivized </w:t>
      </w:r>
      <w:r>
        <w:t xml:space="preserve">under the </w:t>
      </w:r>
      <w:r w:rsidR="00196062">
        <w:t>VIP</w:t>
      </w:r>
      <w:r w:rsidR="0097327C">
        <w:t xml:space="preserve"> (mi/day)</w:t>
      </w:r>
    </w:p>
    <w:p w14:paraId="67C055F7" w14:textId="38B2E9D0" w:rsidR="00C601E3" w:rsidRDefault="00C601E3" w:rsidP="00C601E3">
      <w:pPr>
        <w:pStyle w:val="BodyText"/>
        <w:ind w:left="1710" w:hanging="990"/>
      </w:pPr>
      <w:r>
        <w:t>VMT</w:t>
      </w:r>
      <w:r w:rsidRPr="005D33B5">
        <w:rPr>
          <w:vertAlign w:val="subscript"/>
        </w:rPr>
        <w:t>BEV_EMFAC</w:t>
      </w:r>
      <w:r>
        <w:t xml:space="preserve"> = eVMT associated </w:t>
      </w:r>
      <w:r w:rsidR="0097327C">
        <w:t xml:space="preserve">will all </w:t>
      </w:r>
      <w:r>
        <w:t xml:space="preserve">BEV VMT under </w:t>
      </w:r>
      <w:r w:rsidR="008311A2">
        <w:t>EMFAC2017</w:t>
      </w:r>
      <w:r>
        <w:t xml:space="preserve"> forecasts</w:t>
      </w:r>
      <w:r w:rsidR="0097327C">
        <w:t xml:space="preserve"> (mi/day)</w:t>
      </w:r>
    </w:p>
    <w:p w14:paraId="58AECE14" w14:textId="56CC4E6D" w:rsidR="00C601E3" w:rsidRDefault="00C601E3" w:rsidP="00C601E3">
      <w:pPr>
        <w:pStyle w:val="BodyText"/>
        <w:ind w:left="1440" w:hanging="720"/>
      </w:pPr>
      <w:r>
        <w:t>EF</w:t>
      </w:r>
      <w:r w:rsidRPr="00AF66BC">
        <w:rPr>
          <w:vertAlign w:val="subscript"/>
        </w:rPr>
        <w:t>Gas</w:t>
      </w:r>
      <w:r>
        <w:t xml:space="preserve"> = Emissions factor per mile associated with gasoline LDVs in the SANDAG region, as modeled in </w:t>
      </w:r>
      <w:r w:rsidR="008311A2">
        <w:t>EMFAC2017</w:t>
      </w:r>
      <w:r>
        <w:t xml:space="preserve"> (g </w:t>
      </w:r>
      <w:r w:rsidR="001732C1">
        <w:t>CO</w:t>
      </w:r>
      <w:r w:rsidR="001732C1" w:rsidRPr="001732C1">
        <w:rPr>
          <w:vertAlign w:val="subscript"/>
        </w:rPr>
        <w:t>2</w:t>
      </w:r>
      <w:r>
        <w:t>/mi</w:t>
      </w:r>
      <w:r w:rsidRPr="007962CE">
        <w:t>)</w:t>
      </w:r>
      <w:r>
        <w:t xml:space="preserve">. Based on EMFAC vehicle categories LDA, LDT1, LDT2, and MDV. </w:t>
      </w:r>
    </w:p>
    <w:p w14:paraId="4524BDF1" w14:textId="77777777" w:rsidR="00C601E3" w:rsidRDefault="00C601E3" w:rsidP="00C601E3">
      <w:pPr>
        <w:pStyle w:val="BodyText"/>
        <w:ind w:left="1710" w:hanging="990"/>
      </w:pPr>
      <w:r>
        <w:t>FE</w:t>
      </w:r>
      <w:r>
        <w:rPr>
          <w:vertAlign w:val="subscript"/>
        </w:rPr>
        <w:t>EV</w:t>
      </w:r>
      <w:r>
        <w:t xml:space="preserve"> = Fuel economy of electric vehicles (kWh/mi) (e.g., 0.225 kWh/mi)</w:t>
      </w:r>
    </w:p>
    <w:p w14:paraId="2D9796E0" w14:textId="79C7934D" w:rsidR="00C601E3" w:rsidRPr="00D91BA9" w:rsidRDefault="00C601E3" w:rsidP="00C601E3">
      <w:pPr>
        <w:pStyle w:val="BodyText"/>
        <w:ind w:left="1710" w:hanging="990"/>
      </w:pPr>
      <w:r>
        <w:t>EF</w:t>
      </w:r>
      <w:r>
        <w:rPr>
          <w:vertAlign w:val="subscript"/>
        </w:rPr>
        <w:t xml:space="preserve">E </w:t>
      </w:r>
      <w:r>
        <w:t xml:space="preserve">= Electricity emission factor (g </w:t>
      </w:r>
      <w:r w:rsidR="001732C1">
        <w:t>CO</w:t>
      </w:r>
      <w:r w:rsidR="001732C1" w:rsidRPr="001732C1">
        <w:rPr>
          <w:vertAlign w:val="subscript"/>
        </w:rPr>
        <w:t>2</w:t>
      </w:r>
      <w:r>
        <w:t>/kWh)</w:t>
      </w:r>
    </w:p>
    <w:p w14:paraId="56B8FCF9" w14:textId="6E7D02F4" w:rsidR="009177C4" w:rsidRDefault="009177C4" w:rsidP="00D24A40">
      <w:pPr>
        <w:pStyle w:val="BodyText"/>
      </w:pPr>
      <w:r>
        <w:t>Because both Equation</w:t>
      </w:r>
      <w:r w:rsidR="00127378">
        <w:t>s</w:t>
      </w:r>
      <w:r>
        <w:t xml:space="preserve"> 2 and </w:t>
      </w:r>
      <w:r w:rsidR="00AC2E3C">
        <w:t>9</w:t>
      </w:r>
      <w:r>
        <w:t xml:space="preserve"> calculate reductions relative to EMFAC</w:t>
      </w:r>
      <w:r w:rsidR="004718D2">
        <w:t>-</w:t>
      </w:r>
      <w:r>
        <w:t xml:space="preserve">forecasted VMT, </w:t>
      </w:r>
      <w:r w:rsidR="0097327C">
        <w:t xml:space="preserve">BEV </w:t>
      </w:r>
      <w:r>
        <w:t xml:space="preserve">emissions reductions from </w:t>
      </w:r>
      <w:r w:rsidR="00196062">
        <w:t>VIP</w:t>
      </w:r>
      <w:r>
        <w:t xml:space="preserve"> (E</w:t>
      </w:r>
      <w:r>
        <w:rPr>
          <w:vertAlign w:val="subscript"/>
        </w:rPr>
        <w:t>BEV_</w:t>
      </w:r>
      <w:r w:rsidR="00196062">
        <w:rPr>
          <w:vertAlign w:val="subscript"/>
        </w:rPr>
        <w:t>VIP</w:t>
      </w:r>
      <w:r>
        <w:t>)</w:t>
      </w:r>
      <w:r w:rsidR="00C601E3">
        <w:t xml:space="preserve"> </w:t>
      </w:r>
      <w:r w:rsidR="004718D2">
        <w:t xml:space="preserve">are assumed to be </w:t>
      </w:r>
      <w:r>
        <w:t xml:space="preserve">independent of the </w:t>
      </w:r>
      <w:r w:rsidR="004718D2">
        <w:t xml:space="preserve">BEV </w:t>
      </w:r>
      <w:r>
        <w:t xml:space="preserve">reductions from </w:t>
      </w:r>
      <w:r w:rsidR="001B03B4">
        <w:t>RECP</w:t>
      </w:r>
      <w:r>
        <w:t xml:space="preserve"> (E</w:t>
      </w:r>
      <w:r w:rsidRPr="009177C4">
        <w:rPr>
          <w:vertAlign w:val="subscript"/>
        </w:rPr>
        <w:t>BEV_</w:t>
      </w:r>
      <w:r w:rsidR="001B03B4">
        <w:rPr>
          <w:vertAlign w:val="subscript"/>
        </w:rPr>
        <w:t>RECP</w:t>
      </w:r>
      <w:r>
        <w:t>).</w:t>
      </w:r>
      <w:r w:rsidR="00D149F1">
        <w:t xml:space="preserve"> </w:t>
      </w:r>
      <w:r w:rsidR="004718D2">
        <w:t>VMT</w:t>
      </w:r>
      <w:r w:rsidR="004718D2" w:rsidRPr="00D149F1">
        <w:rPr>
          <w:vertAlign w:val="subscript"/>
        </w:rPr>
        <w:t>BEV_</w:t>
      </w:r>
      <w:r w:rsidR="00196062">
        <w:rPr>
          <w:vertAlign w:val="subscript"/>
        </w:rPr>
        <w:t>VIP</w:t>
      </w:r>
      <w:r w:rsidR="004718D2">
        <w:rPr>
          <w:vertAlign w:val="subscript"/>
        </w:rPr>
        <w:t xml:space="preserve"> </w:t>
      </w:r>
      <w:r w:rsidR="004718D2">
        <w:t xml:space="preserve">is the product of the targeted BEV population under </w:t>
      </w:r>
      <w:r w:rsidR="00196062">
        <w:t>VIP</w:t>
      </w:r>
      <w:r w:rsidR="004718D2">
        <w:t xml:space="preserve"> and the average daily miles per vehicle for EVs as modeled in </w:t>
      </w:r>
      <w:r w:rsidR="008311A2">
        <w:t>EMFAC2017</w:t>
      </w:r>
      <w:r w:rsidR="004718D2">
        <w:t xml:space="preserve">. </w:t>
      </w:r>
      <w:r w:rsidR="00D149F1">
        <w:t>VMT</w:t>
      </w:r>
      <w:r w:rsidR="00D149F1" w:rsidRPr="00D149F1">
        <w:rPr>
          <w:vertAlign w:val="subscript"/>
        </w:rPr>
        <w:t>BEV_EMFAC</w:t>
      </w:r>
      <w:r w:rsidR="00D149F1">
        <w:t>, EF</w:t>
      </w:r>
      <w:r w:rsidR="00D149F1" w:rsidRPr="00D149F1">
        <w:rPr>
          <w:vertAlign w:val="subscript"/>
        </w:rPr>
        <w:t>Gas</w:t>
      </w:r>
      <w:r w:rsidR="00D149F1">
        <w:t>, FE</w:t>
      </w:r>
      <w:r w:rsidR="00D149F1" w:rsidRPr="00D149F1">
        <w:rPr>
          <w:vertAlign w:val="subscript"/>
        </w:rPr>
        <w:t>EV</w:t>
      </w:r>
      <w:r w:rsidR="00D149F1">
        <w:t>, and EF</w:t>
      </w:r>
      <w:r w:rsidR="00D149F1" w:rsidRPr="00D149F1">
        <w:rPr>
          <w:vertAlign w:val="subscript"/>
        </w:rPr>
        <w:t>E</w:t>
      </w:r>
      <w:r w:rsidR="00D149F1">
        <w:t xml:space="preserve"> are the same values used in Equation 2. </w:t>
      </w:r>
    </w:p>
    <w:p w14:paraId="1F858316" w14:textId="6E467867" w:rsidR="00CD7CB4" w:rsidRDefault="00CD7CB4" w:rsidP="00CD7CB4">
      <w:pPr>
        <w:pStyle w:val="Heading6"/>
      </w:pPr>
      <w:r>
        <w:t xml:space="preserve">PHEV </w:t>
      </w:r>
      <w:r w:rsidR="001732C1">
        <w:t>CO</w:t>
      </w:r>
      <w:r w:rsidR="001732C1" w:rsidRPr="001732C1">
        <w:rPr>
          <w:vertAlign w:val="subscript"/>
        </w:rPr>
        <w:t>2</w:t>
      </w:r>
      <w:r>
        <w:t xml:space="preserve"> Reductions</w:t>
      </w:r>
    </w:p>
    <w:p w14:paraId="5C9060BA" w14:textId="485C821B" w:rsidR="004718D2" w:rsidRDefault="004718D2" w:rsidP="00D24A40">
      <w:pPr>
        <w:pStyle w:val="BodyText"/>
      </w:pPr>
      <w:r>
        <w:t>For emission reductions from PHEVs, the a</w:t>
      </w:r>
      <w:r w:rsidR="00800B61">
        <w:t xml:space="preserve">pproach is similar to Equation </w:t>
      </w:r>
      <w:r w:rsidR="001B03B4">
        <w:t xml:space="preserve">6 </w:t>
      </w:r>
      <w:r w:rsidR="004F4635">
        <w:t xml:space="preserve">with an added complication behind the UF assumption. </w:t>
      </w:r>
    </w:p>
    <w:p w14:paraId="29FBA38A" w14:textId="6E286C57" w:rsidR="00800B61" w:rsidRDefault="00196062" w:rsidP="00800B61">
      <w:pPr>
        <w:pStyle w:val="BodyText"/>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PHE</m:t>
                  </m:r>
                  <m:sSub>
                    <m:sSubPr>
                      <m:ctrlPr>
                        <w:rPr>
                          <w:rFonts w:ascii="Cambria Math" w:hAnsi="Cambria Math"/>
                          <w:i/>
                        </w:rPr>
                      </m:ctrlPr>
                    </m:sSubPr>
                    <m:e>
                      <m:r>
                        <w:rPr>
                          <w:rFonts w:ascii="Cambria Math" w:hAnsi="Cambria Math"/>
                        </w:rPr>
                        <m:t>V</m:t>
                      </m:r>
                    </m:e>
                    <m:sub>
                      <m:r>
                        <w:rPr>
                          <w:rFonts w:ascii="Cambria Math" w:hAnsi="Cambria Math"/>
                        </w:rPr>
                        <m:t>VIP</m:t>
                      </m:r>
                    </m:sub>
                  </m:sSub>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VMT</m:t>
                          </m:r>
                        </m:e>
                        <m:sub>
                          <m:sSub>
                            <m:sSubPr>
                              <m:ctrlPr>
                                <w:rPr>
                                  <w:rFonts w:ascii="Cambria Math" w:hAnsi="Cambria Math"/>
                                  <w:i/>
                                </w:rPr>
                              </m:ctrlPr>
                            </m:sSubPr>
                            <m:e>
                              <m:r>
                                <w:rPr>
                                  <w:rFonts w:ascii="Cambria Math" w:hAnsi="Cambria Math"/>
                                </w:rPr>
                                <m:t>PHEV</m:t>
                              </m:r>
                            </m:e>
                            <m:sub>
                              <m:r>
                                <w:rPr>
                                  <w:rFonts w:ascii="Cambria Math" w:hAnsi="Cambria Math"/>
                                </w:rPr>
                                <m:t>VIP</m:t>
                              </m:r>
                            </m:sub>
                          </m:sSub>
                        </m:sub>
                      </m:sSub>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UF</m:t>
                              </m:r>
                            </m:e>
                            <m:sub>
                              <m:r>
                                <w:rPr>
                                  <w:rFonts w:ascii="Cambria Math" w:hAnsi="Cambria Math"/>
                                </w:rPr>
                                <m:t>VIP</m:t>
                              </m:r>
                            </m:sub>
                          </m:sSub>
                        </m:e>
                      </m:d>
                    </m:e>
                  </m:d>
                  <m:r>
                    <w:rPr>
                      <w:rFonts w:ascii="Cambria Math" w:hAnsi="Cambria Math"/>
                    </w:rPr>
                    <m:t>*</m:t>
                  </m:r>
                  <m:sSub>
                    <m:sSubPr>
                      <m:ctrlPr>
                        <w:rPr>
                          <w:rFonts w:ascii="Cambria Math" w:hAnsi="Cambria Math"/>
                          <w:i/>
                        </w:rPr>
                      </m:ctrlPr>
                    </m:sSubPr>
                    <m:e>
                      <m:r>
                        <w:rPr>
                          <w:rFonts w:ascii="Cambria Math" w:hAnsi="Cambria Math"/>
                        </w:rPr>
                        <m:t>EF</m:t>
                      </m:r>
                    </m:e>
                    <m:sub>
                      <m:r>
                        <w:rPr>
                          <w:rFonts w:ascii="Cambria Math" w:hAnsi="Cambria Math"/>
                        </w:rPr>
                        <m:t>Gas</m:t>
                      </m:r>
                    </m:sub>
                  </m:sSub>
                  <m:r>
                    <w:rPr>
                      <w:rFonts w:ascii="Cambria Math" w:hAnsi="Cambria Math"/>
                    </w:rPr>
                    <m:t>+</m:t>
                  </m:r>
                  <m:sSub>
                    <m:sSubPr>
                      <m:ctrlPr>
                        <w:rPr>
                          <w:rFonts w:ascii="Cambria Math" w:hAnsi="Cambria Math"/>
                          <w:i/>
                        </w:rPr>
                      </m:ctrlPr>
                    </m:sSubPr>
                    <m:e>
                      <m:r>
                        <w:rPr>
                          <w:rFonts w:ascii="Cambria Math" w:hAnsi="Cambria Math"/>
                        </w:rPr>
                        <m:t>VMT</m:t>
                      </m:r>
                    </m:e>
                    <m:sub>
                      <m:sSub>
                        <m:sSubPr>
                          <m:ctrlPr>
                            <w:rPr>
                              <w:rFonts w:ascii="Cambria Math" w:hAnsi="Cambria Math"/>
                              <w:i/>
                            </w:rPr>
                          </m:ctrlPr>
                        </m:sSubPr>
                        <m:e>
                          <m:r>
                            <w:rPr>
                              <w:rFonts w:ascii="Cambria Math" w:hAnsi="Cambria Math"/>
                            </w:rPr>
                            <m:t>PHEV</m:t>
                          </m:r>
                        </m:e>
                        <m:sub>
                          <m:r>
                            <w:rPr>
                              <w:rFonts w:ascii="Cambria Math" w:hAnsi="Cambria Math"/>
                            </w:rPr>
                            <m:t>VIP</m:t>
                          </m:r>
                        </m:sub>
                      </m:sSub>
                    </m:sub>
                  </m:sSub>
                  <m:r>
                    <w:rPr>
                      <w:rFonts w:ascii="Cambria Math" w:hAnsi="Cambria Math"/>
                    </w:rPr>
                    <m:t>*</m:t>
                  </m:r>
                  <m:sSub>
                    <m:sSubPr>
                      <m:ctrlPr>
                        <w:rPr>
                          <w:rFonts w:ascii="Cambria Math" w:hAnsi="Cambria Math"/>
                          <w:i/>
                        </w:rPr>
                      </m:ctrlPr>
                    </m:sSubPr>
                    <m:e>
                      <m:r>
                        <w:rPr>
                          <w:rFonts w:ascii="Cambria Math" w:hAnsi="Cambria Math"/>
                        </w:rPr>
                        <m:t>UF</m:t>
                      </m:r>
                    </m:e>
                    <m:sub>
                      <m:r>
                        <w:rPr>
                          <w:rFonts w:ascii="Cambria Math" w:hAnsi="Cambria Math"/>
                        </w:rPr>
                        <m:t>VIP</m:t>
                      </m:r>
                    </m:sub>
                  </m:sSub>
                  <m:r>
                    <w:rPr>
                      <w:rFonts w:ascii="Cambria Math" w:hAnsi="Cambria Math"/>
                    </w:rPr>
                    <m:t>*</m:t>
                  </m:r>
                  <m:sSub>
                    <m:sSubPr>
                      <m:ctrlPr>
                        <w:rPr>
                          <w:rFonts w:ascii="Cambria Math" w:hAnsi="Cambria Math"/>
                          <w:i/>
                        </w:rPr>
                      </m:ctrlPr>
                    </m:sSubPr>
                    <m:e>
                      <m:r>
                        <w:rPr>
                          <w:rFonts w:ascii="Cambria Math" w:hAnsi="Cambria Math"/>
                        </w:rPr>
                        <m:t>EF</m:t>
                      </m:r>
                    </m:e>
                    <m:sub>
                      <m:r>
                        <w:rPr>
                          <w:rFonts w:ascii="Cambria Math" w:hAnsi="Cambria Math"/>
                        </w:rPr>
                        <m:t>EV</m:t>
                      </m:r>
                    </m:sub>
                  </m:sSub>
                </m:num>
                <m:den>
                  <m:sSup>
                    <m:sSupPr>
                      <m:ctrlPr>
                        <w:rPr>
                          <w:rFonts w:ascii="Cambria Math" w:hAnsi="Cambria Math"/>
                          <w:i/>
                        </w:rPr>
                      </m:ctrlPr>
                    </m:sSupPr>
                    <m:e>
                      <m:r>
                        <w:rPr>
                          <w:rFonts w:ascii="Cambria Math" w:hAnsi="Cambria Math"/>
                        </w:rPr>
                        <m:t>10</m:t>
                      </m:r>
                    </m:e>
                    <m:sup>
                      <m:r>
                        <w:rPr>
                          <w:rFonts w:ascii="Cambria Math" w:hAnsi="Cambria Math"/>
                        </w:rPr>
                        <m:t>6</m:t>
                      </m:r>
                    </m:sup>
                  </m:sSup>
                  <m:f>
                    <m:fPr>
                      <m:ctrlPr>
                        <w:rPr>
                          <w:rFonts w:ascii="Cambria Math" w:hAnsi="Cambria Math"/>
                          <w:i/>
                        </w:rPr>
                      </m:ctrlPr>
                    </m:fPr>
                    <m:num>
                      <m:r>
                        <w:rPr>
                          <w:rFonts w:ascii="Cambria Math" w:hAnsi="Cambria Math"/>
                        </w:rPr>
                        <m:t>g</m:t>
                      </m:r>
                    </m:num>
                    <m:den>
                      <m:r>
                        <w:rPr>
                          <w:rFonts w:ascii="Cambria Math" w:hAnsi="Cambria Math"/>
                        </w:rPr>
                        <m:t>MT</m:t>
                      </m:r>
                    </m:den>
                  </m:f>
                </m:den>
              </m:f>
              <m:r>
                <w:rPr>
                  <w:rFonts w:ascii="Cambria Math" w:hAnsi="Cambria Math"/>
                </w:rPr>
                <m:t>#(Equation 10)</m:t>
              </m:r>
            </m:e>
          </m:eqArr>
        </m:oMath>
      </m:oMathPara>
    </w:p>
    <w:p w14:paraId="78D75874" w14:textId="77777777" w:rsidR="004F4635" w:rsidRDefault="004F4635" w:rsidP="004F4635">
      <w:pPr>
        <w:pStyle w:val="BodyText"/>
      </w:pPr>
      <w:r>
        <w:t>Where:</w:t>
      </w:r>
    </w:p>
    <w:p w14:paraId="786942AA" w14:textId="21552C7A" w:rsidR="004F4635" w:rsidRPr="00251F1E" w:rsidRDefault="004F4635" w:rsidP="004F4635">
      <w:pPr>
        <w:pStyle w:val="BodyText"/>
        <w:ind w:firstLine="720"/>
      </w:pPr>
      <w:r>
        <w:t>E</w:t>
      </w:r>
      <w:r w:rsidRPr="00251F1E">
        <w:rPr>
          <w:vertAlign w:val="subscript"/>
        </w:rPr>
        <w:t>PHEV_</w:t>
      </w:r>
      <w:r w:rsidR="00196062">
        <w:rPr>
          <w:vertAlign w:val="subscript"/>
        </w:rPr>
        <w:t>VIP</w:t>
      </w:r>
      <w:r>
        <w:t xml:space="preserve"> = Emissions from PHEVs as anticipated under </w:t>
      </w:r>
      <w:r w:rsidR="007E4300">
        <w:t xml:space="preserve">the </w:t>
      </w:r>
      <w:r w:rsidR="00196062">
        <w:t>VIP</w:t>
      </w:r>
      <w:r>
        <w:t xml:space="preserve"> (MT </w:t>
      </w:r>
      <w:r w:rsidR="001732C1">
        <w:t>CO</w:t>
      </w:r>
      <w:r w:rsidR="001732C1" w:rsidRPr="001732C1">
        <w:rPr>
          <w:vertAlign w:val="subscript"/>
        </w:rPr>
        <w:t>2</w:t>
      </w:r>
      <w:r>
        <w:t>)</w:t>
      </w:r>
    </w:p>
    <w:p w14:paraId="792F5C94" w14:textId="516A140B" w:rsidR="004F4635" w:rsidRDefault="004F4635" w:rsidP="004F4635">
      <w:pPr>
        <w:pStyle w:val="BodyText"/>
        <w:ind w:firstLine="720"/>
      </w:pPr>
      <w:r>
        <w:t>VMT</w:t>
      </w:r>
      <w:r w:rsidRPr="009B4458">
        <w:rPr>
          <w:vertAlign w:val="subscript"/>
        </w:rPr>
        <w:t>PHEV_</w:t>
      </w:r>
      <w:r w:rsidR="00196062">
        <w:rPr>
          <w:vertAlign w:val="subscript"/>
        </w:rPr>
        <w:t>VIP</w:t>
      </w:r>
      <w:r>
        <w:rPr>
          <w:vertAlign w:val="subscript"/>
        </w:rPr>
        <w:t xml:space="preserve"> </w:t>
      </w:r>
      <w:r>
        <w:t xml:space="preserve">= Daily VMT associated with PHEVs under the </w:t>
      </w:r>
      <w:r w:rsidR="00196062">
        <w:t>VIP</w:t>
      </w:r>
      <w:r>
        <w:t xml:space="preserve"> (mi/day)</w:t>
      </w:r>
    </w:p>
    <w:p w14:paraId="28FF9E77" w14:textId="75B1E1E9" w:rsidR="004F4635" w:rsidRPr="009B4458" w:rsidRDefault="004F4635" w:rsidP="004F4635">
      <w:pPr>
        <w:pStyle w:val="BodyText"/>
        <w:ind w:left="1530" w:hanging="810"/>
      </w:pPr>
      <w:r>
        <w:t>UF</w:t>
      </w:r>
      <w:r w:rsidR="00196062">
        <w:rPr>
          <w:vertAlign w:val="subscript"/>
        </w:rPr>
        <w:t>VIP</w:t>
      </w:r>
      <w:r>
        <w:rPr>
          <w:vertAlign w:val="subscript"/>
        </w:rPr>
        <w:t xml:space="preserve"> </w:t>
      </w:r>
      <w:r>
        <w:t xml:space="preserve">= PHEV utility factor </w:t>
      </w:r>
      <w:r w:rsidR="007E4300">
        <w:t xml:space="preserve">assumed for </w:t>
      </w:r>
      <w:r w:rsidR="00196062">
        <w:t>VIP</w:t>
      </w:r>
      <w:r w:rsidR="007E4300">
        <w:t xml:space="preserve"> (%)</w:t>
      </w:r>
    </w:p>
    <w:p w14:paraId="716F0914" w14:textId="1C40A40E" w:rsidR="004F4635" w:rsidRDefault="004F4635" w:rsidP="004F4635">
      <w:pPr>
        <w:pStyle w:val="BodyText"/>
        <w:ind w:left="1440" w:hanging="720"/>
      </w:pPr>
      <w:r>
        <w:t>EF</w:t>
      </w:r>
      <w:r w:rsidRPr="00AF66BC">
        <w:rPr>
          <w:vertAlign w:val="subscript"/>
        </w:rPr>
        <w:t>Gas</w:t>
      </w:r>
      <w:r>
        <w:t xml:space="preserve"> = Emissions factor per mile associated with gasoline LDVs in the SANDAG region, as modeled in </w:t>
      </w:r>
      <w:r w:rsidR="008311A2">
        <w:t>EMFAC2017</w:t>
      </w:r>
      <w:r>
        <w:t xml:space="preserve"> (g </w:t>
      </w:r>
      <w:r w:rsidR="001732C1">
        <w:t>CO</w:t>
      </w:r>
      <w:r w:rsidR="001732C1" w:rsidRPr="001732C1">
        <w:rPr>
          <w:vertAlign w:val="subscript"/>
        </w:rPr>
        <w:t>2</w:t>
      </w:r>
      <w:r>
        <w:t>/mi</w:t>
      </w:r>
      <w:r w:rsidRPr="007962CE">
        <w:t>)</w:t>
      </w:r>
      <w:r>
        <w:t xml:space="preserve">. Based on EMFAC vehicle categories LDA, LDT1, LDT2, and MDV. </w:t>
      </w:r>
    </w:p>
    <w:p w14:paraId="4BBC39E7" w14:textId="66967ADC" w:rsidR="004F4635" w:rsidRDefault="004F4635" w:rsidP="004F4635">
      <w:pPr>
        <w:pStyle w:val="BodyText"/>
        <w:ind w:left="1710" w:hanging="990"/>
      </w:pPr>
      <w:r>
        <w:t>EF</w:t>
      </w:r>
      <w:r w:rsidRPr="00A14F11">
        <w:rPr>
          <w:vertAlign w:val="subscript"/>
        </w:rPr>
        <w:t>EV</w:t>
      </w:r>
      <w:r w:rsidRPr="00A14F11">
        <w:t xml:space="preserve"> = </w:t>
      </w:r>
      <w:r>
        <w:t>FE</w:t>
      </w:r>
      <w:r>
        <w:rPr>
          <w:vertAlign w:val="subscript"/>
        </w:rPr>
        <w:t>EV</w:t>
      </w:r>
      <w:r>
        <w:t xml:space="preserve"> * EF</w:t>
      </w:r>
      <w:r>
        <w:rPr>
          <w:vertAlign w:val="subscript"/>
        </w:rPr>
        <w:t xml:space="preserve">E </w:t>
      </w:r>
      <w:r>
        <w:t xml:space="preserve">(g </w:t>
      </w:r>
      <w:r w:rsidR="001732C1">
        <w:t>CO</w:t>
      </w:r>
      <w:r w:rsidR="001732C1" w:rsidRPr="001732C1">
        <w:rPr>
          <w:vertAlign w:val="subscript"/>
        </w:rPr>
        <w:t>2</w:t>
      </w:r>
      <w:r>
        <w:t>/mi) (See Equation 2)</w:t>
      </w:r>
    </w:p>
    <w:p w14:paraId="2D34D3EB" w14:textId="1A8B69A0" w:rsidR="00323706" w:rsidRDefault="007E4300" w:rsidP="00C22444">
      <w:pPr>
        <w:pStyle w:val="BodyText"/>
      </w:pPr>
      <w:r>
        <w:t>VMT</w:t>
      </w:r>
      <w:r>
        <w:rPr>
          <w:vertAlign w:val="subscript"/>
        </w:rPr>
        <w:t>PH</w:t>
      </w:r>
      <w:r w:rsidRPr="00D149F1">
        <w:rPr>
          <w:vertAlign w:val="subscript"/>
        </w:rPr>
        <w:t>EV_</w:t>
      </w:r>
      <w:r w:rsidR="00196062">
        <w:rPr>
          <w:vertAlign w:val="subscript"/>
        </w:rPr>
        <w:t>VIP</w:t>
      </w:r>
      <w:r>
        <w:rPr>
          <w:vertAlign w:val="subscript"/>
        </w:rPr>
        <w:t xml:space="preserve"> </w:t>
      </w:r>
      <w:r>
        <w:t xml:space="preserve">is the product of the targeted PHEV population under </w:t>
      </w:r>
      <w:r w:rsidR="00196062">
        <w:t>VIP</w:t>
      </w:r>
      <w:r>
        <w:t xml:space="preserve"> and the average daily miles per vehicle for gasoline LDVs as modeled in </w:t>
      </w:r>
      <w:r w:rsidR="008311A2">
        <w:t>EMFAC2017</w:t>
      </w:r>
      <w:r>
        <w:t>.</w:t>
      </w:r>
      <w:r w:rsidR="008C12E1">
        <w:t xml:space="preserve"> </w:t>
      </w:r>
      <w:r w:rsidR="00323706">
        <w:t>To be conservative and to avoid circular arguments, UF</w:t>
      </w:r>
      <w:r w:rsidR="00196062">
        <w:rPr>
          <w:vertAlign w:val="subscript"/>
        </w:rPr>
        <w:t>VIP</w:t>
      </w:r>
      <w:r w:rsidR="00323706">
        <w:t xml:space="preserve"> is assumed to be equal to the UF assumed under EMFAC2017 (UF</w:t>
      </w:r>
      <w:r w:rsidR="00323706" w:rsidRPr="00CB440C">
        <w:rPr>
          <w:vertAlign w:val="subscript"/>
        </w:rPr>
        <w:t>EMFAC</w:t>
      </w:r>
      <w:r w:rsidR="00323706">
        <w:t>).</w:t>
      </w:r>
    </w:p>
    <w:p w14:paraId="54BE7CC5" w14:textId="72FBBD8C" w:rsidR="00702E2A" w:rsidRDefault="00702E2A" w:rsidP="0049112B">
      <w:pPr>
        <w:pStyle w:val="Heading5"/>
      </w:pPr>
      <w:r>
        <w:lastRenderedPageBreak/>
        <w:t>Incentive Costs</w:t>
      </w:r>
    </w:p>
    <w:p w14:paraId="3EA39095" w14:textId="401407C3" w:rsidR="00702E2A" w:rsidRDefault="00702E2A">
      <w:pPr>
        <w:pStyle w:val="BodyText"/>
      </w:pPr>
      <w:r>
        <w:t xml:space="preserve">To </w:t>
      </w:r>
      <w:r w:rsidR="00577627">
        <w:t>estimate</w:t>
      </w:r>
      <w:r>
        <w:t xml:space="preserve"> the cumulative incenti</w:t>
      </w:r>
      <w:r w:rsidR="005F250E">
        <w:t>ve program costs to SANDAG,</w:t>
      </w:r>
      <w:r w:rsidR="00222ED1">
        <w:t xml:space="preserve"> </w:t>
      </w:r>
      <w:r w:rsidR="005F250E">
        <w:t xml:space="preserve">the user can input </w:t>
      </w:r>
      <w:r w:rsidR="00222ED1">
        <w:t xml:space="preserve">SANDAG’s incentive </w:t>
      </w:r>
      <w:r w:rsidR="005F250E">
        <w:t xml:space="preserve">costs per </w:t>
      </w:r>
      <w:r w:rsidR="00497E6D">
        <w:t>charger or vehicle</w:t>
      </w:r>
      <w:r w:rsidR="005F250E">
        <w:t xml:space="preserve"> and </w:t>
      </w:r>
      <w:r w:rsidR="00497E6D">
        <w:t>percent-based</w:t>
      </w:r>
      <w:r w:rsidR="005F250E">
        <w:t xml:space="preserve"> administrative costs </w:t>
      </w:r>
      <w:r w:rsidR="00222ED1">
        <w:t>(e.g., five percent of</w:t>
      </w:r>
      <w:r w:rsidR="00777AC6">
        <w:t xml:space="preserve"> all vehicle</w:t>
      </w:r>
      <w:r w:rsidR="00222ED1">
        <w:t xml:space="preserve"> incentive</w:t>
      </w:r>
      <w:r w:rsidR="00777AC6">
        <w:t>s</w:t>
      </w:r>
      <w:r w:rsidR="00222ED1">
        <w:t>)</w:t>
      </w:r>
      <w:r w:rsidR="00497E6D">
        <w:t xml:space="preserve"> for each milestone year</w:t>
      </w:r>
      <w:r w:rsidR="005F250E">
        <w:t>. For th</w:t>
      </w:r>
      <w:r w:rsidR="00497E6D">
        <w:t xml:space="preserve">e RECP, the user can choose SANDAG’s </w:t>
      </w:r>
      <w:r w:rsidR="005F250E">
        <w:t xml:space="preserve">average incentive </w:t>
      </w:r>
      <w:r w:rsidR="00497E6D">
        <w:t xml:space="preserve">cost </w:t>
      </w:r>
      <w:r w:rsidR="005F250E">
        <w:t>per workplace charger, public L2 charge</w:t>
      </w:r>
      <w:r w:rsidR="0049112B">
        <w:t>r</w:t>
      </w:r>
      <w:r w:rsidR="005F250E">
        <w:t xml:space="preserve">, and public DC </w:t>
      </w:r>
      <w:r w:rsidR="0049112B">
        <w:t>F</w:t>
      </w:r>
      <w:r w:rsidR="005F250E">
        <w:t xml:space="preserve">ast </w:t>
      </w:r>
      <w:r w:rsidR="0049112B">
        <w:t>C</w:t>
      </w:r>
      <w:r w:rsidR="005F250E">
        <w:t>harger</w:t>
      </w:r>
      <w:r w:rsidR="00FD3EDC">
        <w:t xml:space="preserve">. For the </w:t>
      </w:r>
      <w:r w:rsidR="00196062">
        <w:t>VIP</w:t>
      </w:r>
      <w:r w:rsidR="005F250E">
        <w:t xml:space="preserve">, the user can choose </w:t>
      </w:r>
      <w:r w:rsidR="00497E6D">
        <w:t>SANDAG’s</w:t>
      </w:r>
      <w:r w:rsidR="005F250E">
        <w:t xml:space="preserve"> average incentive </w:t>
      </w:r>
      <w:r w:rsidR="00497E6D">
        <w:t xml:space="preserve">cost </w:t>
      </w:r>
      <w:r w:rsidR="005F250E">
        <w:t xml:space="preserve">per BEV and PHEV. </w:t>
      </w:r>
      <w:r w:rsidR="00497E6D">
        <w:t xml:space="preserve">The total cost of each </w:t>
      </w:r>
      <w:r w:rsidR="005F250E">
        <w:t xml:space="preserve">program </w:t>
      </w:r>
      <w:r w:rsidR="00497E6D">
        <w:t>would</w:t>
      </w:r>
      <w:r w:rsidR="005F250E">
        <w:t xml:space="preserve"> be based on the</w:t>
      </w:r>
      <w:r w:rsidR="00777AC6">
        <w:t xml:space="preserve"> per-unit incentives multiplied by the</w:t>
      </w:r>
      <w:r w:rsidR="005F250E">
        <w:t xml:space="preserve"> </w:t>
      </w:r>
      <w:r w:rsidR="00777AC6">
        <w:t xml:space="preserve">associated </w:t>
      </w:r>
      <w:r w:rsidR="00E37C6E">
        <w:t>new</w:t>
      </w:r>
      <w:r w:rsidR="00497E6D">
        <w:t xml:space="preserve"> </w:t>
      </w:r>
      <w:r w:rsidR="00777AC6">
        <w:t>charger</w:t>
      </w:r>
      <w:r w:rsidR="00497E6D">
        <w:t>s</w:t>
      </w:r>
      <w:r w:rsidR="00777AC6">
        <w:t xml:space="preserve"> or </w:t>
      </w:r>
      <w:r w:rsidR="00497E6D">
        <w:t>PEV</w:t>
      </w:r>
      <w:r w:rsidR="00777AC6">
        <w:t xml:space="preserve"> </w:t>
      </w:r>
      <w:r w:rsidR="005F250E">
        <w:t>population</w:t>
      </w:r>
      <w:r w:rsidR="00777AC6">
        <w:t>s</w:t>
      </w:r>
      <w:r w:rsidR="005F250E">
        <w:t xml:space="preserve"> </w:t>
      </w:r>
      <w:r w:rsidR="00C015DC">
        <w:t>as of</w:t>
      </w:r>
      <w:r w:rsidR="00497E6D">
        <w:t xml:space="preserve"> 2018, as </w:t>
      </w:r>
      <w:r w:rsidR="0018140F">
        <w:t>calculated</w:t>
      </w:r>
      <w:r w:rsidR="005F250E">
        <w:t xml:space="preserve"> from the EV off-model </w:t>
      </w:r>
      <w:r w:rsidR="008828AE">
        <w:t>calculator for each milestone year.</w:t>
      </w:r>
      <w:r w:rsidR="00FD3EDC">
        <w:t xml:space="preserve"> The calculated costs are cumulative, because the tool calculates the cumulative number of new chargers and PEVs as of 2018 associated with the RECP and </w:t>
      </w:r>
      <w:r w:rsidR="00196062">
        <w:t>VIP</w:t>
      </w:r>
      <w:r w:rsidR="00FD3EDC">
        <w:t>.</w:t>
      </w:r>
      <w:r w:rsidR="000A7B7E">
        <w:t xml:space="preserve"> Thus, the </w:t>
      </w:r>
      <w:r w:rsidR="001F4891">
        <w:t xml:space="preserve">input </w:t>
      </w:r>
      <w:r w:rsidR="000A7B7E">
        <w:t xml:space="preserve">costs per unit </w:t>
      </w:r>
      <w:r w:rsidR="001F4891">
        <w:t xml:space="preserve">should </w:t>
      </w:r>
      <w:r w:rsidR="000A7B7E">
        <w:t xml:space="preserve">reflect </w:t>
      </w:r>
      <w:r w:rsidR="001F4891">
        <w:t>the average cost across all new chargers or vehicle incentivized since 2018.</w:t>
      </w:r>
    </w:p>
    <w:p w14:paraId="3486EC9D" w14:textId="77777777" w:rsidR="00A61BDE" w:rsidRDefault="00542B09" w:rsidP="0049112B">
      <w:pPr>
        <w:pStyle w:val="Heading5"/>
      </w:pPr>
      <w:r>
        <w:t>Results</w:t>
      </w:r>
    </w:p>
    <w:p w14:paraId="3267F080" w14:textId="07E38633" w:rsidR="00A61BDE" w:rsidRDefault="00A61BDE" w:rsidP="0049112B">
      <w:pPr>
        <w:pStyle w:val="Heading5"/>
      </w:pPr>
      <w:r>
        <w:rPr>
          <w:rFonts w:ascii="Segoe UI Semilight" w:eastAsia="Times New Roman" w:hAnsi="Segoe UI Semilight" w:cs="Times New Roman"/>
          <w:spacing w:val="0"/>
          <w:sz w:val="22"/>
          <w:szCs w:val="24"/>
        </w:rPr>
        <w:t>After testing the EV Off-Model calculator, SANDAG has selected the following scenarios to estimate GHG reductions and costs associated with EV programs that would be implemented under the 2019</w:t>
      </w:r>
      <w:r w:rsidR="000C2009">
        <w:rPr>
          <w:rFonts w:ascii="Segoe UI Semilight" w:eastAsia="Times New Roman" w:hAnsi="Segoe UI Semilight" w:cs="Times New Roman"/>
          <w:spacing w:val="0"/>
          <w:sz w:val="22"/>
          <w:szCs w:val="24"/>
        </w:rPr>
        <w:t xml:space="preserve"> Regional Plan</w:t>
      </w:r>
      <w:r>
        <w:rPr>
          <w:rFonts w:ascii="Segoe UI Semilight" w:eastAsia="Times New Roman" w:hAnsi="Segoe UI Semilight" w:cs="Times New Roman"/>
          <w:spacing w:val="0"/>
          <w:sz w:val="22"/>
          <w:szCs w:val="24"/>
        </w:rPr>
        <w:t xml:space="preserve">. For the RECP, SANDAG anticipates that they would incentivize </w:t>
      </w:r>
      <w:r w:rsidR="001D299F">
        <w:rPr>
          <w:rFonts w:ascii="Segoe UI Semilight" w:eastAsia="Times New Roman" w:hAnsi="Segoe UI Semilight" w:cs="Times New Roman"/>
          <w:spacing w:val="0"/>
          <w:sz w:val="22"/>
          <w:szCs w:val="24"/>
        </w:rPr>
        <w:t xml:space="preserve">enough </w:t>
      </w:r>
      <w:r>
        <w:rPr>
          <w:rFonts w:ascii="Segoe UI Semilight" w:eastAsia="Times New Roman" w:hAnsi="Segoe UI Semilight" w:cs="Times New Roman"/>
          <w:spacing w:val="0"/>
          <w:sz w:val="22"/>
          <w:szCs w:val="24"/>
        </w:rPr>
        <w:t xml:space="preserve">chargers to meet </w:t>
      </w:r>
      <w:commentRangeStart w:id="1"/>
      <w:r w:rsidR="001D299F" w:rsidRPr="0049112B">
        <w:rPr>
          <w:rFonts w:ascii="Segoe UI Semilight" w:eastAsia="Times New Roman" w:hAnsi="Segoe UI Semilight" w:cs="Times New Roman"/>
          <w:b/>
          <w:spacing w:val="0"/>
          <w:sz w:val="22"/>
          <w:szCs w:val="24"/>
          <w:highlight w:val="yellow"/>
        </w:rPr>
        <w:t>80 percent</w:t>
      </w:r>
      <w:r w:rsidR="001D299F">
        <w:rPr>
          <w:rFonts w:ascii="Segoe UI Semilight" w:eastAsia="Times New Roman" w:hAnsi="Segoe UI Semilight" w:cs="Times New Roman"/>
          <w:spacing w:val="0"/>
          <w:sz w:val="22"/>
          <w:szCs w:val="24"/>
        </w:rPr>
        <w:t xml:space="preserve"> </w:t>
      </w:r>
      <w:commentRangeEnd w:id="1"/>
      <w:r w:rsidR="001D299F">
        <w:rPr>
          <w:rStyle w:val="CommentReference"/>
          <w:rFonts w:ascii="Segoe UI Semilight" w:eastAsia="Times New Roman" w:hAnsi="Segoe UI Semilight" w:cs="Times New Roman"/>
          <w:spacing w:val="0"/>
        </w:rPr>
        <w:commentReference w:id="1"/>
      </w:r>
      <w:r w:rsidR="001D299F">
        <w:rPr>
          <w:rFonts w:ascii="Segoe UI Semilight" w:eastAsia="Times New Roman" w:hAnsi="Segoe UI Semilight" w:cs="Times New Roman"/>
          <w:spacing w:val="0"/>
          <w:sz w:val="22"/>
          <w:szCs w:val="24"/>
        </w:rPr>
        <w:t xml:space="preserve">of the PEV population anticipated in CEC’s forecast. For the </w:t>
      </w:r>
      <w:r w:rsidR="00196062">
        <w:rPr>
          <w:rFonts w:ascii="Segoe UI Semilight" w:eastAsia="Times New Roman" w:hAnsi="Segoe UI Semilight" w:cs="Times New Roman"/>
          <w:spacing w:val="0"/>
          <w:sz w:val="22"/>
          <w:szCs w:val="24"/>
        </w:rPr>
        <w:t>VIP</w:t>
      </w:r>
      <w:r w:rsidR="001D299F">
        <w:rPr>
          <w:rFonts w:ascii="Segoe UI Semilight" w:eastAsia="Times New Roman" w:hAnsi="Segoe UI Semilight" w:cs="Times New Roman"/>
          <w:spacing w:val="0"/>
          <w:sz w:val="22"/>
          <w:szCs w:val="24"/>
        </w:rPr>
        <w:t xml:space="preserve">, SANDAG anticipates that they would incentivize enough vehicles to meet </w:t>
      </w:r>
      <w:r w:rsidR="001D299F">
        <w:rPr>
          <w:rFonts w:ascii="Segoe UI Semilight" w:eastAsia="Times New Roman" w:hAnsi="Segoe UI Semilight" w:cs="Times New Roman"/>
          <w:b/>
          <w:spacing w:val="0"/>
          <w:sz w:val="22"/>
          <w:szCs w:val="24"/>
          <w:highlight w:val="yellow"/>
        </w:rPr>
        <w:t>70</w:t>
      </w:r>
      <w:r w:rsidR="001D299F" w:rsidRPr="00B21713">
        <w:rPr>
          <w:rFonts w:ascii="Segoe UI Semilight" w:eastAsia="Times New Roman" w:hAnsi="Segoe UI Semilight" w:cs="Times New Roman"/>
          <w:b/>
          <w:spacing w:val="0"/>
          <w:sz w:val="22"/>
          <w:szCs w:val="24"/>
          <w:highlight w:val="yellow"/>
        </w:rPr>
        <w:t xml:space="preserve"> percent</w:t>
      </w:r>
      <w:r w:rsidR="001D299F">
        <w:rPr>
          <w:rFonts w:ascii="Segoe UI Semilight" w:eastAsia="Times New Roman" w:hAnsi="Segoe UI Semilight" w:cs="Times New Roman"/>
          <w:spacing w:val="0"/>
          <w:sz w:val="22"/>
          <w:szCs w:val="24"/>
        </w:rPr>
        <w:t xml:space="preserve"> of the PEV population anticipated in CEC’s forecast. Once the scenarios are selected</w:t>
      </w:r>
      <w:r w:rsidR="009B4B11">
        <w:rPr>
          <w:rFonts w:ascii="Segoe UI Semilight" w:eastAsia="Times New Roman" w:hAnsi="Segoe UI Semilight" w:cs="Times New Roman"/>
          <w:spacing w:val="0"/>
          <w:sz w:val="22"/>
          <w:szCs w:val="24"/>
        </w:rPr>
        <w:t>,</w:t>
      </w:r>
      <w:r w:rsidR="001D299F">
        <w:rPr>
          <w:rFonts w:ascii="Segoe UI Semilight" w:eastAsia="Times New Roman" w:hAnsi="Segoe UI Semilight" w:cs="Times New Roman"/>
          <w:spacing w:val="0"/>
          <w:sz w:val="22"/>
          <w:szCs w:val="24"/>
        </w:rPr>
        <w:t xml:space="preserve"> the tool calculates the profile and population of the chargers and vehicles ne</w:t>
      </w:r>
      <w:r w:rsidR="007231F0">
        <w:rPr>
          <w:rFonts w:ascii="Segoe UI Semilight" w:eastAsia="Times New Roman" w:hAnsi="Segoe UI Semilight" w:cs="Times New Roman"/>
          <w:spacing w:val="0"/>
          <w:sz w:val="22"/>
          <w:szCs w:val="24"/>
        </w:rPr>
        <w:t xml:space="preserve">eded to meet each scenario. The </w:t>
      </w:r>
      <w:r w:rsidR="001D299F">
        <w:rPr>
          <w:rFonts w:ascii="Segoe UI Semilight" w:eastAsia="Times New Roman" w:hAnsi="Segoe UI Semilight" w:cs="Times New Roman"/>
          <w:spacing w:val="0"/>
          <w:sz w:val="22"/>
          <w:szCs w:val="24"/>
        </w:rPr>
        <w:t>results from the tool for each program are shown below.</w:t>
      </w:r>
      <w:r w:rsidR="007231F0">
        <w:rPr>
          <w:rFonts w:ascii="Segoe UI Semilight" w:eastAsia="Times New Roman" w:hAnsi="Segoe UI Semilight" w:cs="Times New Roman"/>
          <w:spacing w:val="0"/>
          <w:sz w:val="22"/>
          <w:szCs w:val="24"/>
        </w:rPr>
        <w:t xml:space="preserve"> </w:t>
      </w:r>
      <w:commentRangeStart w:id="2"/>
      <w:r w:rsidR="007231F0">
        <w:rPr>
          <w:rFonts w:ascii="Segoe UI Semilight" w:eastAsia="Times New Roman" w:hAnsi="Segoe UI Semilight" w:cs="Times New Roman"/>
          <w:spacing w:val="0"/>
          <w:sz w:val="22"/>
          <w:szCs w:val="24"/>
        </w:rPr>
        <w:t xml:space="preserve">SANDAG did not select any changes to model default assumptions, such as charger kW ratings. </w:t>
      </w:r>
      <w:commentRangeEnd w:id="2"/>
      <w:r w:rsidR="007231F0">
        <w:rPr>
          <w:rStyle w:val="CommentReference"/>
          <w:rFonts w:ascii="Segoe UI Semilight" w:eastAsia="Times New Roman" w:hAnsi="Segoe UI Semilight" w:cs="Times New Roman"/>
          <w:spacing w:val="0"/>
        </w:rPr>
        <w:commentReference w:id="2"/>
      </w:r>
    </w:p>
    <w:p w14:paraId="776F5481" w14:textId="27C868C4" w:rsidR="001D299F" w:rsidRPr="000C2009" w:rsidRDefault="001D299F" w:rsidP="0049112B">
      <w:pPr>
        <w:pStyle w:val="Heading6"/>
      </w:pPr>
      <w:r>
        <w:t>Regional Electric Charger Program</w:t>
      </w:r>
    </w:p>
    <w:p w14:paraId="26D0F9CF" w14:textId="60A27B98" w:rsidR="002C0600" w:rsidRDefault="001D299F" w:rsidP="0049112B">
      <w:pPr>
        <w:pStyle w:val="Heading5"/>
      </w:pPr>
      <w:r w:rsidRPr="0049112B">
        <w:rPr>
          <w:rFonts w:ascii="Segoe UI Semilight" w:eastAsia="Times New Roman" w:hAnsi="Segoe UI Semilight" w:cs="Times New Roman"/>
          <w:b/>
          <w:spacing w:val="0"/>
          <w:sz w:val="22"/>
          <w:szCs w:val="24"/>
        </w:rPr>
        <w:t xml:space="preserve">Selected Scenario: </w:t>
      </w:r>
      <w:r w:rsidRPr="0049112B">
        <w:rPr>
          <w:rFonts w:ascii="Segoe UI Semilight" w:eastAsia="Times New Roman" w:hAnsi="Segoe UI Semilight" w:cs="Times New Roman"/>
          <w:spacing w:val="0"/>
          <w:sz w:val="22"/>
          <w:szCs w:val="24"/>
          <w:highlight w:val="yellow"/>
        </w:rPr>
        <w:t>80 Percent of CEC Forecasts</w:t>
      </w:r>
    </w:p>
    <w:p w14:paraId="5506E900" w14:textId="638AA2BC" w:rsidR="002C0600" w:rsidRPr="00D95196" w:rsidRDefault="002C0600" w:rsidP="0049112B">
      <w:pPr>
        <w:pStyle w:val="BodyText"/>
        <w:spacing w:before="240"/>
      </w:pPr>
      <w:r>
        <w:t xml:space="preserve">Under the </w:t>
      </w:r>
      <w:r w:rsidR="00AB5D0E">
        <w:t>selected scenario, SANDAG would</w:t>
      </w:r>
      <w:r>
        <w:t xml:space="preserve"> incentivize up to </w:t>
      </w:r>
      <w:r w:rsidRPr="0049112B">
        <w:rPr>
          <w:highlight w:val="yellow"/>
        </w:rPr>
        <w:t>26,000</w:t>
      </w:r>
      <w:r>
        <w:t xml:space="preserve"> new non-residential chargers by 2050, as shown in Table 3.</w:t>
      </w:r>
      <w:r w:rsidR="000A7B7E">
        <w:t xml:space="preserve"> The assumed </w:t>
      </w:r>
      <w:r w:rsidR="001F4891">
        <w:t xml:space="preserve">average </w:t>
      </w:r>
      <w:r w:rsidR="000A7B7E">
        <w:t xml:space="preserve">incentive costs per charger are shown in Table 4. </w:t>
      </w:r>
      <w:r w:rsidR="001F4891">
        <w:t xml:space="preserve">As mentioned above, </w:t>
      </w:r>
      <w:r w:rsidR="000A7B7E">
        <w:t xml:space="preserve">Table 4 shows the average cost across all new chargers incentivized </w:t>
      </w:r>
      <w:r w:rsidR="009B4B11">
        <w:t xml:space="preserve">at </w:t>
      </w:r>
      <w:r w:rsidR="0007217B">
        <w:t>the start of the RECP</w:t>
      </w:r>
      <w:r w:rsidR="001F4891">
        <w:t>.</w:t>
      </w:r>
      <w:r w:rsidR="00AB5D0E">
        <w:t xml:space="preserve"> Table 5 shows the total program costs and GHG reductions by milestone year.</w:t>
      </w:r>
    </w:p>
    <w:tbl>
      <w:tblPr>
        <w:tblW w:w="5000" w:type="pct"/>
        <w:jc w:val="center"/>
        <w:tblBorders>
          <w:insideH w:val="single" w:sz="4" w:space="0" w:color="auto"/>
          <w:insideV w:val="single" w:sz="4" w:space="0" w:color="auto"/>
        </w:tblBorders>
        <w:tblLayout w:type="fixed"/>
        <w:tblCellMar>
          <w:top w:w="43" w:type="dxa"/>
          <w:left w:w="115" w:type="dxa"/>
          <w:bottom w:w="43" w:type="dxa"/>
          <w:right w:w="115" w:type="dxa"/>
        </w:tblCellMar>
        <w:tblLook w:val="04A0" w:firstRow="1" w:lastRow="0" w:firstColumn="1" w:lastColumn="0" w:noHBand="0" w:noVBand="1"/>
      </w:tblPr>
      <w:tblGrid>
        <w:gridCol w:w="4773"/>
        <w:gridCol w:w="1061"/>
        <w:gridCol w:w="1062"/>
        <w:gridCol w:w="1062"/>
        <w:gridCol w:w="1062"/>
        <w:gridCol w:w="1060"/>
      </w:tblGrid>
      <w:tr w:rsidR="002C0600" w:rsidRPr="00B42715" w14:paraId="6E4D5B01" w14:textId="2BC75E6E" w:rsidTr="0049112B">
        <w:trPr>
          <w:tblHeader/>
          <w:jc w:val="center"/>
        </w:trPr>
        <w:tc>
          <w:tcPr>
            <w:tcW w:w="5000" w:type="pct"/>
            <w:gridSpan w:val="6"/>
            <w:shd w:val="clear" w:color="auto" w:fill="auto"/>
            <w:noWrap/>
            <w:vAlign w:val="bottom"/>
          </w:tcPr>
          <w:p w14:paraId="1A7E7702" w14:textId="0604BB65" w:rsidR="002C0600" w:rsidRDefault="002C0600" w:rsidP="001C1112">
            <w:pPr>
              <w:pStyle w:val="TableHeader"/>
            </w:pPr>
            <w:r>
              <w:br w:type="page"/>
            </w:r>
            <w:r>
              <w:rPr>
                <w:color w:val="000000"/>
                <w:szCs w:val="16"/>
              </w:rPr>
              <w:br w:type="page"/>
            </w:r>
            <w:r>
              <w:t>Table 3</w:t>
            </w:r>
            <w:r w:rsidRPr="00823EF7">
              <w:tab/>
            </w:r>
            <w:r w:rsidR="0007217B">
              <w:t xml:space="preserve">Total </w:t>
            </w:r>
            <w:r w:rsidRPr="002C0600">
              <w:t xml:space="preserve">Non-Residential Chargers </w:t>
            </w:r>
            <w:r w:rsidR="0007217B">
              <w:t>Incentivized under RECP</w:t>
            </w:r>
            <w:r w:rsidRPr="000C2009">
              <w:t xml:space="preserve"> </w:t>
            </w:r>
          </w:p>
        </w:tc>
      </w:tr>
      <w:tr w:rsidR="002C0600" w:rsidRPr="00B42715" w14:paraId="38D6C3CF" w14:textId="00A8416D" w:rsidTr="0049112B">
        <w:trPr>
          <w:trHeight w:val="289"/>
          <w:jc w:val="center"/>
        </w:trPr>
        <w:tc>
          <w:tcPr>
            <w:tcW w:w="2367" w:type="pct"/>
            <w:shd w:val="clear" w:color="auto" w:fill="D9D9D9" w:themeFill="background1" w:themeFillShade="D9"/>
            <w:noWrap/>
            <w:vAlign w:val="center"/>
            <w:hideMark/>
          </w:tcPr>
          <w:p w14:paraId="28A917D2" w14:textId="77777777" w:rsidR="002C0600" w:rsidRPr="00B42715" w:rsidRDefault="002C0600" w:rsidP="002C0600">
            <w:pPr>
              <w:pStyle w:val="TableColumn"/>
            </w:pPr>
          </w:p>
        </w:tc>
        <w:tc>
          <w:tcPr>
            <w:tcW w:w="526" w:type="pct"/>
            <w:shd w:val="clear" w:color="auto" w:fill="D9D9D9" w:themeFill="background1" w:themeFillShade="D9"/>
            <w:noWrap/>
            <w:hideMark/>
          </w:tcPr>
          <w:p w14:paraId="7A03A0D6" w14:textId="37A35043" w:rsidR="002C0600" w:rsidRPr="009D1578" w:rsidRDefault="002C0600" w:rsidP="002C0600">
            <w:pPr>
              <w:pStyle w:val="TableColumn"/>
            </w:pPr>
            <w:r w:rsidRPr="000B50FC">
              <w:t>2020</w:t>
            </w:r>
          </w:p>
        </w:tc>
        <w:tc>
          <w:tcPr>
            <w:tcW w:w="527" w:type="pct"/>
            <w:shd w:val="clear" w:color="auto" w:fill="D9D9D9" w:themeFill="background1" w:themeFillShade="D9"/>
            <w:noWrap/>
            <w:hideMark/>
          </w:tcPr>
          <w:p w14:paraId="783E31DE" w14:textId="46C05A54" w:rsidR="002C0600" w:rsidRPr="009D1578" w:rsidRDefault="002C0600" w:rsidP="002C0600">
            <w:pPr>
              <w:pStyle w:val="TableColumn"/>
            </w:pPr>
            <w:r w:rsidRPr="000B50FC">
              <w:t>2025</w:t>
            </w:r>
          </w:p>
        </w:tc>
        <w:tc>
          <w:tcPr>
            <w:tcW w:w="527" w:type="pct"/>
            <w:shd w:val="clear" w:color="auto" w:fill="D9D9D9" w:themeFill="background1" w:themeFillShade="D9"/>
            <w:noWrap/>
            <w:hideMark/>
          </w:tcPr>
          <w:p w14:paraId="050C02DE" w14:textId="6CB08E6A" w:rsidR="002C0600" w:rsidRPr="009D1578" w:rsidRDefault="002C0600" w:rsidP="002C0600">
            <w:pPr>
              <w:pStyle w:val="TableColumn"/>
              <w:rPr>
                <w:color w:val="000000"/>
              </w:rPr>
            </w:pPr>
            <w:r w:rsidRPr="000B50FC">
              <w:t>2030</w:t>
            </w:r>
          </w:p>
        </w:tc>
        <w:tc>
          <w:tcPr>
            <w:tcW w:w="527" w:type="pct"/>
            <w:shd w:val="clear" w:color="auto" w:fill="D9D9D9" w:themeFill="background1" w:themeFillShade="D9"/>
          </w:tcPr>
          <w:p w14:paraId="760EEB5D" w14:textId="4C545E1C" w:rsidR="002C0600" w:rsidRPr="00F93031" w:rsidRDefault="002C0600" w:rsidP="002C0600">
            <w:pPr>
              <w:pStyle w:val="TableColumn"/>
            </w:pPr>
            <w:r w:rsidRPr="000B50FC">
              <w:t>2035</w:t>
            </w:r>
          </w:p>
        </w:tc>
        <w:tc>
          <w:tcPr>
            <w:tcW w:w="527" w:type="pct"/>
            <w:shd w:val="clear" w:color="auto" w:fill="D9D9D9" w:themeFill="background1" w:themeFillShade="D9"/>
          </w:tcPr>
          <w:p w14:paraId="51E2A0D4" w14:textId="5BAB3DB3" w:rsidR="002C0600" w:rsidRPr="00F93031" w:rsidRDefault="002C0600" w:rsidP="002C0600">
            <w:pPr>
              <w:pStyle w:val="TableColumn"/>
            </w:pPr>
            <w:r w:rsidRPr="000B50FC">
              <w:t>2050</w:t>
            </w:r>
          </w:p>
        </w:tc>
      </w:tr>
      <w:tr w:rsidR="002C0600" w:rsidRPr="002C771F" w14:paraId="3FD98335" w14:textId="61DC2FFD" w:rsidTr="0049112B">
        <w:trPr>
          <w:jc w:val="center"/>
        </w:trPr>
        <w:tc>
          <w:tcPr>
            <w:tcW w:w="2367" w:type="pct"/>
            <w:shd w:val="clear" w:color="auto" w:fill="auto"/>
            <w:vAlign w:val="center"/>
          </w:tcPr>
          <w:p w14:paraId="7FD67271" w14:textId="5189F108" w:rsidR="002C0600" w:rsidRPr="00832878" w:rsidRDefault="002C0600" w:rsidP="0049112B">
            <w:pPr>
              <w:pStyle w:val="TableTextL"/>
            </w:pPr>
            <w:r w:rsidRPr="00C57762">
              <w:t>Workplace Level 2 Chargers</w:t>
            </w:r>
          </w:p>
        </w:tc>
        <w:tc>
          <w:tcPr>
            <w:tcW w:w="526" w:type="pct"/>
            <w:shd w:val="clear" w:color="auto" w:fill="auto"/>
          </w:tcPr>
          <w:p w14:paraId="60F14A44" w14:textId="32A2AAE7" w:rsidR="002C0600" w:rsidRPr="0049112B" w:rsidRDefault="002C0600" w:rsidP="002C0600">
            <w:pPr>
              <w:pStyle w:val="TableText"/>
              <w:rPr>
                <w:highlight w:val="yellow"/>
              </w:rPr>
            </w:pPr>
            <w:r w:rsidRPr="0049112B">
              <w:rPr>
                <w:highlight w:val="yellow"/>
              </w:rPr>
              <w:t>461</w:t>
            </w:r>
          </w:p>
        </w:tc>
        <w:tc>
          <w:tcPr>
            <w:tcW w:w="527" w:type="pct"/>
            <w:shd w:val="clear" w:color="auto" w:fill="auto"/>
          </w:tcPr>
          <w:p w14:paraId="23BAFE3A" w14:textId="33043EEA" w:rsidR="002C0600" w:rsidRPr="0049112B" w:rsidRDefault="002C0600" w:rsidP="002C0600">
            <w:pPr>
              <w:pStyle w:val="TableText"/>
              <w:rPr>
                <w:highlight w:val="yellow"/>
              </w:rPr>
            </w:pPr>
            <w:r w:rsidRPr="0049112B">
              <w:rPr>
                <w:highlight w:val="yellow"/>
              </w:rPr>
              <w:t>3,027</w:t>
            </w:r>
          </w:p>
        </w:tc>
        <w:tc>
          <w:tcPr>
            <w:tcW w:w="527" w:type="pct"/>
            <w:shd w:val="clear" w:color="auto" w:fill="auto"/>
            <w:noWrap/>
          </w:tcPr>
          <w:p w14:paraId="57B7C3A5" w14:textId="06B7712F" w:rsidR="002C0600" w:rsidRPr="0049112B" w:rsidRDefault="002C0600" w:rsidP="002C0600">
            <w:pPr>
              <w:pStyle w:val="TableText"/>
              <w:rPr>
                <w:highlight w:val="yellow"/>
              </w:rPr>
            </w:pPr>
            <w:r w:rsidRPr="0049112B">
              <w:rPr>
                <w:highlight w:val="yellow"/>
              </w:rPr>
              <w:t>5,248</w:t>
            </w:r>
          </w:p>
        </w:tc>
        <w:tc>
          <w:tcPr>
            <w:tcW w:w="527" w:type="pct"/>
          </w:tcPr>
          <w:p w14:paraId="67BBEEF3" w14:textId="467DDC55" w:rsidR="002C0600" w:rsidRPr="0049112B" w:rsidRDefault="002C0600" w:rsidP="002C0600">
            <w:pPr>
              <w:pStyle w:val="TableText"/>
              <w:rPr>
                <w:highlight w:val="yellow"/>
              </w:rPr>
            </w:pPr>
            <w:r w:rsidRPr="0049112B">
              <w:rPr>
                <w:highlight w:val="yellow"/>
              </w:rPr>
              <w:t>7,450</w:t>
            </w:r>
          </w:p>
        </w:tc>
        <w:tc>
          <w:tcPr>
            <w:tcW w:w="527" w:type="pct"/>
          </w:tcPr>
          <w:p w14:paraId="5729EEA6" w14:textId="657A94EC" w:rsidR="002C0600" w:rsidRPr="0049112B" w:rsidRDefault="002C0600" w:rsidP="002C0600">
            <w:pPr>
              <w:pStyle w:val="TableText"/>
              <w:rPr>
                <w:highlight w:val="yellow"/>
              </w:rPr>
            </w:pPr>
            <w:r w:rsidRPr="0049112B">
              <w:rPr>
                <w:highlight w:val="yellow"/>
              </w:rPr>
              <w:t>13,937</w:t>
            </w:r>
          </w:p>
        </w:tc>
      </w:tr>
      <w:tr w:rsidR="002C0600" w:rsidRPr="002C771F" w14:paraId="323DA367" w14:textId="7EB54C2A" w:rsidTr="0049112B">
        <w:trPr>
          <w:jc w:val="center"/>
        </w:trPr>
        <w:tc>
          <w:tcPr>
            <w:tcW w:w="2367" w:type="pct"/>
            <w:shd w:val="clear" w:color="auto" w:fill="auto"/>
            <w:vAlign w:val="center"/>
          </w:tcPr>
          <w:p w14:paraId="168B622C" w14:textId="41A58AC6" w:rsidR="002C0600" w:rsidRPr="00832878" w:rsidRDefault="002C0600" w:rsidP="0049112B">
            <w:pPr>
              <w:pStyle w:val="TableTextL"/>
            </w:pPr>
            <w:r w:rsidRPr="00C57762">
              <w:t>Public Level 2 Chargers</w:t>
            </w:r>
          </w:p>
        </w:tc>
        <w:tc>
          <w:tcPr>
            <w:tcW w:w="526" w:type="pct"/>
            <w:shd w:val="clear" w:color="auto" w:fill="auto"/>
          </w:tcPr>
          <w:p w14:paraId="7C41E442" w14:textId="019D7D96" w:rsidR="002C0600" w:rsidRPr="0049112B" w:rsidRDefault="002C0600" w:rsidP="002C0600">
            <w:pPr>
              <w:pStyle w:val="TableText"/>
              <w:rPr>
                <w:highlight w:val="yellow"/>
              </w:rPr>
            </w:pPr>
            <w:r w:rsidRPr="0049112B">
              <w:rPr>
                <w:highlight w:val="yellow"/>
              </w:rPr>
              <w:t>646</w:t>
            </w:r>
          </w:p>
        </w:tc>
        <w:tc>
          <w:tcPr>
            <w:tcW w:w="527" w:type="pct"/>
            <w:shd w:val="clear" w:color="auto" w:fill="auto"/>
          </w:tcPr>
          <w:p w14:paraId="06DEB39D" w14:textId="7D49B1BF" w:rsidR="002C0600" w:rsidRPr="0049112B" w:rsidRDefault="002C0600" w:rsidP="002C0600">
            <w:pPr>
              <w:pStyle w:val="TableText"/>
              <w:rPr>
                <w:highlight w:val="yellow"/>
              </w:rPr>
            </w:pPr>
            <w:r w:rsidRPr="0049112B">
              <w:rPr>
                <w:highlight w:val="yellow"/>
              </w:rPr>
              <w:t>1,085</w:t>
            </w:r>
          </w:p>
        </w:tc>
        <w:tc>
          <w:tcPr>
            <w:tcW w:w="527" w:type="pct"/>
            <w:shd w:val="clear" w:color="auto" w:fill="auto"/>
            <w:noWrap/>
          </w:tcPr>
          <w:p w14:paraId="289D366C" w14:textId="7A419746" w:rsidR="002C0600" w:rsidRPr="0049112B" w:rsidRDefault="002C0600" w:rsidP="002C0600">
            <w:pPr>
              <w:pStyle w:val="TableText"/>
              <w:rPr>
                <w:highlight w:val="yellow"/>
              </w:rPr>
            </w:pPr>
            <w:r w:rsidRPr="0049112B">
              <w:rPr>
                <w:highlight w:val="yellow"/>
              </w:rPr>
              <w:t>2,402</w:t>
            </w:r>
          </w:p>
        </w:tc>
        <w:tc>
          <w:tcPr>
            <w:tcW w:w="527" w:type="pct"/>
          </w:tcPr>
          <w:p w14:paraId="12AE5BE8" w14:textId="41554E11" w:rsidR="002C0600" w:rsidRPr="0049112B" w:rsidRDefault="002C0600" w:rsidP="002C0600">
            <w:pPr>
              <w:pStyle w:val="TableText"/>
              <w:rPr>
                <w:highlight w:val="yellow"/>
              </w:rPr>
            </w:pPr>
            <w:r w:rsidRPr="0049112B">
              <w:rPr>
                <w:highlight w:val="yellow"/>
              </w:rPr>
              <w:t>3,648</w:t>
            </w:r>
          </w:p>
        </w:tc>
        <w:tc>
          <w:tcPr>
            <w:tcW w:w="527" w:type="pct"/>
          </w:tcPr>
          <w:p w14:paraId="0C37DCC0" w14:textId="00A0C2EA" w:rsidR="002C0600" w:rsidRPr="0049112B" w:rsidRDefault="002C0600" w:rsidP="002C0600">
            <w:pPr>
              <w:pStyle w:val="TableText"/>
              <w:rPr>
                <w:highlight w:val="yellow"/>
              </w:rPr>
            </w:pPr>
            <w:r w:rsidRPr="0049112B">
              <w:rPr>
                <w:highlight w:val="yellow"/>
              </w:rPr>
              <w:t>7,010</w:t>
            </w:r>
          </w:p>
        </w:tc>
      </w:tr>
      <w:tr w:rsidR="002C0600" w:rsidRPr="002C771F" w14:paraId="30EB3F8D" w14:textId="561C5E08" w:rsidTr="0049112B">
        <w:trPr>
          <w:jc w:val="center"/>
        </w:trPr>
        <w:tc>
          <w:tcPr>
            <w:tcW w:w="2367" w:type="pct"/>
            <w:shd w:val="clear" w:color="auto" w:fill="auto"/>
            <w:vAlign w:val="center"/>
          </w:tcPr>
          <w:p w14:paraId="01B27BEA" w14:textId="7B212DF4" w:rsidR="002C0600" w:rsidRPr="00832878" w:rsidRDefault="002C0600" w:rsidP="0049112B">
            <w:pPr>
              <w:pStyle w:val="TableTextL"/>
            </w:pPr>
            <w:r w:rsidRPr="00C57762">
              <w:t>Public DC Fast Chargers</w:t>
            </w:r>
          </w:p>
        </w:tc>
        <w:tc>
          <w:tcPr>
            <w:tcW w:w="526" w:type="pct"/>
            <w:shd w:val="clear" w:color="auto" w:fill="auto"/>
          </w:tcPr>
          <w:p w14:paraId="37487D26" w14:textId="153A0C1A" w:rsidR="002C0600" w:rsidRPr="0049112B" w:rsidRDefault="002C0600" w:rsidP="002C0600">
            <w:pPr>
              <w:pStyle w:val="TableText"/>
              <w:rPr>
                <w:highlight w:val="yellow"/>
              </w:rPr>
            </w:pPr>
            <w:r w:rsidRPr="0049112B">
              <w:rPr>
                <w:highlight w:val="yellow"/>
              </w:rPr>
              <w:t>229</w:t>
            </w:r>
          </w:p>
        </w:tc>
        <w:tc>
          <w:tcPr>
            <w:tcW w:w="527" w:type="pct"/>
            <w:shd w:val="clear" w:color="auto" w:fill="auto"/>
          </w:tcPr>
          <w:p w14:paraId="72F5FD09" w14:textId="5F36FEEA" w:rsidR="002C0600" w:rsidRPr="0049112B" w:rsidRDefault="002C0600" w:rsidP="002C0600">
            <w:pPr>
              <w:pStyle w:val="TableText"/>
              <w:rPr>
                <w:highlight w:val="yellow"/>
              </w:rPr>
            </w:pPr>
            <w:r w:rsidRPr="0049112B">
              <w:rPr>
                <w:highlight w:val="yellow"/>
              </w:rPr>
              <w:t>1,056</w:t>
            </w:r>
          </w:p>
        </w:tc>
        <w:tc>
          <w:tcPr>
            <w:tcW w:w="527" w:type="pct"/>
            <w:shd w:val="clear" w:color="auto" w:fill="auto"/>
            <w:noWrap/>
          </w:tcPr>
          <w:p w14:paraId="61F93821" w14:textId="792F6208" w:rsidR="002C0600" w:rsidRPr="0049112B" w:rsidRDefault="002C0600" w:rsidP="002C0600">
            <w:pPr>
              <w:pStyle w:val="TableText"/>
              <w:rPr>
                <w:highlight w:val="yellow"/>
              </w:rPr>
            </w:pPr>
            <w:r w:rsidRPr="0049112B">
              <w:rPr>
                <w:highlight w:val="yellow"/>
              </w:rPr>
              <w:t>1,889</w:t>
            </w:r>
          </w:p>
        </w:tc>
        <w:tc>
          <w:tcPr>
            <w:tcW w:w="527" w:type="pct"/>
          </w:tcPr>
          <w:p w14:paraId="4F65FAD0" w14:textId="29D0C16C" w:rsidR="002C0600" w:rsidRPr="0049112B" w:rsidRDefault="002C0600" w:rsidP="002C0600">
            <w:pPr>
              <w:pStyle w:val="TableText"/>
              <w:rPr>
                <w:highlight w:val="yellow"/>
              </w:rPr>
            </w:pPr>
            <w:r w:rsidRPr="0049112B">
              <w:rPr>
                <w:highlight w:val="yellow"/>
              </w:rPr>
              <w:t>2,727</w:t>
            </w:r>
          </w:p>
        </w:tc>
        <w:tc>
          <w:tcPr>
            <w:tcW w:w="527" w:type="pct"/>
          </w:tcPr>
          <w:p w14:paraId="19504029" w14:textId="48991118" w:rsidR="002C0600" w:rsidRPr="0049112B" w:rsidRDefault="002C0600" w:rsidP="002C0600">
            <w:pPr>
              <w:pStyle w:val="TableText"/>
              <w:rPr>
                <w:highlight w:val="yellow"/>
              </w:rPr>
            </w:pPr>
            <w:r w:rsidRPr="0049112B">
              <w:rPr>
                <w:highlight w:val="yellow"/>
              </w:rPr>
              <w:t>5,276</w:t>
            </w:r>
          </w:p>
        </w:tc>
      </w:tr>
      <w:tr w:rsidR="002C0600" w:rsidRPr="009B4B11" w14:paraId="274083A8" w14:textId="36BA23E9" w:rsidTr="0049112B">
        <w:trPr>
          <w:jc w:val="center"/>
        </w:trPr>
        <w:tc>
          <w:tcPr>
            <w:tcW w:w="2367" w:type="pct"/>
            <w:shd w:val="clear" w:color="auto" w:fill="auto"/>
            <w:vAlign w:val="center"/>
          </w:tcPr>
          <w:p w14:paraId="4BF1DDD6" w14:textId="1158A769" w:rsidR="002C0600" w:rsidRPr="009B4B11" w:rsidRDefault="002C0600" w:rsidP="0049112B">
            <w:pPr>
              <w:pStyle w:val="TableTextL"/>
              <w:rPr>
                <w:b/>
              </w:rPr>
            </w:pPr>
            <w:r w:rsidRPr="009B4B11">
              <w:rPr>
                <w:b/>
              </w:rPr>
              <w:t>Total Non-Residential Chargers</w:t>
            </w:r>
          </w:p>
        </w:tc>
        <w:tc>
          <w:tcPr>
            <w:tcW w:w="526" w:type="pct"/>
            <w:shd w:val="clear" w:color="auto" w:fill="auto"/>
          </w:tcPr>
          <w:p w14:paraId="18D83DE0" w14:textId="57A279E4" w:rsidR="002C0600" w:rsidRPr="009B4B11" w:rsidRDefault="002C0600" w:rsidP="002C0600">
            <w:pPr>
              <w:pStyle w:val="TableText"/>
              <w:rPr>
                <w:b/>
                <w:highlight w:val="yellow"/>
              </w:rPr>
            </w:pPr>
            <w:r w:rsidRPr="009B4B11">
              <w:rPr>
                <w:b/>
                <w:highlight w:val="yellow"/>
              </w:rPr>
              <w:t>1,335</w:t>
            </w:r>
          </w:p>
        </w:tc>
        <w:tc>
          <w:tcPr>
            <w:tcW w:w="527" w:type="pct"/>
            <w:shd w:val="clear" w:color="auto" w:fill="auto"/>
          </w:tcPr>
          <w:p w14:paraId="3ACA79C4" w14:textId="7EE404D9" w:rsidR="002C0600" w:rsidRPr="009B4B11" w:rsidRDefault="002C0600" w:rsidP="002C0600">
            <w:pPr>
              <w:pStyle w:val="TableText"/>
              <w:rPr>
                <w:b/>
                <w:highlight w:val="yellow"/>
              </w:rPr>
            </w:pPr>
            <w:r w:rsidRPr="009B4B11">
              <w:rPr>
                <w:b/>
                <w:highlight w:val="yellow"/>
              </w:rPr>
              <w:t>5,168</w:t>
            </w:r>
          </w:p>
        </w:tc>
        <w:tc>
          <w:tcPr>
            <w:tcW w:w="527" w:type="pct"/>
            <w:shd w:val="clear" w:color="auto" w:fill="auto"/>
            <w:noWrap/>
          </w:tcPr>
          <w:p w14:paraId="04AE214F" w14:textId="327B66FC" w:rsidR="002C0600" w:rsidRPr="009B4B11" w:rsidRDefault="002C0600" w:rsidP="002C0600">
            <w:pPr>
              <w:pStyle w:val="TableText"/>
              <w:rPr>
                <w:b/>
                <w:highlight w:val="yellow"/>
              </w:rPr>
            </w:pPr>
            <w:r w:rsidRPr="009B4B11">
              <w:rPr>
                <w:b/>
                <w:highlight w:val="yellow"/>
              </w:rPr>
              <w:t>9,539</w:t>
            </w:r>
          </w:p>
        </w:tc>
        <w:tc>
          <w:tcPr>
            <w:tcW w:w="527" w:type="pct"/>
          </w:tcPr>
          <w:p w14:paraId="2A8C6FCE" w14:textId="432A8ED7" w:rsidR="002C0600" w:rsidRPr="009B4B11" w:rsidRDefault="002C0600" w:rsidP="002C0600">
            <w:pPr>
              <w:pStyle w:val="TableText"/>
              <w:rPr>
                <w:b/>
                <w:highlight w:val="yellow"/>
              </w:rPr>
            </w:pPr>
            <w:r w:rsidRPr="009B4B11">
              <w:rPr>
                <w:b/>
                <w:highlight w:val="yellow"/>
              </w:rPr>
              <w:t>13,825</w:t>
            </w:r>
          </w:p>
        </w:tc>
        <w:tc>
          <w:tcPr>
            <w:tcW w:w="527" w:type="pct"/>
          </w:tcPr>
          <w:p w14:paraId="1E007245" w14:textId="52B697E9" w:rsidR="002C0600" w:rsidRPr="009B4B11" w:rsidRDefault="002C0600" w:rsidP="002C0600">
            <w:pPr>
              <w:pStyle w:val="TableText"/>
              <w:rPr>
                <w:b/>
                <w:highlight w:val="yellow"/>
              </w:rPr>
            </w:pPr>
            <w:r w:rsidRPr="009B4B11">
              <w:rPr>
                <w:b/>
                <w:highlight w:val="yellow"/>
              </w:rPr>
              <w:t>26,223</w:t>
            </w:r>
          </w:p>
        </w:tc>
      </w:tr>
      <w:tr w:rsidR="002C0600" w:rsidRPr="00C47C08" w14:paraId="70A4160B" w14:textId="6DB15206" w:rsidTr="0049112B">
        <w:trPr>
          <w:jc w:val="center"/>
        </w:trPr>
        <w:tc>
          <w:tcPr>
            <w:tcW w:w="5000" w:type="pct"/>
            <w:gridSpan w:val="6"/>
            <w:shd w:val="clear" w:color="auto" w:fill="D9D9D9" w:themeFill="background1" w:themeFillShade="D9"/>
            <w:noWrap/>
            <w:vAlign w:val="bottom"/>
          </w:tcPr>
          <w:p w14:paraId="27EF1E0A" w14:textId="03F9174E" w:rsidR="002C0600" w:rsidRDefault="002C0600" w:rsidP="001C1112">
            <w:pPr>
              <w:pStyle w:val="TableSource"/>
            </w:pPr>
            <w:r w:rsidRPr="00C47C08">
              <w:t>Notes:</w:t>
            </w:r>
            <w:r>
              <w:t xml:space="preserve"> DC = direct current</w:t>
            </w:r>
          </w:p>
          <w:p w14:paraId="46A4982E" w14:textId="7DBFB4F8" w:rsidR="002C0600" w:rsidRPr="00C47C08" w:rsidRDefault="002C0600" w:rsidP="001C1112">
            <w:pPr>
              <w:pStyle w:val="TableSource"/>
            </w:pPr>
            <w:r>
              <w:t>Source: Modeled by Ascent Environmental in 2018</w:t>
            </w:r>
          </w:p>
        </w:tc>
      </w:tr>
    </w:tbl>
    <w:p w14:paraId="78252A6E" w14:textId="294782B4" w:rsidR="000C2009" w:rsidRDefault="000C2009" w:rsidP="000C2009">
      <w:pPr>
        <w:pStyle w:val="BodyText"/>
      </w:pPr>
    </w:p>
    <w:tbl>
      <w:tblPr>
        <w:tblW w:w="5000" w:type="pct"/>
        <w:jc w:val="center"/>
        <w:tblBorders>
          <w:insideH w:val="single" w:sz="4" w:space="0" w:color="auto"/>
          <w:insideV w:val="single" w:sz="4" w:space="0" w:color="auto"/>
        </w:tblBorders>
        <w:tblCellMar>
          <w:top w:w="43" w:type="dxa"/>
          <w:left w:w="115" w:type="dxa"/>
          <w:bottom w:w="43" w:type="dxa"/>
          <w:right w:w="115" w:type="dxa"/>
        </w:tblCellMar>
        <w:tblLook w:val="04A0" w:firstRow="1" w:lastRow="0" w:firstColumn="1" w:lastColumn="0" w:noHBand="0" w:noVBand="1"/>
      </w:tblPr>
      <w:tblGrid>
        <w:gridCol w:w="4771"/>
        <w:gridCol w:w="1063"/>
        <w:gridCol w:w="1062"/>
        <w:gridCol w:w="1062"/>
        <w:gridCol w:w="1062"/>
        <w:gridCol w:w="1060"/>
      </w:tblGrid>
      <w:tr w:rsidR="002C0600" w:rsidRPr="00B42715" w14:paraId="21E04AF3" w14:textId="77777777" w:rsidTr="009B4B11">
        <w:trPr>
          <w:tblHeader/>
          <w:jc w:val="center"/>
        </w:trPr>
        <w:tc>
          <w:tcPr>
            <w:tcW w:w="5000" w:type="pct"/>
            <w:gridSpan w:val="6"/>
            <w:shd w:val="clear" w:color="auto" w:fill="auto"/>
            <w:noWrap/>
            <w:vAlign w:val="bottom"/>
          </w:tcPr>
          <w:p w14:paraId="0EE27CF4" w14:textId="72A1B761" w:rsidR="002C0600" w:rsidRDefault="002C0600" w:rsidP="001C1112">
            <w:pPr>
              <w:pStyle w:val="TableHeader"/>
            </w:pPr>
            <w:r>
              <w:lastRenderedPageBreak/>
              <w:br w:type="page"/>
            </w:r>
            <w:r>
              <w:rPr>
                <w:color w:val="000000"/>
                <w:szCs w:val="16"/>
              </w:rPr>
              <w:br w:type="page"/>
            </w:r>
            <w:r>
              <w:t>Table 4</w:t>
            </w:r>
            <w:r w:rsidRPr="00823EF7">
              <w:tab/>
            </w:r>
            <w:r>
              <w:t>Non-Residential Charger Incentive Costs</w:t>
            </w:r>
            <w:r w:rsidRPr="000C2009">
              <w:t xml:space="preserve"> </w:t>
            </w:r>
          </w:p>
        </w:tc>
      </w:tr>
      <w:tr w:rsidR="002C0600" w:rsidRPr="00B42715" w14:paraId="7BD6662B" w14:textId="77777777" w:rsidTr="002C0600">
        <w:trPr>
          <w:trHeight w:val="289"/>
          <w:jc w:val="center"/>
        </w:trPr>
        <w:tc>
          <w:tcPr>
            <w:tcW w:w="2366" w:type="pct"/>
            <w:shd w:val="clear" w:color="auto" w:fill="D9D9D9" w:themeFill="background1" w:themeFillShade="D9"/>
            <w:noWrap/>
            <w:vAlign w:val="center"/>
            <w:hideMark/>
          </w:tcPr>
          <w:p w14:paraId="34A8097F" w14:textId="77777777" w:rsidR="002C0600" w:rsidRPr="00B42715" w:rsidRDefault="002C0600" w:rsidP="001C1112">
            <w:pPr>
              <w:pStyle w:val="TableColumn"/>
            </w:pPr>
          </w:p>
        </w:tc>
        <w:tc>
          <w:tcPr>
            <w:tcW w:w="527" w:type="pct"/>
            <w:shd w:val="clear" w:color="auto" w:fill="D9D9D9" w:themeFill="background1" w:themeFillShade="D9"/>
            <w:noWrap/>
            <w:hideMark/>
          </w:tcPr>
          <w:p w14:paraId="2D810FF9" w14:textId="77777777" w:rsidR="002C0600" w:rsidRPr="009D1578" w:rsidRDefault="002C0600" w:rsidP="001C1112">
            <w:pPr>
              <w:pStyle w:val="TableColumn"/>
            </w:pPr>
            <w:r w:rsidRPr="000B50FC">
              <w:t>2020</w:t>
            </w:r>
          </w:p>
        </w:tc>
        <w:tc>
          <w:tcPr>
            <w:tcW w:w="527" w:type="pct"/>
            <w:shd w:val="clear" w:color="auto" w:fill="D9D9D9" w:themeFill="background1" w:themeFillShade="D9"/>
            <w:noWrap/>
            <w:hideMark/>
          </w:tcPr>
          <w:p w14:paraId="4B4E9E32" w14:textId="77777777" w:rsidR="002C0600" w:rsidRPr="009D1578" w:rsidRDefault="002C0600" w:rsidP="001C1112">
            <w:pPr>
              <w:pStyle w:val="TableColumn"/>
            </w:pPr>
            <w:r w:rsidRPr="000B50FC">
              <w:t>2025</w:t>
            </w:r>
          </w:p>
        </w:tc>
        <w:tc>
          <w:tcPr>
            <w:tcW w:w="527" w:type="pct"/>
            <w:shd w:val="clear" w:color="auto" w:fill="D9D9D9" w:themeFill="background1" w:themeFillShade="D9"/>
            <w:noWrap/>
            <w:hideMark/>
          </w:tcPr>
          <w:p w14:paraId="2217BCBB" w14:textId="77777777" w:rsidR="002C0600" w:rsidRPr="009D1578" w:rsidRDefault="002C0600" w:rsidP="001C1112">
            <w:pPr>
              <w:pStyle w:val="TableColumn"/>
              <w:rPr>
                <w:color w:val="000000"/>
              </w:rPr>
            </w:pPr>
            <w:r w:rsidRPr="000B50FC">
              <w:t>2030</w:t>
            </w:r>
          </w:p>
        </w:tc>
        <w:tc>
          <w:tcPr>
            <w:tcW w:w="527" w:type="pct"/>
            <w:shd w:val="clear" w:color="auto" w:fill="D9D9D9" w:themeFill="background1" w:themeFillShade="D9"/>
          </w:tcPr>
          <w:p w14:paraId="03B0203D" w14:textId="77777777" w:rsidR="002C0600" w:rsidRPr="00F93031" w:rsidRDefault="002C0600" w:rsidP="001C1112">
            <w:pPr>
              <w:pStyle w:val="TableColumn"/>
            </w:pPr>
            <w:r w:rsidRPr="000B50FC">
              <w:t>2035</w:t>
            </w:r>
          </w:p>
        </w:tc>
        <w:tc>
          <w:tcPr>
            <w:tcW w:w="527" w:type="pct"/>
            <w:shd w:val="clear" w:color="auto" w:fill="D9D9D9" w:themeFill="background1" w:themeFillShade="D9"/>
          </w:tcPr>
          <w:p w14:paraId="16D17085" w14:textId="77777777" w:rsidR="002C0600" w:rsidRPr="00F93031" w:rsidRDefault="002C0600" w:rsidP="001C1112">
            <w:pPr>
              <w:pStyle w:val="TableColumn"/>
            </w:pPr>
            <w:r w:rsidRPr="000B50FC">
              <w:t>2050</w:t>
            </w:r>
          </w:p>
        </w:tc>
      </w:tr>
      <w:tr w:rsidR="002C0600" w:rsidRPr="002C771F" w14:paraId="69A3F09A" w14:textId="77777777" w:rsidTr="002C0600">
        <w:trPr>
          <w:jc w:val="center"/>
        </w:trPr>
        <w:tc>
          <w:tcPr>
            <w:tcW w:w="2366" w:type="pct"/>
            <w:shd w:val="clear" w:color="auto" w:fill="auto"/>
          </w:tcPr>
          <w:p w14:paraId="6B1A873D" w14:textId="1ABB9721" w:rsidR="002C0600" w:rsidRPr="00832878" w:rsidRDefault="002C0600" w:rsidP="002C0600">
            <w:pPr>
              <w:pStyle w:val="TableTextL"/>
            </w:pPr>
            <w:r>
              <w:t xml:space="preserve">Average </w:t>
            </w:r>
            <w:r w:rsidRPr="00104537">
              <w:t>Cost per Workplace Charger</w:t>
            </w:r>
          </w:p>
        </w:tc>
        <w:tc>
          <w:tcPr>
            <w:tcW w:w="527" w:type="pct"/>
            <w:shd w:val="clear" w:color="auto" w:fill="auto"/>
          </w:tcPr>
          <w:p w14:paraId="73C326AB" w14:textId="01D437E8" w:rsidR="002C0600" w:rsidRPr="009B4B11" w:rsidRDefault="002C0600" w:rsidP="002C0600">
            <w:pPr>
              <w:pStyle w:val="TableText"/>
              <w:rPr>
                <w:highlight w:val="yellow"/>
              </w:rPr>
            </w:pPr>
            <w:r w:rsidRPr="009B4B11">
              <w:rPr>
                <w:highlight w:val="yellow"/>
              </w:rPr>
              <w:t xml:space="preserve"> $350 </w:t>
            </w:r>
          </w:p>
        </w:tc>
        <w:tc>
          <w:tcPr>
            <w:tcW w:w="527" w:type="pct"/>
            <w:shd w:val="clear" w:color="auto" w:fill="auto"/>
          </w:tcPr>
          <w:p w14:paraId="20AF6389" w14:textId="2BC5343B" w:rsidR="002C0600" w:rsidRPr="009B4B11" w:rsidRDefault="002C0600" w:rsidP="002C0600">
            <w:pPr>
              <w:pStyle w:val="TableText"/>
              <w:rPr>
                <w:highlight w:val="yellow"/>
              </w:rPr>
            </w:pPr>
            <w:r w:rsidRPr="009B4B11">
              <w:rPr>
                <w:highlight w:val="yellow"/>
              </w:rPr>
              <w:t xml:space="preserve"> $350 </w:t>
            </w:r>
          </w:p>
        </w:tc>
        <w:tc>
          <w:tcPr>
            <w:tcW w:w="527" w:type="pct"/>
            <w:shd w:val="clear" w:color="auto" w:fill="auto"/>
            <w:noWrap/>
          </w:tcPr>
          <w:p w14:paraId="038A4A87" w14:textId="6961C827" w:rsidR="002C0600" w:rsidRPr="009B4B11" w:rsidRDefault="002C0600" w:rsidP="002C0600">
            <w:pPr>
              <w:pStyle w:val="TableText"/>
              <w:rPr>
                <w:highlight w:val="yellow"/>
              </w:rPr>
            </w:pPr>
            <w:r w:rsidRPr="009B4B11">
              <w:rPr>
                <w:highlight w:val="yellow"/>
              </w:rPr>
              <w:t xml:space="preserve"> $350 </w:t>
            </w:r>
          </w:p>
        </w:tc>
        <w:tc>
          <w:tcPr>
            <w:tcW w:w="527" w:type="pct"/>
          </w:tcPr>
          <w:p w14:paraId="6B59C2A8" w14:textId="63439040" w:rsidR="002C0600" w:rsidRPr="009B4B11" w:rsidRDefault="002C0600" w:rsidP="002C0600">
            <w:pPr>
              <w:pStyle w:val="TableText"/>
              <w:rPr>
                <w:highlight w:val="yellow"/>
              </w:rPr>
            </w:pPr>
            <w:r w:rsidRPr="009B4B11">
              <w:rPr>
                <w:highlight w:val="yellow"/>
              </w:rPr>
              <w:t xml:space="preserve"> $350 </w:t>
            </w:r>
          </w:p>
        </w:tc>
        <w:tc>
          <w:tcPr>
            <w:tcW w:w="527" w:type="pct"/>
          </w:tcPr>
          <w:p w14:paraId="6D8D87E9" w14:textId="0C69F237" w:rsidR="002C0600" w:rsidRPr="009B4B11" w:rsidRDefault="002C0600" w:rsidP="002C0600">
            <w:pPr>
              <w:pStyle w:val="TableText"/>
              <w:rPr>
                <w:highlight w:val="yellow"/>
              </w:rPr>
            </w:pPr>
            <w:r w:rsidRPr="009B4B11">
              <w:rPr>
                <w:highlight w:val="yellow"/>
              </w:rPr>
              <w:t xml:space="preserve"> $350 </w:t>
            </w:r>
          </w:p>
        </w:tc>
      </w:tr>
      <w:tr w:rsidR="002C0600" w:rsidRPr="002C771F" w14:paraId="3F8CC6BF" w14:textId="77777777" w:rsidTr="002C0600">
        <w:trPr>
          <w:jc w:val="center"/>
        </w:trPr>
        <w:tc>
          <w:tcPr>
            <w:tcW w:w="2366" w:type="pct"/>
            <w:shd w:val="clear" w:color="auto" w:fill="auto"/>
          </w:tcPr>
          <w:p w14:paraId="515220A2" w14:textId="6726670C" w:rsidR="002C0600" w:rsidRPr="00832878" w:rsidRDefault="002C0600" w:rsidP="002C0600">
            <w:pPr>
              <w:pStyle w:val="TableTextL"/>
            </w:pPr>
            <w:r>
              <w:t xml:space="preserve">Average </w:t>
            </w:r>
            <w:r w:rsidRPr="00104537">
              <w:t>Cost per Public L</w:t>
            </w:r>
            <w:r w:rsidR="00A27DDA">
              <w:t xml:space="preserve">evel </w:t>
            </w:r>
            <w:r w:rsidRPr="00104537">
              <w:t>2 Charger</w:t>
            </w:r>
          </w:p>
        </w:tc>
        <w:tc>
          <w:tcPr>
            <w:tcW w:w="527" w:type="pct"/>
            <w:shd w:val="clear" w:color="auto" w:fill="auto"/>
          </w:tcPr>
          <w:p w14:paraId="56BAB4C7" w14:textId="6805376D" w:rsidR="002C0600" w:rsidRPr="009B4B11" w:rsidRDefault="002C0600" w:rsidP="002C0600">
            <w:pPr>
              <w:pStyle w:val="TableText"/>
              <w:rPr>
                <w:highlight w:val="yellow"/>
              </w:rPr>
            </w:pPr>
            <w:r w:rsidRPr="009B4B11">
              <w:rPr>
                <w:highlight w:val="yellow"/>
              </w:rPr>
              <w:t xml:space="preserve"> $500 </w:t>
            </w:r>
          </w:p>
        </w:tc>
        <w:tc>
          <w:tcPr>
            <w:tcW w:w="527" w:type="pct"/>
            <w:shd w:val="clear" w:color="auto" w:fill="auto"/>
          </w:tcPr>
          <w:p w14:paraId="53B60C89" w14:textId="5D55A374" w:rsidR="002C0600" w:rsidRPr="009B4B11" w:rsidRDefault="002C0600" w:rsidP="002C0600">
            <w:pPr>
              <w:pStyle w:val="TableText"/>
              <w:rPr>
                <w:highlight w:val="yellow"/>
              </w:rPr>
            </w:pPr>
            <w:r w:rsidRPr="009B4B11">
              <w:rPr>
                <w:highlight w:val="yellow"/>
              </w:rPr>
              <w:t xml:space="preserve"> $500 </w:t>
            </w:r>
          </w:p>
        </w:tc>
        <w:tc>
          <w:tcPr>
            <w:tcW w:w="527" w:type="pct"/>
            <w:shd w:val="clear" w:color="auto" w:fill="auto"/>
            <w:noWrap/>
          </w:tcPr>
          <w:p w14:paraId="0A0BC03C" w14:textId="14AB6902" w:rsidR="002C0600" w:rsidRPr="009B4B11" w:rsidRDefault="002C0600" w:rsidP="002C0600">
            <w:pPr>
              <w:pStyle w:val="TableText"/>
              <w:rPr>
                <w:highlight w:val="yellow"/>
              </w:rPr>
            </w:pPr>
            <w:r w:rsidRPr="009B4B11">
              <w:rPr>
                <w:highlight w:val="yellow"/>
              </w:rPr>
              <w:t xml:space="preserve"> $500 </w:t>
            </w:r>
          </w:p>
        </w:tc>
        <w:tc>
          <w:tcPr>
            <w:tcW w:w="527" w:type="pct"/>
          </w:tcPr>
          <w:p w14:paraId="7FDA76D0" w14:textId="7C4C7D86" w:rsidR="002C0600" w:rsidRPr="009B4B11" w:rsidRDefault="002C0600" w:rsidP="002C0600">
            <w:pPr>
              <w:pStyle w:val="TableText"/>
              <w:rPr>
                <w:highlight w:val="yellow"/>
              </w:rPr>
            </w:pPr>
            <w:r w:rsidRPr="009B4B11">
              <w:rPr>
                <w:highlight w:val="yellow"/>
              </w:rPr>
              <w:t xml:space="preserve"> $500 </w:t>
            </w:r>
          </w:p>
        </w:tc>
        <w:tc>
          <w:tcPr>
            <w:tcW w:w="527" w:type="pct"/>
          </w:tcPr>
          <w:p w14:paraId="7B0D1287" w14:textId="30996ED6" w:rsidR="002C0600" w:rsidRPr="009B4B11" w:rsidRDefault="002C0600" w:rsidP="002C0600">
            <w:pPr>
              <w:pStyle w:val="TableText"/>
              <w:rPr>
                <w:highlight w:val="yellow"/>
              </w:rPr>
            </w:pPr>
            <w:r w:rsidRPr="009B4B11">
              <w:rPr>
                <w:highlight w:val="yellow"/>
              </w:rPr>
              <w:t xml:space="preserve"> $500 </w:t>
            </w:r>
          </w:p>
        </w:tc>
      </w:tr>
      <w:tr w:rsidR="002C0600" w:rsidRPr="002C771F" w14:paraId="10290F32" w14:textId="77777777" w:rsidTr="002C0600">
        <w:trPr>
          <w:jc w:val="center"/>
        </w:trPr>
        <w:tc>
          <w:tcPr>
            <w:tcW w:w="2366" w:type="pct"/>
            <w:shd w:val="clear" w:color="auto" w:fill="auto"/>
          </w:tcPr>
          <w:p w14:paraId="16B1510D" w14:textId="0F67A479" w:rsidR="002C0600" w:rsidRPr="00832878" w:rsidRDefault="002C0600" w:rsidP="002C0600">
            <w:pPr>
              <w:pStyle w:val="TableTextL"/>
            </w:pPr>
            <w:r>
              <w:t xml:space="preserve">Average </w:t>
            </w:r>
            <w:r w:rsidRPr="00104537">
              <w:t xml:space="preserve">Cost per Public DC </w:t>
            </w:r>
            <w:r w:rsidR="00144FE9">
              <w:t xml:space="preserve">Fast </w:t>
            </w:r>
            <w:r w:rsidRPr="00104537">
              <w:t>Charger</w:t>
            </w:r>
          </w:p>
        </w:tc>
        <w:tc>
          <w:tcPr>
            <w:tcW w:w="527" w:type="pct"/>
            <w:shd w:val="clear" w:color="auto" w:fill="auto"/>
          </w:tcPr>
          <w:p w14:paraId="2B7F1406" w14:textId="06AEE082" w:rsidR="002C0600" w:rsidRPr="009B4B11" w:rsidRDefault="002C0600" w:rsidP="002C0600">
            <w:pPr>
              <w:pStyle w:val="TableText"/>
              <w:rPr>
                <w:highlight w:val="yellow"/>
              </w:rPr>
            </w:pPr>
            <w:r w:rsidRPr="009B4B11">
              <w:rPr>
                <w:highlight w:val="yellow"/>
              </w:rPr>
              <w:t xml:space="preserve"> $700 </w:t>
            </w:r>
          </w:p>
        </w:tc>
        <w:tc>
          <w:tcPr>
            <w:tcW w:w="527" w:type="pct"/>
            <w:shd w:val="clear" w:color="auto" w:fill="auto"/>
          </w:tcPr>
          <w:p w14:paraId="452FFBC7" w14:textId="39572A2C" w:rsidR="002C0600" w:rsidRPr="009B4B11" w:rsidRDefault="002C0600" w:rsidP="002C0600">
            <w:pPr>
              <w:pStyle w:val="TableText"/>
              <w:rPr>
                <w:highlight w:val="yellow"/>
              </w:rPr>
            </w:pPr>
            <w:r w:rsidRPr="009B4B11">
              <w:rPr>
                <w:highlight w:val="yellow"/>
              </w:rPr>
              <w:t xml:space="preserve"> $700 </w:t>
            </w:r>
          </w:p>
        </w:tc>
        <w:tc>
          <w:tcPr>
            <w:tcW w:w="527" w:type="pct"/>
            <w:shd w:val="clear" w:color="auto" w:fill="auto"/>
            <w:noWrap/>
          </w:tcPr>
          <w:p w14:paraId="5CDAD3B6" w14:textId="0951F8E1" w:rsidR="002C0600" w:rsidRPr="009B4B11" w:rsidRDefault="002C0600" w:rsidP="002C0600">
            <w:pPr>
              <w:pStyle w:val="TableText"/>
              <w:rPr>
                <w:highlight w:val="yellow"/>
              </w:rPr>
            </w:pPr>
            <w:r w:rsidRPr="009B4B11">
              <w:rPr>
                <w:highlight w:val="yellow"/>
              </w:rPr>
              <w:t xml:space="preserve"> $700 </w:t>
            </w:r>
          </w:p>
        </w:tc>
        <w:tc>
          <w:tcPr>
            <w:tcW w:w="527" w:type="pct"/>
          </w:tcPr>
          <w:p w14:paraId="51F8E5D3" w14:textId="3DDFD44A" w:rsidR="002C0600" w:rsidRPr="009B4B11" w:rsidRDefault="002C0600" w:rsidP="002C0600">
            <w:pPr>
              <w:pStyle w:val="TableText"/>
              <w:rPr>
                <w:highlight w:val="yellow"/>
              </w:rPr>
            </w:pPr>
            <w:r w:rsidRPr="009B4B11">
              <w:rPr>
                <w:highlight w:val="yellow"/>
              </w:rPr>
              <w:t xml:space="preserve"> $700 </w:t>
            </w:r>
          </w:p>
        </w:tc>
        <w:tc>
          <w:tcPr>
            <w:tcW w:w="527" w:type="pct"/>
          </w:tcPr>
          <w:p w14:paraId="5495C164" w14:textId="7F354077" w:rsidR="002C0600" w:rsidRPr="009B4B11" w:rsidRDefault="002C0600" w:rsidP="002C0600">
            <w:pPr>
              <w:pStyle w:val="TableText"/>
              <w:rPr>
                <w:highlight w:val="yellow"/>
              </w:rPr>
            </w:pPr>
            <w:r w:rsidRPr="009B4B11">
              <w:rPr>
                <w:highlight w:val="yellow"/>
              </w:rPr>
              <w:t xml:space="preserve"> $700 </w:t>
            </w:r>
          </w:p>
        </w:tc>
      </w:tr>
      <w:tr w:rsidR="002C0600" w:rsidRPr="002C771F" w14:paraId="71BD062C" w14:textId="77777777" w:rsidTr="002C0600">
        <w:trPr>
          <w:jc w:val="center"/>
        </w:trPr>
        <w:tc>
          <w:tcPr>
            <w:tcW w:w="2366" w:type="pct"/>
            <w:shd w:val="clear" w:color="auto" w:fill="auto"/>
          </w:tcPr>
          <w:p w14:paraId="123899EE" w14:textId="77ADEFB6" w:rsidR="002C0600" w:rsidRPr="00832878" w:rsidRDefault="002C0600" w:rsidP="002C0600">
            <w:pPr>
              <w:pStyle w:val="TableTextL"/>
            </w:pPr>
            <w:r w:rsidRPr="00104537">
              <w:t>Percent of Costs Associated with Administration</w:t>
            </w:r>
          </w:p>
        </w:tc>
        <w:tc>
          <w:tcPr>
            <w:tcW w:w="527" w:type="pct"/>
            <w:shd w:val="clear" w:color="auto" w:fill="auto"/>
          </w:tcPr>
          <w:p w14:paraId="2075EBBF" w14:textId="211A3EE4" w:rsidR="002C0600" w:rsidRPr="009B4B11" w:rsidRDefault="002C0600" w:rsidP="002C0600">
            <w:pPr>
              <w:pStyle w:val="TableText"/>
              <w:rPr>
                <w:highlight w:val="yellow"/>
              </w:rPr>
            </w:pPr>
            <w:r w:rsidRPr="009B4B11">
              <w:rPr>
                <w:highlight w:val="yellow"/>
              </w:rPr>
              <w:t>5%</w:t>
            </w:r>
          </w:p>
        </w:tc>
        <w:tc>
          <w:tcPr>
            <w:tcW w:w="527" w:type="pct"/>
            <w:shd w:val="clear" w:color="auto" w:fill="auto"/>
          </w:tcPr>
          <w:p w14:paraId="66E1BF46" w14:textId="12A15169" w:rsidR="002C0600" w:rsidRPr="009B4B11" w:rsidRDefault="002C0600" w:rsidP="002C0600">
            <w:pPr>
              <w:pStyle w:val="TableText"/>
              <w:rPr>
                <w:highlight w:val="yellow"/>
              </w:rPr>
            </w:pPr>
            <w:r w:rsidRPr="009B4B11">
              <w:rPr>
                <w:highlight w:val="yellow"/>
              </w:rPr>
              <w:t>5%</w:t>
            </w:r>
          </w:p>
        </w:tc>
        <w:tc>
          <w:tcPr>
            <w:tcW w:w="527" w:type="pct"/>
            <w:shd w:val="clear" w:color="auto" w:fill="auto"/>
            <w:noWrap/>
          </w:tcPr>
          <w:p w14:paraId="7D73C5CE" w14:textId="58C9CA81" w:rsidR="002C0600" w:rsidRPr="009B4B11" w:rsidRDefault="002C0600" w:rsidP="002C0600">
            <w:pPr>
              <w:pStyle w:val="TableText"/>
              <w:rPr>
                <w:highlight w:val="yellow"/>
              </w:rPr>
            </w:pPr>
            <w:r w:rsidRPr="009B4B11">
              <w:rPr>
                <w:highlight w:val="yellow"/>
              </w:rPr>
              <w:t>5%</w:t>
            </w:r>
          </w:p>
        </w:tc>
        <w:tc>
          <w:tcPr>
            <w:tcW w:w="527" w:type="pct"/>
          </w:tcPr>
          <w:p w14:paraId="5D7866D2" w14:textId="27010FBD" w:rsidR="002C0600" w:rsidRPr="009B4B11" w:rsidRDefault="002C0600" w:rsidP="002C0600">
            <w:pPr>
              <w:pStyle w:val="TableText"/>
              <w:rPr>
                <w:highlight w:val="yellow"/>
              </w:rPr>
            </w:pPr>
            <w:r w:rsidRPr="009B4B11">
              <w:rPr>
                <w:highlight w:val="yellow"/>
              </w:rPr>
              <w:t>5%</w:t>
            </w:r>
          </w:p>
        </w:tc>
        <w:tc>
          <w:tcPr>
            <w:tcW w:w="527" w:type="pct"/>
          </w:tcPr>
          <w:p w14:paraId="6F0D7136" w14:textId="2E87A30B" w:rsidR="002C0600" w:rsidRPr="009B4B11" w:rsidRDefault="002C0600" w:rsidP="002C0600">
            <w:pPr>
              <w:pStyle w:val="TableText"/>
              <w:rPr>
                <w:highlight w:val="yellow"/>
              </w:rPr>
            </w:pPr>
            <w:r w:rsidRPr="009B4B11">
              <w:rPr>
                <w:highlight w:val="yellow"/>
              </w:rPr>
              <w:t>5%</w:t>
            </w:r>
          </w:p>
        </w:tc>
      </w:tr>
      <w:tr w:rsidR="002C0600" w:rsidRPr="002C771F" w14:paraId="5B48E23F" w14:textId="77777777" w:rsidTr="009B4B11">
        <w:trPr>
          <w:jc w:val="center"/>
        </w:trPr>
        <w:tc>
          <w:tcPr>
            <w:tcW w:w="2366" w:type="pct"/>
            <w:shd w:val="clear" w:color="auto" w:fill="auto"/>
          </w:tcPr>
          <w:p w14:paraId="3E6F50FF" w14:textId="79451A7F" w:rsidR="002C0600" w:rsidRPr="00C57762" w:rsidRDefault="002C0600" w:rsidP="002C0600">
            <w:pPr>
              <w:pStyle w:val="TableTextL"/>
            </w:pPr>
            <w:r w:rsidRPr="00104537">
              <w:t>Average Cost per Charger</w:t>
            </w:r>
            <w:r w:rsidRPr="009B4B11">
              <w:rPr>
                <w:vertAlign w:val="superscript"/>
              </w:rPr>
              <w:t>1</w:t>
            </w:r>
          </w:p>
        </w:tc>
        <w:tc>
          <w:tcPr>
            <w:tcW w:w="527" w:type="pct"/>
            <w:shd w:val="clear" w:color="auto" w:fill="auto"/>
          </w:tcPr>
          <w:p w14:paraId="4F83166F" w14:textId="5E74892C" w:rsidR="002C0600" w:rsidRPr="009B4B11" w:rsidRDefault="002C0600" w:rsidP="002C0600">
            <w:pPr>
              <w:pStyle w:val="TableText"/>
              <w:rPr>
                <w:highlight w:val="yellow"/>
              </w:rPr>
            </w:pPr>
            <w:r w:rsidRPr="009B4B11">
              <w:rPr>
                <w:highlight w:val="yellow"/>
              </w:rPr>
              <w:t xml:space="preserve"> $501 </w:t>
            </w:r>
          </w:p>
        </w:tc>
        <w:tc>
          <w:tcPr>
            <w:tcW w:w="527" w:type="pct"/>
            <w:shd w:val="clear" w:color="auto" w:fill="auto"/>
          </w:tcPr>
          <w:p w14:paraId="73008B52" w14:textId="37BF4775" w:rsidR="002C0600" w:rsidRPr="009B4B11" w:rsidRDefault="002C0600" w:rsidP="002C0600">
            <w:pPr>
              <w:pStyle w:val="TableText"/>
              <w:rPr>
                <w:highlight w:val="yellow"/>
              </w:rPr>
            </w:pPr>
            <w:r w:rsidRPr="009B4B11">
              <w:rPr>
                <w:highlight w:val="yellow"/>
              </w:rPr>
              <w:t xml:space="preserve"> $485 </w:t>
            </w:r>
          </w:p>
        </w:tc>
        <w:tc>
          <w:tcPr>
            <w:tcW w:w="527" w:type="pct"/>
            <w:shd w:val="clear" w:color="auto" w:fill="auto"/>
            <w:noWrap/>
          </w:tcPr>
          <w:p w14:paraId="76EDB150" w14:textId="4025319D" w:rsidR="002C0600" w:rsidRPr="009B4B11" w:rsidRDefault="002C0600" w:rsidP="002C0600">
            <w:pPr>
              <w:pStyle w:val="TableText"/>
              <w:rPr>
                <w:highlight w:val="yellow"/>
              </w:rPr>
            </w:pPr>
            <w:r w:rsidRPr="009B4B11">
              <w:rPr>
                <w:highlight w:val="yellow"/>
              </w:rPr>
              <w:t xml:space="preserve"> $485 </w:t>
            </w:r>
          </w:p>
        </w:tc>
        <w:tc>
          <w:tcPr>
            <w:tcW w:w="527" w:type="pct"/>
          </w:tcPr>
          <w:p w14:paraId="17B832E4" w14:textId="6DED3344" w:rsidR="002C0600" w:rsidRPr="009B4B11" w:rsidRDefault="002C0600" w:rsidP="002C0600">
            <w:pPr>
              <w:pStyle w:val="TableText"/>
              <w:rPr>
                <w:highlight w:val="yellow"/>
              </w:rPr>
            </w:pPr>
            <w:r w:rsidRPr="009B4B11">
              <w:rPr>
                <w:highlight w:val="yellow"/>
              </w:rPr>
              <w:t xml:space="preserve"> $485 </w:t>
            </w:r>
          </w:p>
        </w:tc>
        <w:tc>
          <w:tcPr>
            <w:tcW w:w="527" w:type="pct"/>
          </w:tcPr>
          <w:p w14:paraId="10850CCE" w14:textId="3FD4B2BC" w:rsidR="002C0600" w:rsidRPr="009B4B11" w:rsidRDefault="002C0600" w:rsidP="002C0600">
            <w:pPr>
              <w:pStyle w:val="TableText"/>
              <w:rPr>
                <w:highlight w:val="yellow"/>
              </w:rPr>
            </w:pPr>
            <w:r w:rsidRPr="009B4B11">
              <w:rPr>
                <w:highlight w:val="yellow"/>
              </w:rPr>
              <w:t xml:space="preserve"> $485 </w:t>
            </w:r>
          </w:p>
        </w:tc>
      </w:tr>
      <w:tr w:rsidR="002C0600" w:rsidRPr="00C47C08" w14:paraId="1C5C9480" w14:textId="77777777" w:rsidTr="009B4B11">
        <w:trPr>
          <w:jc w:val="center"/>
        </w:trPr>
        <w:tc>
          <w:tcPr>
            <w:tcW w:w="5000" w:type="pct"/>
            <w:gridSpan w:val="6"/>
            <w:shd w:val="clear" w:color="auto" w:fill="D9D9D9" w:themeFill="background1" w:themeFillShade="D9"/>
            <w:noWrap/>
            <w:vAlign w:val="bottom"/>
          </w:tcPr>
          <w:p w14:paraId="7BA2B300" w14:textId="1318893E" w:rsidR="002C0600" w:rsidRDefault="002C0600" w:rsidP="001C1112">
            <w:pPr>
              <w:pStyle w:val="TableSource"/>
            </w:pPr>
            <w:r w:rsidRPr="00C47C08">
              <w:t>Notes:</w:t>
            </w:r>
            <w:r>
              <w:t xml:space="preserve"> DC = direct current</w:t>
            </w:r>
          </w:p>
          <w:p w14:paraId="5646A576" w14:textId="2288CC92" w:rsidR="002C0600" w:rsidRPr="00D95196" w:rsidRDefault="002C0600" w:rsidP="001C1112">
            <w:pPr>
              <w:pStyle w:val="TableSource"/>
            </w:pPr>
            <w:r w:rsidRPr="009B4B11">
              <w:rPr>
                <w:vertAlign w:val="superscript"/>
              </w:rPr>
              <w:t>1</w:t>
            </w:r>
            <w:r>
              <w:rPr>
                <w:vertAlign w:val="superscript"/>
              </w:rPr>
              <w:t xml:space="preserve"> </w:t>
            </w:r>
            <w:r>
              <w:t>Based on the charger population distribution shown in Table 3.</w:t>
            </w:r>
          </w:p>
          <w:p w14:paraId="2BBA124B" w14:textId="77777777" w:rsidR="002C0600" w:rsidRPr="00C47C08" w:rsidRDefault="002C0600" w:rsidP="001C1112">
            <w:pPr>
              <w:pStyle w:val="TableSource"/>
            </w:pPr>
            <w:r>
              <w:t>Source: Modeled by Ascent Environmental in 2018</w:t>
            </w:r>
          </w:p>
        </w:tc>
      </w:tr>
    </w:tbl>
    <w:p w14:paraId="376DEB23" w14:textId="2303E835" w:rsidR="002C0600" w:rsidRDefault="002C0600" w:rsidP="000C2009">
      <w:pPr>
        <w:pStyle w:val="BodyText"/>
      </w:pPr>
    </w:p>
    <w:tbl>
      <w:tblPr>
        <w:tblW w:w="5000" w:type="pct"/>
        <w:jc w:val="center"/>
        <w:tblBorders>
          <w:insideH w:val="single" w:sz="4" w:space="0" w:color="auto"/>
          <w:insideV w:val="single" w:sz="4" w:space="0" w:color="auto"/>
        </w:tblBorders>
        <w:tblCellMar>
          <w:top w:w="43" w:type="dxa"/>
          <w:left w:w="115" w:type="dxa"/>
          <w:bottom w:w="43" w:type="dxa"/>
          <w:right w:w="115" w:type="dxa"/>
        </w:tblCellMar>
        <w:tblLook w:val="04A0" w:firstRow="1" w:lastRow="0" w:firstColumn="1" w:lastColumn="0" w:noHBand="0" w:noVBand="1"/>
      </w:tblPr>
      <w:tblGrid>
        <w:gridCol w:w="4785"/>
        <w:gridCol w:w="1063"/>
        <w:gridCol w:w="1062"/>
        <w:gridCol w:w="1062"/>
        <w:gridCol w:w="1062"/>
        <w:gridCol w:w="1046"/>
      </w:tblGrid>
      <w:tr w:rsidR="008A5899" w:rsidRPr="00B42715" w14:paraId="3E24DC00" w14:textId="77777777" w:rsidTr="001C1112">
        <w:trPr>
          <w:tblHeader/>
          <w:jc w:val="center"/>
        </w:trPr>
        <w:tc>
          <w:tcPr>
            <w:tcW w:w="5000" w:type="pct"/>
            <w:gridSpan w:val="6"/>
            <w:shd w:val="clear" w:color="auto" w:fill="auto"/>
            <w:noWrap/>
            <w:vAlign w:val="bottom"/>
          </w:tcPr>
          <w:p w14:paraId="4CB7B197" w14:textId="2ACDA760" w:rsidR="008A5899" w:rsidRDefault="008A5899" w:rsidP="001C1112">
            <w:pPr>
              <w:pStyle w:val="TableHeader"/>
            </w:pPr>
            <w:r>
              <w:br w:type="page"/>
            </w:r>
            <w:r>
              <w:rPr>
                <w:color w:val="000000"/>
                <w:szCs w:val="16"/>
              </w:rPr>
              <w:br w:type="page"/>
            </w:r>
            <w:r>
              <w:t>Table 5</w:t>
            </w:r>
            <w:r w:rsidRPr="00823EF7">
              <w:tab/>
            </w:r>
            <w:r>
              <w:t>Regional Electric Charger Program Costs and Greenhouse Gas Emissions Reductions</w:t>
            </w:r>
          </w:p>
        </w:tc>
      </w:tr>
      <w:tr w:rsidR="00974D9D" w:rsidRPr="00B42715" w14:paraId="2078DB73" w14:textId="77777777" w:rsidTr="00F835F5">
        <w:trPr>
          <w:trHeight w:val="289"/>
          <w:jc w:val="center"/>
        </w:trPr>
        <w:tc>
          <w:tcPr>
            <w:tcW w:w="2373" w:type="pct"/>
            <w:shd w:val="clear" w:color="auto" w:fill="D9D9D9" w:themeFill="background1" w:themeFillShade="D9"/>
            <w:noWrap/>
            <w:vAlign w:val="center"/>
            <w:hideMark/>
          </w:tcPr>
          <w:p w14:paraId="2718C64A" w14:textId="77777777" w:rsidR="008A5899" w:rsidRPr="00B42715" w:rsidRDefault="008A5899" w:rsidP="001C1112">
            <w:pPr>
              <w:pStyle w:val="TableColumn"/>
            </w:pPr>
          </w:p>
        </w:tc>
        <w:tc>
          <w:tcPr>
            <w:tcW w:w="527" w:type="pct"/>
            <w:shd w:val="clear" w:color="auto" w:fill="D9D9D9" w:themeFill="background1" w:themeFillShade="D9"/>
            <w:noWrap/>
            <w:hideMark/>
          </w:tcPr>
          <w:p w14:paraId="7C7BD9FF" w14:textId="77777777" w:rsidR="008A5899" w:rsidRPr="009D1578" w:rsidRDefault="008A5899" w:rsidP="001C1112">
            <w:pPr>
              <w:pStyle w:val="TableColumn"/>
            </w:pPr>
            <w:r w:rsidRPr="000B50FC">
              <w:t>2020</w:t>
            </w:r>
          </w:p>
        </w:tc>
        <w:tc>
          <w:tcPr>
            <w:tcW w:w="527" w:type="pct"/>
            <w:shd w:val="clear" w:color="auto" w:fill="D9D9D9" w:themeFill="background1" w:themeFillShade="D9"/>
            <w:noWrap/>
            <w:hideMark/>
          </w:tcPr>
          <w:p w14:paraId="36671907" w14:textId="77777777" w:rsidR="008A5899" w:rsidRPr="009D1578" w:rsidRDefault="008A5899" w:rsidP="001C1112">
            <w:pPr>
              <w:pStyle w:val="TableColumn"/>
            </w:pPr>
            <w:r w:rsidRPr="000B50FC">
              <w:t>2025</w:t>
            </w:r>
          </w:p>
        </w:tc>
        <w:tc>
          <w:tcPr>
            <w:tcW w:w="527" w:type="pct"/>
            <w:shd w:val="clear" w:color="auto" w:fill="D9D9D9" w:themeFill="background1" w:themeFillShade="D9"/>
            <w:noWrap/>
            <w:hideMark/>
          </w:tcPr>
          <w:p w14:paraId="2C37F218" w14:textId="77777777" w:rsidR="008A5899" w:rsidRPr="009D1578" w:rsidRDefault="008A5899" w:rsidP="001C1112">
            <w:pPr>
              <w:pStyle w:val="TableColumn"/>
              <w:rPr>
                <w:color w:val="000000"/>
              </w:rPr>
            </w:pPr>
            <w:r w:rsidRPr="000B50FC">
              <w:t>2030</w:t>
            </w:r>
          </w:p>
        </w:tc>
        <w:tc>
          <w:tcPr>
            <w:tcW w:w="527" w:type="pct"/>
            <w:shd w:val="clear" w:color="auto" w:fill="D9D9D9" w:themeFill="background1" w:themeFillShade="D9"/>
          </w:tcPr>
          <w:p w14:paraId="794F404E" w14:textId="77777777" w:rsidR="008A5899" w:rsidRPr="00F93031" w:rsidRDefault="008A5899" w:rsidP="001C1112">
            <w:pPr>
              <w:pStyle w:val="TableColumn"/>
            </w:pPr>
            <w:r w:rsidRPr="000B50FC">
              <w:t>2035</w:t>
            </w:r>
          </w:p>
        </w:tc>
        <w:tc>
          <w:tcPr>
            <w:tcW w:w="520" w:type="pct"/>
            <w:shd w:val="clear" w:color="auto" w:fill="D9D9D9" w:themeFill="background1" w:themeFillShade="D9"/>
          </w:tcPr>
          <w:p w14:paraId="7062FC60" w14:textId="77777777" w:rsidR="008A5899" w:rsidRPr="00F93031" w:rsidRDefault="008A5899" w:rsidP="001C1112">
            <w:pPr>
              <w:pStyle w:val="TableColumn"/>
            </w:pPr>
            <w:r w:rsidRPr="000B50FC">
              <w:t>2050</w:t>
            </w:r>
          </w:p>
        </w:tc>
      </w:tr>
      <w:tr w:rsidR="006C2140" w:rsidRPr="002C771F" w14:paraId="19399022" w14:textId="77777777" w:rsidTr="00F835F5">
        <w:trPr>
          <w:jc w:val="center"/>
        </w:trPr>
        <w:tc>
          <w:tcPr>
            <w:tcW w:w="2373" w:type="pct"/>
            <w:shd w:val="clear" w:color="auto" w:fill="auto"/>
          </w:tcPr>
          <w:p w14:paraId="578785E5" w14:textId="23A0728A" w:rsidR="006C2140" w:rsidRPr="00832878" w:rsidRDefault="006C2140" w:rsidP="006C2140">
            <w:pPr>
              <w:pStyle w:val="TableTextL"/>
            </w:pPr>
            <w:r>
              <w:t>Cumulative Program Cost ($) (Rounded)</w:t>
            </w:r>
          </w:p>
        </w:tc>
        <w:tc>
          <w:tcPr>
            <w:tcW w:w="527" w:type="pct"/>
            <w:shd w:val="clear" w:color="auto" w:fill="auto"/>
          </w:tcPr>
          <w:p w14:paraId="05288819" w14:textId="5B897D3E" w:rsidR="006C2140" w:rsidRPr="00D95196" w:rsidRDefault="006C2140" w:rsidP="006C2140">
            <w:pPr>
              <w:pStyle w:val="TableText"/>
              <w:rPr>
                <w:highlight w:val="yellow"/>
              </w:rPr>
            </w:pPr>
            <w:r w:rsidRPr="009B4B11">
              <w:rPr>
                <w:highlight w:val="yellow"/>
              </w:rPr>
              <w:t xml:space="preserve"> $700,000 </w:t>
            </w:r>
          </w:p>
        </w:tc>
        <w:tc>
          <w:tcPr>
            <w:tcW w:w="527" w:type="pct"/>
            <w:shd w:val="clear" w:color="auto" w:fill="auto"/>
          </w:tcPr>
          <w:p w14:paraId="7EF9DBC1" w14:textId="60778669" w:rsidR="006C2140" w:rsidRPr="00D95196" w:rsidRDefault="006C2140" w:rsidP="006C2140">
            <w:pPr>
              <w:pStyle w:val="TableText"/>
              <w:rPr>
                <w:highlight w:val="yellow"/>
              </w:rPr>
            </w:pPr>
            <w:r w:rsidRPr="009B4B11">
              <w:rPr>
                <w:highlight w:val="yellow"/>
              </w:rPr>
              <w:t xml:space="preserve"> $2,500,000 </w:t>
            </w:r>
          </w:p>
        </w:tc>
        <w:tc>
          <w:tcPr>
            <w:tcW w:w="527" w:type="pct"/>
            <w:shd w:val="clear" w:color="auto" w:fill="auto"/>
            <w:noWrap/>
          </w:tcPr>
          <w:p w14:paraId="52706F8D" w14:textId="2A6A35D9" w:rsidR="006C2140" w:rsidRPr="00D95196" w:rsidRDefault="006C2140" w:rsidP="006C2140">
            <w:pPr>
              <w:pStyle w:val="TableText"/>
              <w:rPr>
                <w:highlight w:val="yellow"/>
              </w:rPr>
            </w:pPr>
            <w:r w:rsidRPr="001417C7">
              <w:rPr>
                <w:highlight w:val="yellow"/>
              </w:rPr>
              <w:t xml:space="preserve"> $4,600,000 </w:t>
            </w:r>
          </w:p>
        </w:tc>
        <w:tc>
          <w:tcPr>
            <w:tcW w:w="527" w:type="pct"/>
          </w:tcPr>
          <w:p w14:paraId="3E74588D" w14:textId="74ADA299" w:rsidR="006C2140" w:rsidRPr="00D95196" w:rsidRDefault="006C2140" w:rsidP="006C2140">
            <w:pPr>
              <w:pStyle w:val="TableText"/>
              <w:rPr>
                <w:highlight w:val="yellow"/>
              </w:rPr>
            </w:pPr>
            <w:r w:rsidRPr="009B4B11">
              <w:rPr>
                <w:highlight w:val="yellow"/>
              </w:rPr>
              <w:t xml:space="preserve"> $6,700,000 </w:t>
            </w:r>
          </w:p>
        </w:tc>
        <w:tc>
          <w:tcPr>
            <w:tcW w:w="520" w:type="pct"/>
          </w:tcPr>
          <w:p w14:paraId="1075FB62" w14:textId="75E72C1D" w:rsidR="006C2140" w:rsidRPr="00D95196" w:rsidRDefault="006C2140" w:rsidP="006C2140">
            <w:pPr>
              <w:pStyle w:val="TableText"/>
              <w:rPr>
                <w:highlight w:val="yellow"/>
              </w:rPr>
            </w:pPr>
            <w:r w:rsidRPr="001417C7">
              <w:rPr>
                <w:highlight w:val="yellow"/>
              </w:rPr>
              <w:t xml:space="preserve"> $12,700,000 </w:t>
            </w:r>
          </w:p>
        </w:tc>
      </w:tr>
      <w:tr w:rsidR="006C2140" w:rsidRPr="002C771F" w14:paraId="4E25C50C" w14:textId="77777777" w:rsidTr="00F835F5">
        <w:trPr>
          <w:jc w:val="center"/>
        </w:trPr>
        <w:tc>
          <w:tcPr>
            <w:tcW w:w="2373" w:type="pct"/>
            <w:shd w:val="clear" w:color="auto" w:fill="auto"/>
          </w:tcPr>
          <w:p w14:paraId="505B1E4D" w14:textId="54B57FB9" w:rsidR="006C2140" w:rsidRPr="00832878" w:rsidRDefault="006C2140" w:rsidP="006C2140">
            <w:pPr>
              <w:pStyle w:val="TableTextL"/>
            </w:pPr>
            <w:r w:rsidRPr="00445F06">
              <w:t>Net Daily Emission Reduction (MT CO</w:t>
            </w:r>
            <w:r w:rsidRPr="001417C7">
              <w:rPr>
                <w:vertAlign w:val="subscript"/>
              </w:rPr>
              <w:t>2</w:t>
            </w:r>
            <w:r w:rsidRPr="00445F06">
              <w:t>/day)</w:t>
            </w:r>
            <w:r w:rsidRPr="001417C7">
              <w:rPr>
                <w:vertAlign w:val="superscript"/>
              </w:rPr>
              <w:t>1</w:t>
            </w:r>
          </w:p>
        </w:tc>
        <w:tc>
          <w:tcPr>
            <w:tcW w:w="527" w:type="pct"/>
            <w:shd w:val="clear" w:color="auto" w:fill="auto"/>
          </w:tcPr>
          <w:p w14:paraId="52A6416B" w14:textId="12C4FA58" w:rsidR="006C2140" w:rsidRPr="00D95196" w:rsidRDefault="006C2140" w:rsidP="006C2140">
            <w:pPr>
              <w:pStyle w:val="TableText"/>
              <w:rPr>
                <w:highlight w:val="yellow"/>
              </w:rPr>
            </w:pPr>
            <w:r w:rsidRPr="001417C7">
              <w:rPr>
                <w:highlight w:val="yellow"/>
              </w:rPr>
              <w:t xml:space="preserve"> 107 </w:t>
            </w:r>
          </w:p>
        </w:tc>
        <w:tc>
          <w:tcPr>
            <w:tcW w:w="527" w:type="pct"/>
            <w:shd w:val="clear" w:color="auto" w:fill="auto"/>
          </w:tcPr>
          <w:p w14:paraId="4F2890B8" w14:textId="7D2948C9" w:rsidR="006C2140" w:rsidRPr="00D95196" w:rsidRDefault="006C2140" w:rsidP="006C2140">
            <w:pPr>
              <w:pStyle w:val="TableText"/>
              <w:rPr>
                <w:highlight w:val="yellow"/>
              </w:rPr>
            </w:pPr>
            <w:r w:rsidRPr="001417C7">
              <w:rPr>
                <w:highlight w:val="yellow"/>
              </w:rPr>
              <w:t xml:space="preserve"> 158 </w:t>
            </w:r>
          </w:p>
        </w:tc>
        <w:tc>
          <w:tcPr>
            <w:tcW w:w="527" w:type="pct"/>
            <w:shd w:val="clear" w:color="auto" w:fill="auto"/>
            <w:noWrap/>
          </w:tcPr>
          <w:p w14:paraId="6244BD6E" w14:textId="57DFA7F8" w:rsidR="006C2140" w:rsidRPr="00D95196" w:rsidRDefault="006C2140" w:rsidP="006C2140">
            <w:pPr>
              <w:pStyle w:val="TableText"/>
              <w:rPr>
                <w:highlight w:val="yellow"/>
              </w:rPr>
            </w:pPr>
            <w:r w:rsidRPr="001417C7">
              <w:rPr>
                <w:highlight w:val="yellow"/>
              </w:rPr>
              <w:t xml:space="preserve"> 174 </w:t>
            </w:r>
          </w:p>
        </w:tc>
        <w:tc>
          <w:tcPr>
            <w:tcW w:w="527" w:type="pct"/>
          </w:tcPr>
          <w:p w14:paraId="022415F5" w14:textId="222550CC" w:rsidR="006C2140" w:rsidRPr="00D95196" w:rsidRDefault="006C2140" w:rsidP="006C2140">
            <w:pPr>
              <w:pStyle w:val="TableText"/>
              <w:rPr>
                <w:highlight w:val="yellow"/>
              </w:rPr>
            </w:pPr>
            <w:r w:rsidRPr="001417C7">
              <w:rPr>
                <w:highlight w:val="yellow"/>
              </w:rPr>
              <w:t xml:space="preserve"> 206 </w:t>
            </w:r>
          </w:p>
        </w:tc>
        <w:tc>
          <w:tcPr>
            <w:tcW w:w="520" w:type="pct"/>
          </w:tcPr>
          <w:p w14:paraId="3D6B082F" w14:textId="71838C84" w:rsidR="006C2140" w:rsidRPr="00D95196" w:rsidRDefault="006C2140" w:rsidP="006C2140">
            <w:pPr>
              <w:pStyle w:val="TableText"/>
              <w:rPr>
                <w:highlight w:val="yellow"/>
              </w:rPr>
            </w:pPr>
            <w:r w:rsidRPr="001417C7">
              <w:rPr>
                <w:highlight w:val="yellow"/>
              </w:rPr>
              <w:t xml:space="preserve"> 371 </w:t>
            </w:r>
          </w:p>
        </w:tc>
      </w:tr>
      <w:tr w:rsidR="006C2140" w:rsidRPr="002C771F" w14:paraId="2CBAB52C" w14:textId="77777777" w:rsidTr="00F835F5">
        <w:trPr>
          <w:jc w:val="center"/>
        </w:trPr>
        <w:tc>
          <w:tcPr>
            <w:tcW w:w="2373" w:type="pct"/>
            <w:shd w:val="clear" w:color="auto" w:fill="auto"/>
          </w:tcPr>
          <w:p w14:paraId="1A054344" w14:textId="51CEF2FB" w:rsidR="006C2140" w:rsidRPr="00832878" w:rsidRDefault="006C2140" w:rsidP="006C2140">
            <w:pPr>
              <w:pStyle w:val="TableTextL"/>
            </w:pPr>
            <w:r w:rsidRPr="00445F06">
              <w:t>Net Annual Emission Reduction (MT CO</w:t>
            </w:r>
            <w:r w:rsidRPr="001417C7">
              <w:rPr>
                <w:vertAlign w:val="subscript"/>
              </w:rPr>
              <w:t>2</w:t>
            </w:r>
            <w:r w:rsidRPr="00445F06">
              <w:t>/year)</w:t>
            </w:r>
            <w:r w:rsidRPr="00B21713">
              <w:rPr>
                <w:vertAlign w:val="superscript"/>
              </w:rPr>
              <w:t xml:space="preserve"> 1</w:t>
            </w:r>
          </w:p>
        </w:tc>
        <w:tc>
          <w:tcPr>
            <w:tcW w:w="527" w:type="pct"/>
            <w:shd w:val="clear" w:color="auto" w:fill="auto"/>
          </w:tcPr>
          <w:p w14:paraId="56F23C60" w14:textId="0328A8B3" w:rsidR="006C2140" w:rsidRPr="00D95196" w:rsidRDefault="006C2140" w:rsidP="006C2140">
            <w:pPr>
              <w:pStyle w:val="TableText"/>
              <w:rPr>
                <w:highlight w:val="yellow"/>
              </w:rPr>
            </w:pPr>
            <w:r w:rsidRPr="001417C7">
              <w:rPr>
                <w:highlight w:val="yellow"/>
              </w:rPr>
              <w:t xml:space="preserve"> 39,236 </w:t>
            </w:r>
          </w:p>
        </w:tc>
        <w:tc>
          <w:tcPr>
            <w:tcW w:w="527" w:type="pct"/>
            <w:shd w:val="clear" w:color="auto" w:fill="auto"/>
          </w:tcPr>
          <w:p w14:paraId="26032351" w14:textId="2AAA7B30" w:rsidR="006C2140" w:rsidRPr="00D95196" w:rsidRDefault="006C2140" w:rsidP="006C2140">
            <w:pPr>
              <w:pStyle w:val="TableText"/>
              <w:rPr>
                <w:highlight w:val="yellow"/>
              </w:rPr>
            </w:pPr>
            <w:r w:rsidRPr="001417C7">
              <w:rPr>
                <w:highlight w:val="yellow"/>
              </w:rPr>
              <w:t xml:space="preserve"> 57,768 </w:t>
            </w:r>
          </w:p>
        </w:tc>
        <w:tc>
          <w:tcPr>
            <w:tcW w:w="527" w:type="pct"/>
            <w:shd w:val="clear" w:color="auto" w:fill="auto"/>
            <w:noWrap/>
          </w:tcPr>
          <w:p w14:paraId="616E983D" w14:textId="0CF0045D" w:rsidR="006C2140" w:rsidRPr="00D95196" w:rsidRDefault="006C2140" w:rsidP="006C2140">
            <w:pPr>
              <w:pStyle w:val="TableText"/>
              <w:rPr>
                <w:highlight w:val="yellow"/>
              </w:rPr>
            </w:pPr>
            <w:r w:rsidRPr="001417C7">
              <w:rPr>
                <w:highlight w:val="yellow"/>
              </w:rPr>
              <w:t xml:space="preserve"> 63,350 </w:t>
            </w:r>
          </w:p>
        </w:tc>
        <w:tc>
          <w:tcPr>
            <w:tcW w:w="527" w:type="pct"/>
          </w:tcPr>
          <w:p w14:paraId="6AD356BE" w14:textId="41B8DBDA" w:rsidR="006C2140" w:rsidRPr="00D95196" w:rsidRDefault="006C2140" w:rsidP="006C2140">
            <w:pPr>
              <w:pStyle w:val="TableText"/>
              <w:rPr>
                <w:highlight w:val="yellow"/>
              </w:rPr>
            </w:pPr>
            <w:r w:rsidRPr="001417C7">
              <w:rPr>
                <w:highlight w:val="yellow"/>
              </w:rPr>
              <w:t xml:space="preserve"> 75,035 </w:t>
            </w:r>
          </w:p>
        </w:tc>
        <w:tc>
          <w:tcPr>
            <w:tcW w:w="520" w:type="pct"/>
          </w:tcPr>
          <w:p w14:paraId="48B39728" w14:textId="37A0D27E" w:rsidR="006C2140" w:rsidRPr="00D95196" w:rsidRDefault="006C2140" w:rsidP="006C2140">
            <w:pPr>
              <w:pStyle w:val="TableText"/>
              <w:rPr>
                <w:highlight w:val="yellow"/>
              </w:rPr>
            </w:pPr>
            <w:r w:rsidRPr="001417C7">
              <w:rPr>
                <w:highlight w:val="yellow"/>
              </w:rPr>
              <w:t xml:space="preserve"> 135,481 </w:t>
            </w:r>
          </w:p>
        </w:tc>
      </w:tr>
      <w:tr w:rsidR="00F835F5" w:rsidRPr="002C771F" w14:paraId="68AC1F47" w14:textId="77777777" w:rsidTr="00F835F5">
        <w:trPr>
          <w:jc w:val="center"/>
        </w:trPr>
        <w:tc>
          <w:tcPr>
            <w:tcW w:w="2373" w:type="pct"/>
            <w:shd w:val="clear" w:color="auto" w:fill="auto"/>
          </w:tcPr>
          <w:p w14:paraId="03B05E49" w14:textId="12D453A0" w:rsidR="00F835F5" w:rsidRPr="00445F06" w:rsidRDefault="00F835F5" w:rsidP="00F835F5">
            <w:pPr>
              <w:pStyle w:val="TableTextL"/>
            </w:pPr>
            <w:commentRangeStart w:id="3"/>
            <w:r>
              <w:t xml:space="preserve">Cumulative Emissions Reduced </w:t>
            </w:r>
            <w:r w:rsidR="006F75C7">
              <w:t xml:space="preserve">from start of program </w:t>
            </w:r>
            <w:r w:rsidRPr="00445F06">
              <w:t>(MT CO</w:t>
            </w:r>
            <w:r w:rsidRPr="00B21713">
              <w:rPr>
                <w:vertAlign w:val="subscript"/>
              </w:rPr>
              <w:t>2</w:t>
            </w:r>
            <w:r>
              <w:t>)</w:t>
            </w:r>
            <w:r w:rsidRPr="001417C7">
              <w:rPr>
                <w:vertAlign w:val="superscript"/>
              </w:rPr>
              <w:t>1</w:t>
            </w:r>
          </w:p>
        </w:tc>
        <w:tc>
          <w:tcPr>
            <w:tcW w:w="527" w:type="pct"/>
            <w:shd w:val="clear" w:color="auto" w:fill="auto"/>
          </w:tcPr>
          <w:p w14:paraId="201DDB75" w14:textId="30F3C2AE" w:rsidR="00F835F5" w:rsidRPr="00D95196" w:rsidRDefault="00F835F5" w:rsidP="00F835F5">
            <w:pPr>
              <w:pStyle w:val="TableText"/>
              <w:rPr>
                <w:highlight w:val="yellow"/>
              </w:rPr>
            </w:pPr>
            <w:r w:rsidRPr="001417C7">
              <w:rPr>
                <w:highlight w:val="yellow"/>
              </w:rPr>
              <w:t xml:space="preserve"> 39,236 </w:t>
            </w:r>
          </w:p>
        </w:tc>
        <w:tc>
          <w:tcPr>
            <w:tcW w:w="527" w:type="pct"/>
            <w:shd w:val="clear" w:color="auto" w:fill="auto"/>
          </w:tcPr>
          <w:p w14:paraId="3478CF2D" w14:textId="12806062" w:rsidR="00F835F5" w:rsidRPr="00D95196" w:rsidRDefault="00F835F5" w:rsidP="00F835F5">
            <w:pPr>
              <w:pStyle w:val="TableText"/>
              <w:rPr>
                <w:highlight w:val="yellow"/>
              </w:rPr>
            </w:pPr>
            <w:r w:rsidRPr="001417C7">
              <w:rPr>
                <w:highlight w:val="yellow"/>
              </w:rPr>
              <w:t xml:space="preserve"> 242,510 </w:t>
            </w:r>
          </w:p>
        </w:tc>
        <w:tc>
          <w:tcPr>
            <w:tcW w:w="527" w:type="pct"/>
            <w:shd w:val="clear" w:color="auto" w:fill="auto"/>
            <w:noWrap/>
          </w:tcPr>
          <w:p w14:paraId="19B0C99E" w14:textId="61FE5AE7" w:rsidR="00F835F5" w:rsidRPr="00D95196" w:rsidRDefault="00F835F5" w:rsidP="00F835F5">
            <w:pPr>
              <w:pStyle w:val="TableText"/>
              <w:rPr>
                <w:highlight w:val="yellow"/>
              </w:rPr>
            </w:pPr>
            <w:r w:rsidRPr="001417C7">
              <w:rPr>
                <w:highlight w:val="yellow"/>
              </w:rPr>
              <w:t xml:space="preserve"> 302,797 </w:t>
            </w:r>
          </w:p>
        </w:tc>
        <w:tc>
          <w:tcPr>
            <w:tcW w:w="527" w:type="pct"/>
          </w:tcPr>
          <w:p w14:paraId="2E3364D4" w14:textId="75F23ECF" w:rsidR="00F835F5" w:rsidRPr="00D95196" w:rsidRDefault="00F835F5" w:rsidP="00F835F5">
            <w:pPr>
              <w:pStyle w:val="TableText"/>
              <w:rPr>
                <w:highlight w:val="yellow"/>
              </w:rPr>
            </w:pPr>
            <w:r w:rsidRPr="001417C7">
              <w:rPr>
                <w:highlight w:val="yellow"/>
              </w:rPr>
              <w:t xml:space="preserve"> 345,964 </w:t>
            </w:r>
          </w:p>
        </w:tc>
        <w:tc>
          <w:tcPr>
            <w:tcW w:w="520" w:type="pct"/>
          </w:tcPr>
          <w:p w14:paraId="04AFD5DD" w14:textId="696084CE" w:rsidR="00F835F5" w:rsidRPr="00D95196" w:rsidRDefault="00F835F5" w:rsidP="00F835F5">
            <w:pPr>
              <w:pStyle w:val="TableText"/>
              <w:rPr>
                <w:highlight w:val="yellow"/>
              </w:rPr>
            </w:pPr>
            <w:r w:rsidRPr="001417C7">
              <w:rPr>
                <w:highlight w:val="yellow"/>
              </w:rPr>
              <w:t xml:space="preserve"> 1,578,869 </w:t>
            </w:r>
            <w:commentRangeEnd w:id="3"/>
            <w:r w:rsidR="008C0B98">
              <w:rPr>
                <w:rStyle w:val="CommentReference"/>
                <w:rFonts w:eastAsia="Times New Roman" w:cs="Times New Roman"/>
                <w:spacing w:val="0"/>
                <w:w w:val="100"/>
              </w:rPr>
              <w:commentReference w:id="3"/>
            </w:r>
          </w:p>
        </w:tc>
      </w:tr>
      <w:tr w:rsidR="00974D9D" w:rsidRPr="002C771F" w14:paraId="5895D653" w14:textId="77777777" w:rsidTr="00F835F5">
        <w:trPr>
          <w:jc w:val="center"/>
        </w:trPr>
        <w:tc>
          <w:tcPr>
            <w:tcW w:w="2373" w:type="pct"/>
            <w:shd w:val="clear" w:color="auto" w:fill="auto"/>
          </w:tcPr>
          <w:p w14:paraId="338A0DE0" w14:textId="0C2EA559" w:rsidR="00974D9D" w:rsidRDefault="00974D9D" w:rsidP="00974D9D">
            <w:pPr>
              <w:pStyle w:val="TableTextL"/>
            </w:pPr>
            <w:r>
              <w:t>Cost per MT CO</w:t>
            </w:r>
            <w:r w:rsidRPr="001417C7">
              <w:rPr>
                <w:vertAlign w:val="subscript"/>
              </w:rPr>
              <w:t>2</w:t>
            </w:r>
            <w:r>
              <w:t xml:space="preserve"> reduced</w:t>
            </w:r>
            <w:r w:rsidR="00F835F5">
              <w:t xml:space="preserve"> ($/MT CO</w:t>
            </w:r>
            <w:r w:rsidR="00F835F5" w:rsidRPr="001417C7">
              <w:rPr>
                <w:vertAlign w:val="subscript"/>
              </w:rPr>
              <w:t>2</w:t>
            </w:r>
            <w:r w:rsidR="00F835F5">
              <w:t>)</w:t>
            </w:r>
          </w:p>
        </w:tc>
        <w:tc>
          <w:tcPr>
            <w:tcW w:w="527" w:type="pct"/>
            <w:shd w:val="clear" w:color="auto" w:fill="auto"/>
          </w:tcPr>
          <w:p w14:paraId="5243068B" w14:textId="41BC0355" w:rsidR="00974D9D" w:rsidRPr="008C0B98" w:rsidRDefault="006F75C7" w:rsidP="00974D9D">
            <w:pPr>
              <w:pStyle w:val="TableText"/>
              <w:rPr>
                <w:highlight w:val="yellow"/>
              </w:rPr>
            </w:pPr>
            <w:r>
              <w:rPr>
                <w:highlight w:val="yellow"/>
              </w:rPr>
              <w:t>$</w:t>
            </w:r>
            <w:r w:rsidR="00F835F5" w:rsidRPr="00D95196">
              <w:rPr>
                <w:highlight w:val="yellow"/>
              </w:rPr>
              <w:t>18</w:t>
            </w:r>
          </w:p>
        </w:tc>
        <w:tc>
          <w:tcPr>
            <w:tcW w:w="527" w:type="pct"/>
            <w:shd w:val="clear" w:color="auto" w:fill="auto"/>
          </w:tcPr>
          <w:p w14:paraId="705ED6DD" w14:textId="64D8BCA0" w:rsidR="00974D9D" w:rsidRPr="00D95196" w:rsidRDefault="006F75C7" w:rsidP="00974D9D">
            <w:pPr>
              <w:pStyle w:val="TableText"/>
              <w:rPr>
                <w:highlight w:val="yellow"/>
              </w:rPr>
            </w:pPr>
            <w:r>
              <w:rPr>
                <w:highlight w:val="yellow"/>
              </w:rPr>
              <w:t>$</w:t>
            </w:r>
            <w:r w:rsidR="00974D9D" w:rsidRPr="001417C7">
              <w:rPr>
                <w:highlight w:val="yellow"/>
              </w:rPr>
              <w:t>10</w:t>
            </w:r>
          </w:p>
        </w:tc>
        <w:tc>
          <w:tcPr>
            <w:tcW w:w="527" w:type="pct"/>
            <w:shd w:val="clear" w:color="auto" w:fill="auto"/>
            <w:noWrap/>
          </w:tcPr>
          <w:p w14:paraId="0165CA5C" w14:textId="69C943C7" w:rsidR="00974D9D" w:rsidRPr="00D95196" w:rsidRDefault="006F75C7" w:rsidP="00974D9D">
            <w:pPr>
              <w:pStyle w:val="TableText"/>
              <w:rPr>
                <w:highlight w:val="yellow"/>
              </w:rPr>
            </w:pPr>
            <w:r>
              <w:rPr>
                <w:highlight w:val="yellow"/>
              </w:rPr>
              <w:t>$</w:t>
            </w:r>
            <w:r w:rsidR="00974D9D" w:rsidRPr="001417C7">
              <w:rPr>
                <w:highlight w:val="yellow"/>
              </w:rPr>
              <w:t>15</w:t>
            </w:r>
          </w:p>
        </w:tc>
        <w:tc>
          <w:tcPr>
            <w:tcW w:w="527" w:type="pct"/>
          </w:tcPr>
          <w:p w14:paraId="3910D874" w14:textId="693A1A95" w:rsidR="00974D9D" w:rsidRPr="00D95196" w:rsidRDefault="006F75C7" w:rsidP="00974D9D">
            <w:pPr>
              <w:pStyle w:val="TableText"/>
              <w:rPr>
                <w:highlight w:val="yellow"/>
              </w:rPr>
            </w:pPr>
            <w:r>
              <w:rPr>
                <w:highlight w:val="yellow"/>
              </w:rPr>
              <w:t>$</w:t>
            </w:r>
            <w:r w:rsidR="00974D9D" w:rsidRPr="001417C7">
              <w:rPr>
                <w:highlight w:val="yellow"/>
              </w:rPr>
              <w:t>19</w:t>
            </w:r>
          </w:p>
        </w:tc>
        <w:tc>
          <w:tcPr>
            <w:tcW w:w="520" w:type="pct"/>
          </w:tcPr>
          <w:p w14:paraId="564CBA59" w14:textId="751AB88B" w:rsidR="00974D9D" w:rsidRPr="00D95196" w:rsidRDefault="006F75C7" w:rsidP="00974D9D">
            <w:pPr>
              <w:pStyle w:val="TableText"/>
              <w:rPr>
                <w:highlight w:val="yellow"/>
              </w:rPr>
            </w:pPr>
            <w:r>
              <w:rPr>
                <w:highlight w:val="yellow"/>
              </w:rPr>
              <w:t>$</w:t>
            </w:r>
            <w:r w:rsidR="00974D9D" w:rsidRPr="001417C7">
              <w:rPr>
                <w:highlight w:val="yellow"/>
              </w:rPr>
              <w:t>8</w:t>
            </w:r>
          </w:p>
        </w:tc>
      </w:tr>
      <w:tr w:rsidR="006C2140" w:rsidRPr="002C771F" w14:paraId="383A558C" w14:textId="77777777" w:rsidTr="00F835F5">
        <w:trPr>
          <w:jc w:val="center"/>
        </w:trPr>
        <w:tc>
          <w:tcPr>
            <w:tcW w:w="2373" w:type="pct"/>
            <w:shd w:val="clear" w:color="auto" w:fill="auto"/>
          </w:tcPr>
          <w:p w14:paraId="269F15D4" w14:textId="2C0CB901" w:rsidR="006C2140" w:rsidRPr="00D95196" w:rsidRDefault="006C2140" w:rsidP="006C2140">
            <w:pPr>
              <w:pStyle w:val="TableTextL"/>
            </w:pPr>
            <w:r>
              <w:t>Average Annual Emission Reduction per charger</w:t>
            </w:r>
            <w:r w:rsidRPr="00B21713">
              <w:rPr>
                <w:vertAlign w:val="superscript"/>
              </w:rPr>
              <w:t>1</w:t>
            </w:r>
            <w:r>
              <w:rPr>
                <w:vertAlign w:val="superscript"/>
              </w:rPr>
              <w:t xml:space="preserve"> </w:t>
            </w:r>
            <w:r>
              <w:t>(MT CO</w:t>
            </w:r>
            <w:r w:rsidRPr="001417C7">
              <w:rPr>
                <w:vertAlign w:val="subscript"/>
              </w:rPr>
              <w:t>2</w:t>
            </w:r>
            <w:r>
              <w:t>/charger)</w:t>
            </w:r>
          </w:p>
        </w:tc>
        <w:tc>
          <w:tcPr>
            <w:tcW w:w="527" w:type="pct"/>
            <w:shd w:val="clear" w:color="auto" w:fill="auto"/>
          </w:tcPr>
          <w:p w14:paraId="401538D0" w14:textId="71ED45F8" w:rsidR="006C2140" w:rsidRPr="001417C7" w:rsidRDefault="006C2140" w:rsidP="006C2140">
            <w:pPr>
              <w:pStyle w:val="TableText"/>
              <w:rPr>
                <w:highlight w:val="yellow"/>
              </w:rPr>
            </w:pPr>
            <w:r w:rsidRPr="001417C7">
              <w:rPr>
                <w:highlight w:val="yellow"/>
              </w:rPr>
              <w:t>29.4</w:t>
            </w:r>
          </w:p>
        </w:tc>
        <w:tc>
          <w:tcPr>
            <w:tcW w:w="527" w:type="pct"/>
            <w:shd w:val="clear" w:color="auto" w:fill="auto"/>
          </w:tcPr>
          <w:p w14:paraId="09315264" w14:textId="36A22C50" w:rsidR="006C2140" w:rsidRPr="001417C7" w:rsidRDefault="006C2140" w:rsidP="006C2140">
            <w:pPr>
              <w:pStyle w:val="TableText"/>
              <w:rPr>
                <w:highlight w:val="yellow"/>
              </w:rPr>
            </w:pPr>
            <w:r w:rsidRPr="001417C7">
              <w:rPr>
                <w:highlight w:val="yellow"/>
              </w:rPr>
              <w:t>11.2</w:t>
            </w:r>
          </w:p>
        </w:tc>
        <w:tc>
          <w:tcPr>
            <w:tcW w:w="527" w:type="pct"/>
            <w:shd w:val="clear" w:color="auto" w:fill="auto"/>
            <w:noWrap/>
          </w:tcPr>
          <w:p w14:paraId="44327D1A" w14:textId="068ABE3A" w:rsidR="006C2140" w:rsidRPr="001417C7" w:rsidRDefault="006C2140" w:rsidP="006C2140">
            <w:pPr>
              <w:pStyle w:val="TableText"/>
              <w:rPr>
                <w:highlight w:val="yellow"/>
              </w:rPr>
            </w:pPr>
            <w:r w:rsidRPr="001417C7">
              <w:rPr>
                <w:highlight w:val="yellow"/>
              </w:rPr>
              <w:t>6.6</w:t>
            </w:r>
          </w:p>
        </w:tc>
        <w:tc>
          <w:tcPr>
            <w:tcW w:w="527" w:type="pct"/>
          </w:tcPr>
          <w:p w14:paraId="5FF61FD1" w14:textId="13B05D49" w:rsidR="006C2140" w:rsidRPr="001417C7" w:rsidRDefault="006C2140" w:rsidP="006C2140">
            <w:pPr>
              <w:pStyle w:val="TableText"/>
              <w:rPr>
                <w:highlight w:val="yellow"/>
              </w:rPr>
            </w:pPr>
            <w:r w:rsidRPr="001417C7">
              <w:rPr>
                <w:highlight w:val="yellow"/>
              </w:rPr>
              <w:t>5.4</w:t>
            </w:r>
          </w:p>
        </w:tc>
        <w:tc>
          <w:tcPr>
            <w:tcW w:w="520" w:type="pct"/>
          </w:tcPr>
          <w:p w14:paraId="002F78CF" w14:textId="6FF7856B" w:rsidR="006C2140" w:rsidRPr="001417C7" w:rsidRDefault="006C2140" w:rsidP="006C2140">
            <w:pPr>
              <w:pStyle w:val="TableText"/>
              <w:rPr>
                <w:highlight w:val="yellow"/>
              </w:rPr>
            </w:pPr>
            <w:r w:rsidRPr="001417C7">
              <w:rPr>
                <w:highlight w:val="yellow"/>
              </w:rPr>
              <w:t>5.2</w:t>
            </w:r>
          </w:p>
        </w:tc>
      </w:tr>
      <w:tr w:rsidR="008A5899" w:rsidRPr="00C47C08" w14:paraId="36690FB7" w14:textId="77777777" w:rsidTr="001C1112">
        <w:trPr>
          <w:jc w:val="center"/>
        </w:trPr>
        <w:tc>
          <w:tcPr>
            <w:tcW w:w="5000" w:type="pct"/>
            <w:gridSpan w:val="6"/>
            <w:shd w:val="clear" w:color="auto" w:fill="D9D9D9" w:themeFill="background1" w:themeFillShade="D9"/>
            <w:noWrap/>
            <w:vAlign w:val="bottom"/>
          </w:tcPr>
          <w:p w14:paraId="49499176" w14:textId="11953AA3" w:rsidR="008A5899" w:rsidRDefault="008A5899" w:rsidP="001C1112">
            <w:pPr>
              <w:pStyle w:val="TableSource"/>
            </w:pPr>
            <w:r w:rsidRPr="00C47C08">
              <w:t>Notes:</w:t>
            </w:r>
            <w:r>
              <w:t xml:space="preserve"> L2 = Level 2, DC = direct current</w:t>
            </w:r>
            <w:r w:rsidR="006C2140">
              <w:t>, MT CO</w:t>
            </w:r>
            <w:r w:rsidR="006C2140" w:rsidRPr="001417C7">
              <w:rPr>
                <w:vertAlign w:val="subscript"/>
              </w:rPr>
              <w:t>2</w:t>
            </w:r>
            <w:r w:rsidR="006C2140">
              <w:t xml:space="preserve"> = metric tons of carbon dioxide</w:t>
            </w:r>
          </w:p>
          <w:p w14:paraId="265E2A3E" w14:textId="607E0666" w:rsidR="008A5899" w:rsidRPr="00B21713" w:rsidRDefault="008A5899" w:rsidP="001C1112">
            <w:pPr>
              <w:pStyle w:val="TableSource"/>
            </w:pPr>
            <w:r w:rsidRPr="00B21713">
              <w:rPr>
                <w:vertAlign w:val="superscript"/>
              </w:rPr>
              <w:t>1</w:t>
            </w:r>
            <w:r>
              <w:rPr>
                <w:vertAlign w:val="superscript"/>
              </w:rPr>
              <w:t xml:space="preserve"> </w:t>
            </w:r>
            <w:r w:rsidR="006C2140">
              <w:t>Relative to EMFAC2017 Forecasts</w:t>
            </w:r>
          </w:p>
          <w:p w14:paraId="05876637" w14:textId="77777777" w:rsidR="008A5899" w:rsidRPr="00C47C08" w:rsidRDefault="008A5899" w:rsidP="001C1112">
            <w:pPr>
              <w:pStyle w:val="TableSource"/>
            </w:pPr>
            <w:r>
              <w:t>Source: Modeled by Ascent Environmental in 2018</w:t>
            </w:r>
          </w:p>
        </w:tc>
      </w:tr>
    </w:tbl>
    <w:p w14:paraId="67F01005" w14:textId="77777777" w:rsidR="008A5899" w:rsidRDefault="008A5899" w:rsidP="000C2009">
      <w:pPr>
        <w:pStyle w:val="BodyText"/>
      </w:pPr>
    </w:p>
    <w:p w14:paraId="0149C870" w14:textId="17E90385" w:rsidR="00A61BDE" w:rsidRDefault="00974D9D" w:rsidP="00BD5403">
      <w:pPr>
        <w:pStyle w:val="Heading5"/>
      </w:pPr>
      <w:r>
        <w:rPr>
          <w:rFonts w:ascii="Segoe UI Semilight" w:eastAsia="Times New Roman" w:hAnsi="Segoe UI Semilight" w:cs="Times New Roman"/>
          <w:spacing w:val="0"/>
          <w:sz w:val="22"/>
          <w:szCs w:val="24"/>
        </w:rPr>
        <w:t xml:space="preserve">Implementation of SANDAG’s RECP would reduce emissions by </w:t>
      </w:r>
      <w:r w:rsidR="008C0B98" w:rsidRPr="00931B6D">
        <w:rPr>
          <w:rFonts w:ascii="Segoe UI Semilight" w:eastAsia="Times New Roman" w:hAnsi="Segoe UI Semilight" w:cs="Times New Roman"/>
          <w:spacing w:val="0"/>
          <w:sz w:val="22"/>
          <w:szCs w:val="24"/>
          <w:highlight w:val="yellow"/>
        </w:rPr>
        <w:t>63,350</w:t>
      </w:r>
      <w:r w:rsidR="008C0B98">
        <w:rPr>
          <w:rFonts w:ascii="Segoe UI Semilight" w:eastAsia="Times New Roman" w:hAnsi="Segoe UI Semilight" w:cs="Times New Roman"/>
          <w:spacing w:val="0"/>
          <w:sz w:val="22"/>
          <w:szCs w:val="24"/>
        </w:rPr>
        <w:t xml:space="preserve"> MT CO</w:t>
      </w:r>
      <w:r w:rsidR="008C0B98" w:rsidRPr="00BD5403">
        <w:rPr>
          <w:rFonts w:ascii="Segoe UI Semilight" w:eastAsia="Times New Roman" w:hAnsi="Segoe UI Semilight" w:cs="Times New Roman"/>
          <w:spacing w:val="0"/>
          <w:sz w:val="22"/>
          <w:szCs w:val="24"/>
          <w:vertAlign w:val="subscript"/>
        </w:rPr>
        <w:t>2</w:t>
      </w:r>
      <w:r w:rsidR="008C0B98">
        <w:rPr>
          <w:rFonts w:ascii="Segoe UI Semilight" w:eastAsia="Times New Roman" w:hAnsi="Segoe UI Semilight" w:cs="Times New Roman"/>
          <w:spacing w:val="0"/>
          <w:sz w:val="22"/>
          <w:szCs w:val="24"/>
        </w:rPr>
        <w:t xml:space="preserve"> </w:t>
      </w:r>
      <w:r w:rsidR="00DB2788">
        <w:rPr>
          <w:rFonts w:ascii="Segoe UI Semilight" w:eastAsia="Times New Roman" w:hAnsi="Segoe UI Semilight" w:cs="Times New Roman"/>
          <w:spacing w:val="0"/>
          <w:sz w:val="22"/>
          <w:szCs w:val="24"/>
        </w:rPr>
        <w:t>in</w:t>
      </w:r>
      <w:r w:rsidR="008C0B98">
        <w:rPr>
          <w:rFonts w:ascii="Segoe UI Semilight" w:eastAsia="Times New Roman" w:hAnsi="Segoe UI Semilight" w:cs="Times New Roman"/>
          <w:spacing w:val="0"/>
          <w:sz w:val="22"/>
          <w:szCs w:val="24"/>
        </w:rPr>
        <w:t xml:space="preserve"> 2030 and </w:t>
      </w:r>
      <w:r w:rsidR="008C0B98" w:rsidRPr="00931B6D">
        <w:rPr>
          <w:rFonts w:ascii="Segoe UI Semilight" w:eastAsia="Times New Roman" w:hAnsi="Segoe UI Semilight" w:cs="Times New Roman"/>
          <w:spacing w:val="0"/>
          <w:sz w:val="22"/>
          <w:szCs w:val="24"/>
          <w:highlight w:val="yellow"/>
        </w:rPr>
        <w:t>135,481</w:t>
      </w:r>
      <w:r w:rsidR="008C0B98">
        <w:rPr>
          <w:rFonts w:ascii="Segoe UI Semilight" w:eastAsia="Times New Roman" w:hAnsi="Segoe UI Semilight" w:cs="Times New Roman"/>
          <w:spacing w:val="0"/>
          <w:sz w:val="22"/>
          <w:szCs w:val="24"/>
        </w:rPr>
        <w:t xml:space="preserve"> MT CO</w:t>
      </w:r>
      <w:r w:rsidR="008C0B98" w:rsidRPr="00BD5403">
        <w:rPr>
          <w:rFonts w:ascii="Segoe UI Semilight" w:eastAsia="Times New Roman" w:hAnsi="Segoe UI Semilight" w:cs="Times New Roman"/>
          <w:spacing w:val="0"/>
          <w:sz w:val="22"/>
          <w:szCs w:val="24"/>
          <w:vertAlign w:val="subscript"/>
        </w:rPr>
        <w:t>2</w:t>
      </w:r>
      <w:r w:rsidR="008C0B98">
        <w:rPr>
          <w:rFonts w:ascii="Segoe UI Semilight" w:eastAsia="Times New Roman" w:hAnsi="Segoe UI Semilight" w:cs="Times New Roman"/>
          <w:spacing w:val="0"/>
          <w:sz w:val="22"/>
          <w:szCs w:val="24"/>
        </w:rPr>
        <w:t xml:space="preserve"> </w:t>
      </w:r>
      <w:r w:rsidR="00DB2788">
        <w:rPr>
          <w:rFonts w:ascii="Segoe UI Semilight" w:eastAsia="Times New Roman" w:hAnsi="Segoe UI Semilight" w:cs="Times New Roman"/>
          <w:spacing w:val="0"/>
          <w:sz w:val="22"/>
          <w:szCs w:val="24"/>
        </w:rPr>
        <w:t>in</w:t>
      </w:r>
      <w:r w:rsidR="008C0B98">
        <w:rPr>
          <w:rFonts w:ascii="Segoe UI Semilight" w:eastAsia="Times New Roman" w:hAnsi="Segoe UI Semilight" w:cs="Times New Roman"/>
          <w:spacing w:val="0"/>
          <w:sz w:val="22"/>
          <w:szCs w:val="24"/>
        </w:rPr>
        <w:t xml:space="preserve"> 2050 beyond EMFAC2017 forecasts. This would result from the installation of </w:t>
      </w:r>
      <w:r w:rsidR="008C0B98" w:rsidRPr="00931B6D">
        <w:rPr>
          <w:rFonts w:ascii="Segoe UI Semilight" w:eastAsia="Times New Roman" w:hAnsi="Segoe UI Semilight" w:cs="Times New Roman"/>
          <w:spacing w:val="0"/>
          <w:sz w:val="22"/>
          <w:szCs w:val="24"/>
          <w:highlight w:val="yellow"/>
        </w:rPr>
        <w:t>26,000</w:t>
      </w:r>
      <w:r w:rsidR="008C0B98">
        <w:rPr>
          <w:rFonts w:ascii="Segoe UI Semilight" w:eastAsia="Times New Roman" w:hAnsi="Segoe UI Semilight" w:cs="Times New Roman"/>
          <w:spacing w:val="0"/>
          <w:sz w:val="22"/>
          <w:szCs w:val="24"/>
        </w:rPr>
        <w:t xml:space="preserve"> chargers by 2050 in the SANDAG region.  Based on the per-charger costs shown in Table 4, </w:t>
      </w:r>
      <w:r w:rsidR="001C1112">
        <w:rPr>
          <w:rFonts w:ascii="Segoe UI Semilight" w:eastAsia="Times New Roman" w:hAnsi="Segoe UI Semilight" w:cs="Times New Roman"/>
          <w:spacing w:val="0"/>
          <w:sz w:val="22"/>
          <w:szCs w:val="24"/>
        </w:rPr>
        <w:t xml:space="preserve">implementation of the RECP would require a total of </w:t>
      </w:r>
      <w:r w:rsidR="008C0B98">
        <w:rPr>
          <w:rFonts w:ascii="Segoe UI Semilight" w:eastAsia="Times New Roman" w:hAnsi="Segoe UI Semilight" w:cs="Times New Roman"/>
          <w:spacing w:val="0"/>
          <w:sz w:val="22"/>
          <w:szCs w:val="24"/>
        </w:rPr>
        <w:t>$</w:t>
      </w:r>
      <w:r w:rsidR="008C0B98" w:rsidRPr="00931B6D">
        <w:rPr>
          <w:rFonts w:ascii="Segoe UI Semilight" w:eastAsia="Times New Roman" w:hAnsi="Segoe UI Semilight" w:cs="Times New Roman"/>
          <w:spacing w:val="0"/>
          <w:sz w:val="22"/>
          <w:szCs w:val="24"/>
          <w:highlight w:val="yellow"/>
        </w:rPr>
        <w:t>12.7 million</w:t>
      </w:r>
      <w:r w:rsidR="008C0B98">
        <w:rPr>
          <w:rFonts w:ascii="Segoe UI Semilight" w:eastAsia="Times New Roman" w:hAnsi="Segoe UI Semilight" w:cs="Times New Roman"/>
          <w:spacing w:val="0"/>
          <w:sz w:val="22"/>
          <w:szCs w:val="24"/>
        </w:rPr>
        <w:t xml:space="preserve"> </w:t>
      </w:r>
      <w:r w:rsidR="001C1112">
        <w:rPr>
          <w:rFonts w:ascii="Segoe UI Semilight" w:eastAsia="Times New Roman" w:hAnsi="Segoe UI Semilight" w:cs="Times New Roman"/>
          <w:spacing w:val="0"/>
          <w:sz w:val="22"/>
          <w:szCs w:val="24"/>
        </w:rPr>
        <w:t xml:space="preserve">in funding </w:t>
      </w:r>
      <w:r w:rsidR="008C0B98">
        <w:rPr>
          <w:rFonts w:ascii="Segoe UI Semilight" w:eastAsia="Times New Roman" w:hAnsi="Segoe UI Semilight" w:cs="Times New Roman"/>
          <w:spacing w:val="0"/>
          <w:sz w:val="22"/>
          <w:szCs w:val="24"/>
        </w:rPr>
        <w:t xml:space="preserve">by 2050. </w:t>
      </w:r>
      <w:r w:rsidR="0038143E">
        <w:rPr>
          <w:rFonts w:ascii="Segoe UI Semilight" w:eastAsia="Times New Roman" w:hAnsi="Segoe UI Semilight" w:cs="Times New Roman"/>
          <w:spacing w:val="0"/>
          <w:sz w:val="22"/>
          <w:szCs w:val="24"/>
        </w:rPr>
        <w:t>These estimates assume that chargers installed during this time would operate through 2050. Costs are not adjusted for inflation.</w:t>
      </w:r>
    </w:p>
    <w:p w14:paraId="0CEFAC75" w14:textId="0FAB82DE" w:rsidR="001C1112" w:rsidRPr="000C2009" w:rsidRDefault="001C1112" w:rsidP="001C1112">
      <w:pPr>
        <w:pStyle w:val="Heading6"/>
      </w:pPr>
      <w:r>
        <w:t>Vehicle Incentive Program</w:t>
      </w:r>
    </w:p>
    <w:p w14:paraId="61B7C564" w14:textId="77777777" w:rsidR="001C1112" w:rsidRDefault="001C1112" w:rsidP="001C1112">
      <w:pPr>
        <w:pStyle w:val="Heading5"/>
        <w:rPr>
          <w:rFonts w:ascii="Segoe UI Semilight" w:eastAsia="Times New Roman" w:hAnsi="Segoe UI Semilight" w:cs="Times New Roman"/>
          <w:spacing w:val="0"/>
          <w:sz w:val="22"/>
          <w:szCs w:val="24"/>
        </w:rPr>
      </w:pPr>
      <w:r w:rsidRPr="00B21713">
        <w:rPr>
          <w:rFonts w:ascii="Segoe UI Semilight" w:eastAsia="Times New Roman" w:hAnsi="Segoe UI Semilight" w:cs="Times New Roman"/>
          <w:b/>
          <w:spacing w:val="0"/>
          <w:sz w:val="22"/>
          <w:szCs w:val="24"/>
        </w:rPr>
        <w:t xml:space="preserve">Selected Scenario: </w:t>
      </w:r>
      <w:r w:rsidRPr="00B21713">
        <w:rPr>
          <w:rFonts w:ascii="Segoe UI Semilight" w:eastAsia="Times New Roman" w:hAnsi="Segoe UI Semilight" w:cs="Times New Roman"/>
          <w:spacing w:val="0"/>
          <w:sz w:val="22"/>
          <w:szCs w:val="24"/>
          <w:highlight w:val="yellow"/>
        </w:rPr>
        <w:t>80 Percent of CEC Forecasts</w:t>
      </w:r>
    </w:p>
    <w:p w14:paraId="621C72B4" w14:textId="1D2159E2" w:rsidR="001C1112" w:rsidRPr="00B21713" w:rsidRDefault="001C1112" w:rsidP="001C1112">
      <w:pPr>
        <w:pStyle w:val="BodyText"/>
        <w:spacing w:before="240"/>
      </w:pPr>
      <w:r>
        <w:t xml:space="preserve">Under the selected scenario, SANDAG would incentivize </w:t>
      </w:r>
      <w:r w:rsidR="00CE5CB5">
        <w:t>approximately</w:t>
      </w:r>
      <w:r w:rsidR="00FD6C1B">
        <w:t xml:space="preserve"> </w:t>
      </w:r>
      <w:r w:rsidR="00FD6C1B" w:rsidRPr="00D95196">
        <w:rPr>
          <w:highlight w:val="yellow"/>
        </w:rPr>
        <w:t>87</w:t>
      </w:r>
      <w:r w:rsidR="0038143E" w:rsidRPr="00BD5403">
        <w:rPr>
          <w:highlight w:val="yellow"/>
        </w:rPr>
        <w:t>,000</w:t>
      </w:r>
      <w:r w:rsidR="0038143E">
        <w:t xml:space="preserve"> PEVs by 2050, as shown in Table 6</w:t>
      </w:r>
      <w:r>
        <w:t xml:space="preserve">. The assumed average incentive costs per </w:t>
      </w:r>
      <w:r w:rsidR="0038143E">
        <w:t>vehicle</w:t>
      </w:r>
      <w:r>
        <w:t xml:space="preserve"> are shown in Table </w:t>
      </w:r>
      <w:r w:rsidR="0038143E">
        <w:t>7</w:t>
      </w:r>
      <w:r>
        <w:t xml:space="preserve">. As mentioned above, Table </w:t>
      </w:r>
      <w:r w:rsidR="0038143E">
        <w:t>7</w:t>
      </w:r>
      <w:r>
        <w:t xml:space="preserve"> shows the average cost across all new </w:t>
      </w:r>
      <w:r w:rsidR="0007217B">
        <w:t>PEVs</w:t>
      </w:r>
      <w:r>
        <w:t xml:space="preserve"> incentivized since </w:t>
      </w:r>
      <w:r w:rsidR="0007217B">
        <w:t xml:space="preserve">start of the </w:t>
      </w:r>
      <w:r w:rsidR="00196062">
        <w:t>VIP</w:t>
      </w:r>
      <w:r>
        <w:t xml:space="preserve">. Table </w:t>
      </w:r>
      <w:r w:rsidR="0038143E">
        <w:t>8</w:t>
      </w:r>
      <w:r>
        <w:t xml:space="preserve"> shows the total program costs and GHG reductions by milestone year.</w:t>
      </w:r>
    </w:p>
    <w:tbl>
      <w:tblPr>
        <w:tblW w:w="5000" w:type="pct"/>
        <w:jc w:val="center"/>
        <w:tblBorders>
          <w:insideH w:val="single" w:sz="4" w:space="0" w:color="auto"/>
          <w:insideV w:val="single" w:sz="4" w:space="0" w:color="auto"/>
        </w:tblBorders>
        <w:tblLayout w:type="fixed"/>
        <w:tblCellMar>
          <w:top w:w="43" w:type="dxa"/>
          <w:left w:w="115" w:type="dxa"/>
          <w:bottom w:w="43" w:type="dxa"/>
          <w:right w:w="115" w:type="dxa"/>
        </w:tblCellMar>
        <w:tblLook w:val="04A0" w:firstRow="1" w:lastRow="0" w:firstColumn="1" w:lastColumn="0" w:noHBand="0" w:noVBand="1"/>
      </w:tblPr>
      <w:tblGrid>
        <w:gridCol w:w="4779"/>
        <w:gridCol w:w="1061"/>
        <w:gridCol w:w="1062"/>
        <w:gridCol w:w="1062"/>
        <w:gridCol w:w="1062"/>
        <w:gridCol w:w="1054"/>
      </w:tblGrid>
      <w:tr w:rsidR="001C1112" w:rsidRPr="00B42715" w14:paraId="7CBCFFCB" w14:textId="77777777" w:rsidTr="001C1112">
        <w:trPr>
          <w:tblHeader/>
          <w:jc w:val="center"/>
        </w:trPr>
        <w:tc>
          <w:tcPr>
            <w:tcW w:w="5000" w:type="pct"/>
            <w:gridSpan w:val="6"/>
            <w:shd w:val="clear" w:color="auto" w:fill="auto"/>
            <w:noWrap/>
            <w:vAlign w:val="bottom"/>
          </w:tcPr>
          <w:p w14:paraId="78695A60" w14:textId="48D694AE" w:rsidR="001C1112" w:rsidRDefault="001C1112" w:rsidP="001C1112">
            <w:pPr>
              <w:pStyle w:val="TableHeader"/>
            </w:pPr>
            <w:r>
              <w:lastRenderedPageBreak/>
              <w:br w:type="page"/>
            </w:r>
            <w:r>
              <w:rPr>
                <w:color w:val="000000"/>
                <w:szCs w:val="16"/>
              </w:rPr>
              <w:br w:type="page"/>
            </w:r>
            <w:r>
              <w:t xml:space="preserve">Table </w:t>
            </w:r>
            <w:r w:rsidR="0007217B">
              <w:t>6</w:t>
            </w:r>
            <w:r w:rsidRPr="00823EF7">
              <w:tab/>
            </w:r>
            <w:r w:rsidR="0007217B">
              <w:t>Cumulative</w:t>
            </w:r>
            <w:r w:rsidRPr="002C0600">
              <w:t xml:space="preserve"> </w:t>
            </w:r>
            <w:r w:rsidR="0038143E">
              <w:t xml:space="preserve">Plug-in Electric Vehicles Incentivized </w:t>
            </w:r>
            <w:r w:rsidR="007C6F8D">
              <w:t xml:space="preserve">under </w:t>
            </w:r>
            <w:r w:rsidR="00196062">
              <w:t>VIP</w:t>
            </w:r>
            <w:r w:rsidR="007C6F8D">
              <w:t xml:space="preserve"> by Milestone Year</w:t>
            </w:r>
          </w:p>
        </w:tc>
      </w:tr>
      <w:tr w:rsidR="001C1112" w:rsidRPr="00B42715" w14:paraId="31AC1851" w14:textId="77777777" w:rsidTr="00BD5403">
        <w:trPr>
          <w:trHeight w:val="253"/>
          <w:jc w:val="center"/>
        </w:trPr>
        <w:tc>
          <w:tcPr>
            <w:tcW w:w="2370" w:type="pct"/>
            <w:shd w:val="clear" w:color="auto" w:fill="D9D9D9" w:themeFill="background1" w:themeFillShade="D9"/>
            <w:noWrap/>
            <w:vAlign w:val="center"/>
            <w:hideMark/>
          </w:tcPr>
          <w:p w14:paraId="79AE16BD" w14:textId="77777777" w:rsidR="001C1112" w:rsidRPr="00B42715" w:rsidRDefault="001C1112" w:rsidP="001C1112">
            <w:pPr>
              <w:pStyle w:val="TableColumn"/>
            </w:pPr>
          </w:p>
        </w:tc>
        <w:tc>
          <w:tcPr>
            <w:tcW w:w="526" w:type="pct"/>
            <w:shd w:val="clear" w:color="auto" w:fill="D9D9D9" w:themeFill="background1" w:themeFillShade="D9"/>
            <w:noWrap/>
            <w:hideMark/>
          </w:tcPr>
          <w:p w14:paraId="26AB4493" w14:textId="77777777" w:rsidR="001C1112" w:rsidRPr="009D1578" w:rsidRDefault="001C1112" w:rsidP="001C1112">
            <w:pPr>
              <w:pStyle w:val="TableColumn"/>
            </w:pPr>
            <w:r w:rsidRPr="000B50FC">
              <w:t>2020</w:t>
            </w:r>
          </w:p>
        </w:tc>
        <w:tc>
          <w:tcPr>
            <w:tcW w:w="527" w:type="pct"/>
            <w:shd w:val="clear" w:color="auto" w:fill="D9D9D9" w:themeFill="background1" w:themeFillShade="D9"/>
            <w:noWrap/>
            <w:hideMark/>
          </w:tcPr>
          <w:p w14:paraId="1372953F" w14:textId="77777777" w:rsidR="001C1112" w:rsidRPr="009D1578" w:rsidRDefault="001C1112" w:rsidP="001C1112">
            <w:pPr>
              <w:pStyle w:val="TableColumn"/>
            </w:pPr>
            <w:r w:rsidRPr="000B50FC">
              <w:t>2025</w:t>
            </w:r>
          </w:p>
        </w:tc>
        <w:tc>
          <w:tcPr>
            <w:tcW w:w="527" w:type="pct"/>
            <w:shd w:val="clear" w:color="auto" w:fill="D9D9D9" w:themeFill="background1" w:themeFillShade="D9"/>
            <w:noWrap/>
            <w:hideMark/>
          </w:tcPr>
          <w:p w14:paraId="2DD43D32" w14:textId="77777777" w:rsidR="001C1112" w:rsidRPr="009D1578" w:rsidRDefault="001C1112" w:rsidP="001C1112">
            <w:pPr>
              <w:pStyle w:val="TableColumn"/>
              <w:rPr>
                <w:color w:val="000000"/>
              </w:rPr>
            </w:pPr>
            <w:r w:rsidRPr="000B50FC">
              <w:t>2030</w:t>
            </w:r>
          </w:p>
        </w:tc>
        <w:tc>
          <w:tcPr>
            <w:tcW w:w="527" w:type="pct"/>
            <w:shd w:val="clear" w:color="auto" w:fill="D9D9D9" w:themeFill="background1" w:themeFillShade="D9"/>
          </w:tcPr>
          <w:p w14:paraId="423C808E" w14:textId="77777777" w:rsidR="001C1112" w:rsidRPr="00F93031" w:rsidRDefault="001C1112" w:rsidP="001C1112">
            <w:pPr>
              <w:pStyle w:val="TableColumn"/>
            </w:pPr>
            <w:r w:rsidRPr="000B50FC">
              <w:t>2035</w:t>
            </w:r>
          </w:p>
        </w:tc>
        <w:tc>
          <w:tcPr>
            <w:tcW w:w="524" w:type="pct"/>
            <w:shd w:val="clear" w:color="auto" w:fill="D9D9D9" w:themeFill="background1" w:themeFillShade="D9"/>
          </w:tcPr>
          <w:p w14:paraId="261C95D0" w14:textId="77777777" w:rsidR="001C1112" w:rsidRPr="00F93031" w:rsidRDefault="001C1112" w:rsidP="001C1112">
            <w:pPr>
              <w:pStyle w:val="TableColumn"/>
            </w:pPr>
            <w:r w:rsidRPr="000B50FC">
              <w:t>2050</w:t>
            </w:r>
          </w:p>
        </w:tc>
      </w:tr>
      <w:tr w:rsidR="0007217B" w:rsidRPr="002C771F" w14:paraId="1FE61F50" w14:textId="77777777" w:rsidTr="00BD5403">
        <w:trPr>
          <w:jc w:val="center"/>
        </w:trPr>
        <w:tc>
          <w:tcPr>
            <w:tcW w:w="2370" w:type="pct"/>
            <w:shd w:val="clear" w:color="auto" w:fill="auto"/>
            <w:vAlign w:val="center"/>
          </w:tcPr>
          <w:p w14:paraId="322DA767" w14:textId="2F470E1A" w:rsidR="0007217B" w:rsidRPr="00832878" w:rsidRDefault="0007217B" w:rsidP="0007217B">
            <w:pPr>
              <w:pStyle w:val="TableTextL"/>
            </w:pPr>
            <w:r>
              <w:t>BEVs</w:t>
            </w:r>
          </w:p>
        </w:tc>
        <w:tc>
          <w:tcPr>
            <w:tcW w:w="526" w:type="pct"/>
            <w:shd w:val="clear" w:color="auto" w:fill="auto"/>
          </w:tcPr>
          <w:p w14:paraId="1C7BFB4E" w14:textId="0EFDD19A" w:rsidR="0007217B" w:rsidRPr="00D95196" w:rsidRDefault="0007217B" w:rsidP="0007217B">
            <w:pPr>
              <w:pStyle w:val="TableText"/>
              <w:rPr>
                <w:highlight w:val="yellow"/>
              </w:rPr>
            </w:pPr>
            <w:r w:rsidRPr="00BD5403">
              <w:rPr>
                <w:highlight w:val="yellow"/>
              </w:rPr>
              <w:t xml:space="preserve"> 9,218 </w:t>
            </w:r>
          </w:p>
        </w:tc>
        <w:tc>
          <w:tcPr>
            <w:tcW w:w="527" w:type="pct"/>
            <w:shd w:val="clear" w:color="auto" w:fill="auto"/>
          </w:tcPr>
          <w:p w14:paraId="5B648D7E" w14:textId="5E7BA20F" w:rsidR="0007217B" w:rsidRPr="00D95196" w:rsidRDefault="0007217B" w:rsidP="0007217B">
            <w:pPr>
              <w:pStyle w:val="TableText"/>
              <w:rPr>
                <w:highlight w:val="yellow"/>
              </w:rPr>
            </w:pPr>
            <w:r w:rsidRPr="00BD5403">
              <w:rPr>
                <w:highlight w:val="yellow"/>
              </w:rPr>
              <w:t xml:space="preserve"> 14,206 </w:t>
            </w:r>
          </w:p>
        </w:tc>
        <w:tc>
          <w:tcPr>
            <w:tcW w:w="527" w:type="pct"/>
            <w:shd w:val="clear" w:color="auto" w:fill="auto"/>
            <w:noWrap/>
          </w:tcPr>
          <w:p w14:paraId="3B94F06B" w14:textId="048E062D" w:rsidR="0007217B" w:rsidRPr="00D95196" w:rsidRDefault="0007217B" w:rsidP="0007217B">
            <w:pPr>
              <w:pStyle w:val="TableText"/>
              <w:rPr>
                <w:highlight w:val="yellow"/>
              </w:rPr>
            </w:pPr>
            <w:r w:rsidRPr="00BD5403">
              <w:rPr>
                <w:highlight w:val="yellow"/>
              </w:rPr>
              <w:t xml:space="preserve"> 18,463 </w:t>
            </w:r>
          </w:p>
        </w:tc>
        <w:tc>
          <w:tcPr>
            <w:tcW w:w="527" w:type="pct"/>
          </w:tcPr>
          <w:p w14:paraId="5BD803F3" w14:textId="39BA0CEE" w:rsidR="0007217B" w:rsidRPr="00D95196" w:rsidRDefault="0007217B" w:rsidP="0007217B">
            <w:pPr>
              <w:pStyle w:val="TableText"/>
              <w:rPr>
                <w:highlight w:val="yellow"/>
              </w:rPr>
            </w:pPr>
            <w:r w:rsidRPr="00BD5403">
              <w:rPr>
                <w:highlight w:val="yellow"/>
              </w:rPr>
              <w:t xml:space="preserve"> 27,228 </w:t>
            </w:r>
          </w:p>
        </w:tc>
        <w:tc>
          <w:tcPr>
            <w:tcW w:w="524" w:type="pct"/>
          </w:tcPr>
          <w:p w14:paraId="091C5B45" w14:textId="52BB2A93" w:rsidR="0007217B" w:rsidRPr="00D95196" w:rsidRDefault="0007217B" w:rsidP="0007217B">
            <w:pPr>
              <w:pStyle w:val="TableText"/>
              <w:rPr>
                <w:highlight w:val="yellow"/>
              </w:rPr>
            </w:pPr>
            <w:r w:rsidRPr="00BD5403">
              <w:rPr>
                <w:highlight w:val="yellow"/>
              </w:rPr>
              <w:t xml:space="preserve"> 90,048 </w:t>
            </w:r>
          </w:p>
        </w:tc>
      </w:tr>
      <w:tr w:rsidR="0007217B" w:rsidRPr="002C771F" w14:paraId="15E92DE4" w14:textId="77777777" w:rsidTr="00BD5403">
        <w:trPr>
          <w:jc w:val="center"/>
        </w:trPr>
        <w:tc>
          <w:tcPr>
            <w:tcW w:w="2370" w:type="pct"/>
            <w:shd w:val="clear" w:color="auto" w:fill="auto"/>
            <w:vAlign w:val="center"/>
          </w:tcPr>
          <w:p w14:paraId="5A4C1135" w14:textId="2EBEBC18" w:rsidR="0007217B" w:rsidRPr="00832878" w:rsidRDefault="0007217B" w:rsidP="0007217B">
            <w:pPr>
              <w:pStyle w:val="TableTextL"/>
            </w:pPr>
            <w:r>
              <w:t>PHEVs</w:t>
            </w:r>
          </w:p>
        </w:tc>
        <w:tc>
          <w:tcPr>
            <w:tcW w:w="526" w:type="pct"/>
            <w:shd w:val="clear" w:color="auto" w:fill="auto"/>
          </w:tcPr>
          <w:p w14:paraId="333D1398" w14:textId="1C041FDF" w:rsidR="0007217B" w:rsidRPr="00D95196" w:rsidRDefault="0007217B" w:rsidP="0007217B">
            <w:pPr>
              <w:pStyle w:val="TableText"/>
              <w:rPr>
                <w:highlight w:val="yellow"/>
              </w:rPr>
            </w:pPr>
            <w:r w:rsidRPr="00BD5403">
              <w:rPr>
                <w:highlight w:val="yellow"/>
              </w:rPr>
              <w:t xml:space="preserve"> 7,110 </w:t>
            </w:r>
          </w:p>
        </w:tc>
        <w:tc>
          <w:tcPr>
            <w:tcW w:w="527" w:type="pct"/>
            <w:shd w:val="clear" w:color="auto" w:fill="auto"/>
          </w:tcPr>
          <w:p w14:paraId="492572EE" w14:textId="016AA7F2" w:rsidR="0007217B" w:rsidRPr="00D95196" w:rsidRDefault="0007217B" w:rsidP="0007217B">
            <w:pPr>
              <w:pStyle w:val="TableText"/>
              <w:rPr>
                <w:highlight w:val="yellow"/>
              </w:rPr>
            </w:pPr>
            <w:r w:rsidRPr="00BD5403">
              <w:rPr>
                <w:highlight w:val="yellow"/>
              </w:rPr>
              <w:t xml:space="preserve"> 12,597 </w:t>
            </w:r>
          </w:p>
        </w:tc>
        <w:tc>
          <w:tcPr>
            <w:tcW w:w="527" w:type="pct"/>
            <w:shd w:val="clear" w:color="auto" w:fill="auto"/>
            <w:noWrap/>
          </w:tcPr>
          <w:p w14:paraId="3CB6DD97" w14:textId="31758093" w:rsidR="0007217B" w:rsidRPr="00D95196" w:rsidRDefault="0007217B" w:rsidP="0007217B">
            <w:pPr>
              <w:pStyle w:val="TableText"/>
              <w:rPr>
                <w:highlight w:val="yellow"/>
              </w:rPr>
            </w:pPr>
            <w:r w:rsidRPr="00BD5403">
              <w:rPr>
                <w:highlight w:val="yellow"/>
              </w:rPr>
              <w:t xml:space="preserve"> 12,970 </w:t>
            </w:r>
          </w:p>
        </w:tc>
        <w:tc>
          <w:tcPr>
            <w:tcW w:w="527" w:type="pct"/>
          </w:tcPr>
          <w:p w14:paraId="4E5FCE7C" w14:textId="372EAD1D" w:rsidR="0007217B" w:rsidRPr="00D95196" w:rsidRDefault="0007217B" w:rsidP="0007217B">
            <w:pPr>
              <w:pStyle w:val="TableText"/>
              <w:rPr>
                <w:highlight w:val="yellow"/>
              </w:rPr>
            </w:pPr>
            <w:r w:rsidRPr="00BD5403">
              <w:rPr>
                <w:highlight w:val="yellow"/>
              </w:rPr>
              <w:t xml:space="preserve"> 12,970 </w:t>
            </w:r>
          </w:p>
        </w:tc>
        <w:tc>
          <w:tcPr>
            <w:tcW w:w="524" w:type="pct"/>
          </w:tcPr>
          <w:p w14:paraId="4C8142B6" w14:textId="57735295" w:rsidR="0007217B" w:rsidRPr="00D95196" w:rsidRDefault="0007217B" w:rsidP="0007217B">
            <w:pPr>
              <w:pStyle w:val="TableText"/>
              <w:rPr>
                <w:highlight w:val="yellow"/>
              </w:rPr>
            </w:pPr>
            <w:r w:rsidRPr="00BD5403">
              <w:rPr>
                <w:highlight w:val="yellow"/>
              </w:rPr>
              <w:t xml:space="preserve"> 12,970 </w:t>
            </w:r>
          </w:p>
        </w:tc>
      </w:tr>
      <w:tr w:rsidR="0007217B" w:rsidRPr="002C771F" w14:paraId="4ADB970C" w14:textId="77777777" w:rsidTr="00BD5403">
        <w:trPr>
          <w:jc w:val="center"/>
        </w:trPr>
        <w:tc>
          <w:tcPr>
            <w:tcW w:w="2370" w:type="pct"/>
            <w:shd w:val="clear" w:color="auto" w:fill="auto"/>
            <w:vAlign w:val="center"/>
          </w:tcPr>
          <w:p w14:paraId="2D923B47" w14:textId="7AD6C9E3" w:rsidR="0007217B" w:rsidRPr="00832878" w:rsidRDefault="0007217B" w:rsidP="0007217B">
            <w:pPr>
              <w:pStyle w:val="TableTextL"/>
            </w:pPr>
            <w:r>
              <w:t>Total PEVs</w:t>
            </w:r>
          </w:p>
        </w:tc>
        <w:tc>
          <w:tcPr>
            <w:tcW w:w="526" w:type="pct"/>
            <w:shd w:val="clear" w:color="auto" w:fill="auto"/>
          </w:tcPr>
          <w:p w14:paraId="5DF8D627" w14:textId="2F2943D0" w:rsidR="0007217B" w:rsidRPr="00D95196" w:rsidRDefault="0007217B" w:rsidP="0007217B">
            <w:pPr>
              <w:pStyle w:val="TableText"/>
              <w:rPr>
                <w:highlight w:val="yellow"/>
              </w:rPr>
            </w:pPr>
            <w:r w:rsidRPr="00BD5403">
              <w:rPr>
                <w:highlight w:val="yellow"/>
              </w:rPr>
              <w:t xml:space="preserve"> 16,328 </w:t>
            </w:r>
          </w:p>
        </w:tc>
        <w:tc>
          <w:tcPr>
            <w:tcW w:w="527" w:type="pct"/>
            <w:shd w:val="clear" w:color="auto" w:fill="auto"/>
          </w:tcPr>
          <w:p w14:paraId="2E3C7B53" w14:textId="7BC64355" w:rsidR="0007217B" w:rsidRPr="00D95196" w:rsidRDefault="0007217B" w:rsidP="0007217B">
            <w:pPr>
              <w:pStyle w:val="TableText"/>
              <w:rPr>
                <w:highlight w:val="yellow"/>
              </w:rPr>
            </w:pPr>
            <w:r w:rsidRPr="00BD5403">
              <w:rPr>
                <w:highlight w:val="yellow"/>
              </w:rPr>
              <w:t xml:space="preserve"> 26,803 </w:t>
            </w:r>
          </w:p>
        </w:tc>
        <w:tc>
          <w:tcPr>
            <w:tcW w:w="527" w:type="pct"/>
            <w:shd w:val="clear" w:color="auto" w:fill="auto"/>
            <w:noWrap/>
          </w:tcPr>
          <w:p w14:paraId="6153DADE" w14:textId="4D859ECF" w:rsidR="0007217B" w:rsidRPr="00D95196" w:rsidRDefault="0007217B" w:rsidP="0007217B">
            <w:pPr>
              <w:pStyle w:val="TableText"/>
              <w:rPr>
                <w:highlight w:val="yellow"/>
              </w:rPr>
            </w:pPr>
            <w:r w:rsidRPr="00BD5403">
              <w:rPr>
                <w:highlight w:val="yellow"/>
              </w:rPr>
              <w:t xml:space="preserve"> 31,432 </w:t>
            </w:r>
          </w:p>
        </w:tc>
        <w:tc>
          <w:tcPr>
            <w:tcW w:w="527" w:type="pct"/>
          </w:tcPr>
          <w:p w14:paraId="69006DEF" w14:textId="661FA7FA" w:rsidR="0007217B" w:rsidRPr="00D95196" w:rsidRDefault="0007217B" w:rsidP="0007217B">
            <w:pPr>
              <w:pStyle w:val="TableText"/>
              <w:rPr>
                <w:highlight w:val="yellow"/>
              </w:rPr>
            </w:pPr>
            <w:r w:rsidRPr="00BD5403">
              <w:rPr>
                <w:highlight w:val="yellow"/>
              </w:rPr>
              <w:t xml:space="preserve"> 40,031 </w:t>
            </w:r>
          </w:p>
        </w:tc>
        <w:tc>
          <w:tcPr>
            <w:tcW w:w="524" w:type="pct"/>
          </w:tcPr>
          <w:p w14:paraId="50864A42" w14:textId="1F5A7B8E" w:rsidR="0007217B" w:rsidRPr="00D95196" w:rsidRDefault="0007217B" w:rsidP="0007217B">
            <w:pPr>
              <w:pStyle w:val="TableText"/>
              <w:rPr>
                <w:highlight w:val="yellow"/>
              </w:rPr>
            </w:pPr>
            <w:r w:rsidRPr="00BD5403">
              <w:rPr>
                <w:highlight w:val="yellow"/>
              </w:rPr>
              <w:t xml:space="preserve"> 86,704 </w:t>
            </w:r>
          </w:p>
        </w:tc>
      </w:tr>
      <w:tr w:rsidR="001C1112" w:rsidRPr="00C47C08" w14:paraId="6A0B8CD7" w14:textId="77777777" w:rsidTr="001C1112">
        <w:trPr>
          <w:jc w:val="center"/>
        </w:trPr>
        <w:tc>
          <w:tcPr>
            <w:tcW w:w="5000" w:type="pct"/>
            <w:gridSpan w:val="6"/>
            <w:shd w:val="clear" w:color="auto" w:fill="D9D9D9" w:themeFill="background1" w:themeFillShade="D9"/>
            <w:noWrap/>
            <w:vAlign w:val="bottom"/>
          </w:tcPr>
          <w:p w14:paraId="2556AE0D" w14:textId="076D8773" w:rsidR="00E73629" w:rsidRDefault="00E73629" w:rsidP="00E73629">
            <w:pPr>
              <w:pStyle w:val="TableSource"/>
            </w:pPr>
            <w:r w:rsidRPr="00C47C08">
              <w:t>Notes:</w:t>
            </w:r>
            <w:r>
              <w:t xml:space="preserve"> BEV = battery electric vehicle; PHEV = plug-in hybrid electric vehicle; PEV = plug-in electric vehicle</w:t>
            </w:r>
          </w:p>
          <w:p w14:paraId="0286021C" w14:textId="77777777" w:rsidR="001C1112" w:rsidRPr="00C47C08" w:rsidRDefault="001C1112" w:rsidP="001C1112">
            <w:pPr>
              <w:pStyle w:val="TableSource"/>
            </w:pPr>
            <w:r>
              <w:t>Source: Modeled by Ascent Environmental in 2018</w:t>
            </w:r>
          </w:p>
        </w:tc>
      </w:tr>
    </w:tbl>
    <w:p w14:paraId="5826F570" w14:textId="77777777" w:rsidR="001C1112" w:rsidRDefault="001C1112" w:rsidP="001C1112">
      <w:pPr>
        <w:pStyle w:val="BodyText"/>
      </w:pPr>
    </w:p>
    <w:tbl>
      <w:tblPr>
        <w:tblW w:w="5000" w:type="pct"/>
        <w:jc w:val="center"/>
        <w:tblBorders>
          <w:insideH w:val="single" w:sz="4" w:space="0" w:color="auto"/>
          <w:insideV w:val="single" w:sz="4" w:space="0" w:color="auto"/>
        </w:tblBorders>
        <w:tblCellMar>
          <w:top w:w="43" w:type="dxa"/>
          <w:left w:w="115" w:type="dxa"/>
          <w:bottom w:w="43" w:type="dxa"/>
          <w:right w:w="115" w:type="dxa"/>
        </w:tblCellMar>
        <w:tblLook w:val="04A0" w:firstRow="1" w:lastRow="0" w:firstColumn="1" w:lastColumn="0" w:noHBand="0" w:noVBand="1"/>
      </w:tblPr>
      <w:tblGrid>
        <w:gridCol w:w="4775"/>
        <w:gridCol w:w="1063"/>
        <w:gridCol w:w="1062"/>
        <w:gridCol w:w="1062"/>
        <w:gridCol w:w="1062"/>
        <w:gridCol w:w="1056"/>
      </w:tblGrid>
      <w:tr w:rsidR="001C1112" w:rsidRPr="00B42715" w14:paraId="2292DF3F" w14:textId="77777777" w:rsidTr="001C1112">
        <w:trPr>
          <w:tblHeader/>
          <w:jc w:val="center"/>
        </w:trPr>
        <w:tc>
          <w:tcPr>
            <w:tcW w:w="5000" w:type="pct"/>
            <w:gridSpan w:val="6"/>
            <w:shd w:val="clear" w:color="auto" w:fill="auto"/>
            <w:noWrap/>
            <w:vAlign w:val="bottom"/>
          </w:tcPr>
          <w:p w14:paraId="69A2B8A7" w14:textId="3B04A4BC" w:rsidR="001C1112" w:rsidRDefault="001C1112" w:rsidP="001C1112">
            <w:pPr>
              <w:pStyle w:val="TableHeader"/>
            </w:pPr>
            <w:r>
              <w:br w:type="page"/>
            </w:r>
            <w:r>
              <w:rPr>
                <w:color w:val="000000"/>
                <w:szCs w:val="16"/>
              </w:rPr>
              <w:br w:type="page"/>
            </w:r>
            <w:r w:rsidR="0007217B">
              <w:t>Table 7</w:t>
            </w:r>
            <w:r w:rsidRPr="00823EF7">
              <w:tab/>
            </w:r>
            <w:r w:rsidR="0043291C" w:rsidRPr="0043291C">
              <w:t xml:space="preserve">Vehicle Incentive </w:t>
            </w:r>
            <w:r w:rsidR="0007217B">
              <w:t>Costs</w:t>
            </w:r>
          </w:p>
        </w:tc>
      </w:tr>
      <w:tr w:rsidR="001C1112" w:rsidRPr="00B42715" w14:paraId="0A6029D6" w14:textId="77777777" w:rsidTr="0007217B">
        <w:trPr>
          <w:trHeight w:val="289"/>
          <w:jc w:val="center"/>
        </w:trPr>
        <w:tc>
          <w:tcPr>
            <w:tcW w:w="2368" w:type="pct"/>
            <w:shd w:val="clear" w:color="auto" w:fill="D9D9D9" w:themeFill="background1" w:themeFillShade="D9"/>
            <w:noWrap/>
            <w:vAlign w:val="center"/>
            <w:hideMark/>
          </w:tcPr>
          <w:p w14:paraId="778B4209" w14:textId="77777777" w:rsidR="001C1112" w:rsidRPr="00B42715" w:rsidRDefault="001C1112" w:rsidP="001C1112">
            <w:pPr>
              <w:pStyle w:val="TableColumn"/>
            </w:pPr>
          </w:p>
        </w:tc>
        <w:tc>
          <w:tcPr>
            <w:tcW w:w="527" w:type="pct"/>
            <w:shd w:val="clear" w:color="auto" w:fill="D9D9D9" w:themeFill="background1" w:themeFillShade="D9"/>
            <w:noWrap/>
            <w:hideMark/>
          </w:tcPr>
          <w:p w14:paraId="34713E6B" w14:textId="77777777" w:rsidR="001C1112" w:rsidRPr="009D1578" w:rsidRDefault="001C1112" w:rsidP="001C1112">
            <w:pPr>
              <w:pStyle w:val="TableColumn"/>
            </w:pPr>
            <w:r w:rsidRPr="000B50FC">
              <w:t>2020</w:t>
            </w:r>
          </w:p>
        </w:tc>
        <w:tc>
          <w:tcPr>
            <w:tcW w:w="527" w:type="pct"/>
            <w:shd w:val="clear" w:color="auto" w:fill="D9D9D9" w:themeFill="background1" w:themeFillShade="D9"/>
            <w:noWrap/>
            <w:hideMark/>
          </w:tcPr>
          <w:p w14:paraId="77745F1E" w14:textId="77777777" w:rsidR="001C1112" w:rsidRPr="009D1578" w:rsidRDefault="001C1112" w:rsidP="001C1112">
            <w:pPr>
              <w:pStyle w:val="TableColumn"/>
            </w:pPr>
            <w:r w:rsidRPr="000B50FC">
              <w:t>2025</w:t>
            </w:r>
          </w:p>
        </w:tc>
        <w:tc>
          <w:tcPr>
            <w:tcW w:w="527" w:type="pct"/>
            <w:shd w:val="clear" w:color="auto" w:fill="D9D9D9" w:themeFill="background1" w:themeFillShade="D9"/>
            <w:noWrap/>
            <w:hideMark/>
          </w:tcPr>
          <w:p w14:paraId="4671F058" w14:textId="77777777" w:rsidR="001C1112" w:rsidRPr="009D1578" w:rsidRDefault="001C1112" w:rsidP="001C1112">
            <w:pPr>
              <w:pStyle w:val="TableColumn"/>
              <w:rPr>
                <w:color w:val="000000"/>
              </w:rPr>
            </w:pPr>
            <w:r w:rsidRPr="000B50FC">
              <w:t>2030</w:t>
            </w:r>
          </w:p>
        </w:tc>
        <w:tc>
          <w:tcPr>
            <w:tcW w:w="527" w:type="pct"/>
            <w:shd w:val="clear" w:color="auto" w:fill="D9D9D9" w:themeFill="background1" w:themeFillShade="D9"/>
          </w:tcPr>
          <w:p w14:paraId="1C1E2FEB" w14:textId="77777777" w:rsidR="001C1112" w:rsidRPr="00F93031" w:rsidRDefault="001C1112" w:rsidP="001C1112">
            <w:pPr>
              <w:pStyle w:val="TableColumn"/>
            </w:pPr>
            <w:r w:rsidRPr="000B50FC">
              <w:t>2035</w:t>
            </w:r>
          </w:p>
        </w:tc>
        <w:tc>
          <w:tcPr>
            <w:tcW w:w="525" w:type="pct"/>
            <w:shd w:val="clear" w:color="auto" w:fill="D9D9D9" w:themeFill="background1" w:themeFillShade="D9"/>
          </w:tcPr>
          <w:p w14:paraId="4D211CF1" w14:textId="77777777" w:rsidR="001C1112" w:rsidRPr="00F93031" w:rsidRDefault="001C1112" w:rsidP="001C1112">
            <w:pPr>
              <w:pStyle w:val="TableColumn"/>
            </w:pPr>
            <w:r w:rsidRPr="000B50FC">
              <w:t>2050</w:t>
            </w:r>
          </w:p>
        </w:tc>
      </w:tr>
      <w:tr w:rsidR="0007217B" w:rsidRPr="002C771F" w14:paraId="4C0307FF" w14:textId="77777777" w:rsidTr="0007217B">
        <w:trPr>
          <w:jc w:val="center"/>
        </w:trPr>
        <w:tc>
          <w:tcPr>
            <w:tcW w:w="2368" w:type="pct"/>
            <w:shd w:val="clear" w:color="auto" w:fill="auto"/>
          </w:tcPr>
          <w:p w14:paraId="2631B9E1" w14:textId="626765BC" w:rsidR="0007217B" w:rsidRPr="00832878" w:rsidRDefault="0007217B" w:rsidP="0007217B">
            <w:pPr>
              <w:pStyle w:val="TableTextL"/>
            </w:pPr>
            <w:r w:rsidRPr="00192954">
              <w:t>Average Incentive per BEV</w:t>
            </w:r>
            <w:r w:rsidR="0043291C">
              <w:t xml:space="preserve"> ($/vehicle)</w:t>
            </w:r>
          </w:p>
        </w:tc>
        <w:tc>
          <w:tcPr>
            <w:tcW w:w="527" w:type="pct"/>
            <w:shd w:val="clear" w:color="auto" w:fill="auto"/>
          </w:tcPr>
          <w:p w14:paraId="5CB4BCFC" w14:textId="3DD8963D" w:rsidR="0007217B" w:rsidRPr="00D95196" w:rsidRDefault="0007217B" w:rsidP="0007217B">
            <w:pPr>
              <w:pStyle w:val="TableText"/>
              <w:rPr>
                <w:highlight w:val="yellow"/>
              </w:rPr>
            </w:pPr>
            <w:r w:rsidRPr="00BD5403">
              <w:rPr>
                <w:highlight w:val="yellow"/>
              </w:rPr>
              <w:t xml:space="preserve"> $1,000 </w:t>
            </w:r>
          </w:p>
        </w:tc>
        <w:tc>
          <w:tcPr>
            <w:tcW w:w="527" w:type="pct"/>
            <w:shd w:val="clear" w:color="auto" w:fill="auto"/>
          </w:tcPr>
          <w:p w14:paraId="1CC2FDFE" w14:textId="1610F799" w:rsidR="0007217B" w:rsidRPr="00D95196" w:rsidRDefault="0007217B" w:rsidP="0007217B">
            <w:pPr>
              <w:pStyle w:val="TableText"/>
              <w:rPr>
                <w:highlight w:val="yellow"/>
              </w:rPr>
            </w:pPr>
            <w:r w:rsidRPr="00BD5403">
              <w:rPr>
                <w:highlight w:val="yellow"/>
              </w:rPr>
              <w:t xml:space="preserve"> $1,000 </w:t>
            </w:r>
          </w:p>
        </w:tc>
        <w:tc>
          <w:tcPr>
            <w:tcW w:w="527" w:type="pct"/>
            <w:shd w:val="clear" w:color="auto" w:fill="auto"/>
            <w:noWrap/>
          </w:tcPr>
          <w:p w14:paraId="7F96C912" w14:textId="633A6121" w:rsidR="0007217B" w:rsidRPr="00D95196" w:rsidRDefault="0007217B" w:rsidP="0007217B">
            <w:pPr>
              <w:pStyle w:val="TableText"/>
              <w:rPr>
                <w:highlight w:val="yellow"/>
              </w:rPr>
            </w:pPr>
            <w:r w:rsidRPr="00BD5403">
              <w:rPr>
                <w:highlight w:val="yellow"/>
              </w:rPr>
              <w:t xml:space="preserve"> $1,000 </w:t>
            </w:r>
          </w:p>
        </w:tc>
        <w:tc>
          <w:tcPr>
            <w:tcW w:w="527" w:type="pct"/>
          </w:tcPr>
          <w:p w14:paraId="56ACA289" w14:textId="780D099B" w:rsidR="0007217B" w:rsidRPr="00D95196" w:rsidRDefault="0007217B" w:rsidP="0007217B">
            <w:pPr>
              <w:pStyle w:val="TableText"/>
              <w:rPr>
                <w:highlight w:val="yellow"/>
              </w:rPr>
            </w:pPr>
            <w:r w:rsidRPr="00BD5403">
              <w:rPr>
                <w:highlight w:val="yellow"/>
              </w:rPr>
              <w:t xml:space="preserve"> $1,000 </w:t>
            </w:r>
          </w:p>
        </w:tc>
        <w:tc>
          <w:tcPr>
            <w:tcW w:w="525" w:type="pct"/>
          </w:tcPr>
          <w:p w14:paraId="37E44A4C" w14:textId="6DC718CA" w:rsidR="0007217B" w:rsidRPr="00D95196" w:rsidRDefault="0007217B" w:rsidP="0007217B">
            <w:pPr>
              <w:pStyle w:val="TableText"/>
              <w:rPr>
                <w:highlight w:val="yellow"/>
              </w:rPr>
            </w:pPr>
            <w:r w:rsidRPr="00BD5403">
              <w:rPr>
                <w:highlight w:val="yellow"/>
              </w:rPr>
              <w:t xml:space="preserve"> $1,000 </w:t>
            </w:r>
          </w:p>
        </w:tc>
      </w:tr>
      <w:tr w:rsidR="0007217B" w:rsidRPr="002C771F" w14:paraId="6B3BD1E8" w14:textId="77777777" w:rsidTr="0007217B">
        <w:trPr>
          <w:jc w:val="center"/>
        </w:trPr>
        <w:tc>
          <w:tcPr>
            <w:tcW w:w="2368" w:type="pct"/>
            <w:shd w:val="clear" w:color="auto" w:fill="auto"/>
          </w:tcPr>
          <w:p w14:paraId="2B5698EE" w14:textId="0FFC5576" w:rsidR="0007217B" w:rsidRPr="00832878" w:rsidRDefault="0007217B" w:rsidP="0007217B">
            <w:pPr>
              <w:pStyle w:val="TableTextL"/>
            </w:pPr>
            <w:r w:rsidRPr="00192954">
              <w:t>Average Incentive per PHEV</w:t>
            </w:r>
            <w:r w:rsidR="0043291C">
              <w:t xml:space="preserve"> ($/vehicle)</w:t>
            </w:r>
          </w:p>
        </w:tc>
        <w:tc>
          <w:tcPr>
            <w:tcW w:w="527" w:type="pct"/>
            <w:shd w:val="clear" w:color="auto" w:fill="auto"/>
          </w:tcPr>
          <w:p w14:paraId="3435AD64" w14:textId="7A3D6B2B" w:rsidR="0007217B" w:rsidRPr="00D95196" w:rsidRDefault="0007217B" w:rsidP="0007217B">
            <w:pPr>
              <w:pStyle w:val="TableText"/>
              <w:rPr>
                <w:highlight w:val="yellow"/>
              </w:rPr>
            </w:pPr>
            <w:r w:rsidRPr="00BD5403">
              <w:rPr>
                <w:highlight w:val="yellow"/>
              </w:rPr>
              <w:t xml:space="preserve"> $700 </w:t>
            </w:r>
          </w:p>
        </w:tc>
        <w:tc>
          <w:tcPr>
            <w:tcW w:w="527" w:type="pct"/>
            <w:shd w:val="clear" w:color="auto" w:fill="auto"/>
          </w:tcPr>
          <w:p w14:paraId="0A49A162" w14:textId="78634131" w:rsidR="0007217B" w:rsidRPr="00D95196" w:rsidRDefault="0007217B" w:rsidP="0007217B">
            <w:pPr>
              <w:pStyle w:val="TableText"/>
              <w:rPr>
                <w:highlight w:val="yellow"/>
              </w:rPr>
            </w:pPr>
            <w:r w:rsidRPr="00BD5403">
              <w:rPr>
                <w:highlight w:val="yellow"/>
              </w:rPr>
              <w:t xml:space="preserve"> $700 </w:t>
            </w:r>
          </w:p>
        </w:tc>
        <w:tc>
          <w:tcPr>
            <w:tcW w:w="527" w:type="pct"/>
            <w:shd w:val="clear" w:color="auto" w:fill="auto"/>
            <w:noWrap/>
          </w:tcPr>
          <w:p w14:paraId="45C0EE17" w14:textId="3FB7385A" w:rsidR="0007217B" w:rsidRPr="00D95196" w:rsidRDefault="0007217B" w:rsidP="0007217B">
            <w:pPr>
              <w:pStyle w:val="TableText"/>
              <w:rPr>
                <w:highlight w:val="yellow"/>
              </w:rPr>
            </w:pPr>
            <w:r w:rsidRPr="00BD5403">
              <w:rPr>
                <w:highlight w:val="yellow"/>
              </w:rPr>
              <w:t xml:space="preserve"> $700 </w:t>
            </w:r>
          </w:p>
        </w:tc>
        <w:tc>
          <w:tcPr>
            <w:tcW w:w="527" w:type="pct"/>
          </w:tcPr>
          <w:p w14:paraId="157AB8C2" w14:textId="710B1F88" w:rsidR="0007217B" w:rsidRPr="00D95196" w:rsidRDefault="0007217B" w:rsidP="0007217B">
            <w:pPr>
              <w:pStyle w:val="TableText"/>
              <w:rPr>
                <w:highlight w:val="yellow"/>
              </w:rPr>
            </w:pPr>
            <w:r w:rsidRPr="00BD5403">
              <w:rPr>
                <w:highlight w:val="yellow"/>
              </w:rPr>
              <w:t xml:space="preserve"> $700 </w:t>
            </w:r>
          </w:p>
        </w:tc>
        <w:tc>
          <w:tcPr>
            <w:tcW w:w="525" w:type="pct"/>
          </w:tcPr>
          <w:p w14:paraId="200E9A22" w14:textId="0201152A" w:rsidR="0007217B" w:rsidRPr="00D95196" w:rsidRDefault="0007217B" w:rsidP="0007217B">
            <w:pPr>
              <w:pStyle w:val="TableText"/>
              <w:rPr>
                <w:highlight w:val="yellow"/>
              </w:rPr>
            </w:pPr>
            <w:r w:rsidRPr="00BD5403">
              <w:rPr>
                <w:highlight w:val="yellow"/>
              </w:rPr>
              <w:t xml:space="preserve"> $700 </w:t>
            </w:r>
          </w:p>
        </w:tc>
      </w:tr>
      <w:tr w:rsidR="0007217B" w:rsidRPr="002C771F" w14:paraId="7BCE6426" w14:textId="77777777" w:rsidTr="0007217B">
        <w:trPr>
          <w:jc w:val="center"/>
        </w:trPr>
        <w:tc>
          <w:tcPr>
            <w:tcW w:w="2368" w:type="pct"/>
            <w:shd w:val="clear" w:color="auto" w:fill="auto"/>
          </w:tcPr>
          <w:p w14:paraId="70F09D07" w14:textId="3D32DA40" w:rsidR="0007217B" w:rsidRPr="00832878" w:rsidRDefault="0007217B" w:rsidP="0007217B">
            <w:pPr>
              <w:pStyle w:val="TableTextL"/>
            </w:pPr>
            <w:r w:rsidRPr="00192954">
              <w:t>Average Incentive per Vehicle</w:t>
            </w:r>
            <w:r w:rsidR="0043291C">
              <w:t xml:space="preserve"> ($/vehicle)</w:t>
            </w:r>
          </w:p>
        </w:tc>
        <w:tc>
          <w:tcPr>
            <w:tcW w:w="527" w:type="pct"/>
            <w:shd w:val="clear" w:color="auto" w:fill="auto"/>
          </w:tcPr>
          <w:p w14:paraId="59C4F72C" w14:textId="4A16F532" w:rsidR="0007217B" w:rsidRPr="00D95196" w:rsidRDefault="0007217B" w:rsidP="0007217B">
            <w:pPr>
              <w:pStyle w:val="TableText"/>
              <w:rPr>
                <w:highlight w:val="yellow"/>
              </w:rPr>
            </w:pPr>
            <w:r w:rsidRPr="00BD5403">
              <w:rPr>
                <w:highlight w:val="yellow"/>
              </w:rPr>
              <w:t xml:space="preserve"> $853 </w:t>
            </w:r>
          </w:p>
        </w:tc>
        <w:tc>
          <w:tcPr>
            <w:tcW w:w="527" w:type="pct"/>
            <w:shd w:val="clear" w:color="auto" w:fill="auto"/>
          </w:tcPr>
          <w:p w14:paraId="744B46E5" w14:textId="63848936" w:rsidR="0007217B" w:rsidRPr="00D95196" w:rsidRDefault="0007217B" w:rsidP="0007217B">
            <w:pPr>
              <w:pStyle w:val="TableText"/>
              <w:rPr>
                <w:highlight w:val="yellow"/>
              </w:rPr>
            </w:pPr>
            <w:r w:rsidRPr="00BD5403">
              <w:rPr>
                <w:highlight w:val="yellow"/>
              </w:rPr>
              <w:t xml:space="preserve"> $830 </w:t>
            </w:r>
          </w:p>
        </w:tc>
        <w:tc>
          <w:tcPr>
            <w:tcW w:w="527" w:type="pct"/>
            <w:shd w:val="clear" w:color="auto" w:fill="auto"/>
            <w:noWrap/>
          </w:tcPr>
          <w:p w14:paraId="06EBBF53" w14:textId="420D68A8" w:rsidR="0007217B" w:rsidRPr="00D95196" w:rsidRDefault="0007217B" w:rsidP="0007217B">
            <w:pPr>
              <w:pStyle w:val="TableText"/>
              <w:rPr>
                <w:highlight w:val="yellow"/>
              </w:rPr>
            </w:pPr>
            <w:r w:rsidRPr="00BD5403">
              <w:rPr>
                <w:highlight w:val="yellow"/>
              </w:rPr>
              <w:t xml:space="preserve"> $823 </w:t>
            </w:r>
          </w:p>
        </w:tc>
        <w:tc>
          <w:tcPr>
            <w:tcW w:w="527" w:type="pct"/>
          </w:tcPr>
          <w:p w14:paraId="1D1777A5" w14:textId="77C68BF5" w:rsidR="0007217B" w:rsidRPr="00D95196" w:rsidRDefault="0007217B" w:rsidP="0007217B">
            <w:pPr>
              <w:pStyle w:val="TableText"/>
              <w:rPr>
                <w:highlight w:val="yellow"/>
              </w:rPr>
            </w:pPr>
            <w:r w:rsidRPr="00BD5403">
              <w:rPr>
                <w:highlight w:val="yellow"/>
              </w:rPr>
              <w:t xml:space="preserve"> $826 </w:t>
            </w:r>
          </w:p>
        </w:tc>
        <w:tc>
          <w:tcPr>
            <w:tcW w:w="525" w:type="pct"/>
          </w:tcPr>
          <w:p w14:paraId="2855BA07" w14:textId="2E60C893" w:rsidR="0007217B" w:rsidRPr="00D95196" w:rsidRDefault="0007217B" w:rsidP="0007217B">
            <w:pPr>
              <w:pStyle w:val="TableText"/>
              <w:rPr>
                <w:highlight w:val="yellow"/>
              </w:rPr>
            </w:pPr>
            <w:r w:rsidRPr="00BD5403">
              <w:rPr>
                <w:highlight w:val="yellow"/>
              </w:rPr>
              <w:t xml:space="preserve"> $857 </w:t>
            </w:r>
          </w:p>
        </w:tc>
      </w:tr>
      <w:tr w:rsidR="0007217B" w:rsidRPr="002C771F" w14:paraId="717DEA47" w14:textId="77777777" w:rsidTr="0007217B">
        <w:trPr>
          <w:jc w:val="center"/>
        </w:trPr>
        <w:tc>
          <w:tcPr>
            <w:tcW w:w="2368" w:type="pct"/>
            <w:shd w:val="clear" w:color="auto" w:fill="auto"/>
          </w:tcPr>
          <w:p w14:paraId="37E4FC31" w14:textId="00132A5F" w:rsidR="0007217B" w:rsidRPr="00832878" w:rsidRDefault="0007217B" w:rsidP="0007217B">
            <w:pPr>
              <w:pStyle w:val="TableTextL"/>
            </w:pPr>
            <w:r w:rsidRPr="00192954">
              <w:t>Percent of Costs Associated with Administration</w:t>
            </w:r>
          </w:p>
        </w:tc>
        <w:tc>
          <w:tcPr>
            <w:tcW w:w="527" w:type="pct"/>
            <w:shd w:val="clear" w:color="auto" w:fill="auto"/>
          </w:tcPr>
          <w:p w14:paraId="66ABBD57" w14:textId="3A093E7B" w:rsidR="0007217B" w:rsidRPr="00D95196" w:rsidRDefault="0007217B" w:rsidP="0007217B">
            <w:pPr>
              <w:pStyle w:val="TableText"/>
              <w:rPr>
                <w:highlight w:val="yellow"/>
              </w:rPr>
            </w:pPr>
            <w:r w:rsidRPr="00BD5403">
              <w:rPr>
                <w:highlight w:val="yellow"/>
              </w:rPr>
              <w:t>5%</w:t>
            </w:r>
          </w:p>
        </w:tc>
        <w:tc>
          <w:tcPr>
            <w:tcW w:w="527" w:type="pct"/>
            <w:shd w:val="clear" w:color="auto" w:fill="auto"/>
          </w:tcPr>
          <w:p w14:paraId="658B8EC4" w14:textId="3EABEE12" w:rsidR="0007217B" w:rsidRPr="00D95196" w:rsidRDefault="0007217B" w:rsidP="0007217B">
            <w:pPr>
              <w:pStyle w:val="TableText"/>
              <w:rPr>
                <w:highlight w:val="yellow"/>
              </w:rPr>
            </w:pPr>
            <w:r w:rsidRPr="00BD5403">
              <w:rPr>
                <w:highlight w:val="yellow"/>
              </w:rPr>
              <w:t>5%</w:t>
            </w:r>
          </w:p>
        </w:tc>
        <w:tc>
          <w:tcPr>
            <w:tcW w:w="527" w:type="pct"/>
            <w:shd w:val="clear" w:color="auto" w:fill="auto"/>
            <w:noWrap/>
          </w:tcPr>
          <w:p w14:paraId="35F0DF14" w14:textId="728B0870" w:rsidR="0007217B" w:rsidRPr="00D95196" w:rsidRDefault="0007217B" w:rsidP="0007217B">
            <w:pPr>
              <w:pStyle w:val="TableText"/>
              <w:rPr>
                <w:highlight w:val="yellow"/>
              </w:rPr>
            </w:pPr>
            <w:r w:rsidRPr="00BD5403">
              <w:rPr>
                <w:highlight w:val="yellow"/>
              </w:rPr>
              <w:t>5%</w:t>
            </w:r>
          </w:p>
        </w:tc>
        <w:tc>
          <w:tcPr>
            <w:tcW w:w="527" w:type="pct"/>
          </w:tcPr>
          <w:p w14:paraId="74AACEFD" w14:textId="6835C106" w:rsidR="0007217B" w:rsidRPr="00D95196" w:rsidRDefault="0007217B" w:rsidP="0007217B">
            <w:pPr>
              <w:pStyle w:val="TableText"/>
              <w:rPr>
                <w:highlight w:val="yellow"/>
              </w:rPr>
            </w:pPr>
            <w:r w:rsidRPr="00BD5403">
              <w:rPr>
                <w:highlight w:val="yellow"/>
              </w:rPr>
              <w:t>5%</w:t>
            </w:r>
          </w:p>
        </w:tc>
        <w:tc>
          <w:tcPr>
            <w:tcW w:w="525" w:type="pct"/>
          </w:tcPr>
          <w:p w14:paraId="57D3C01D" w14:textId="7F2BC1B6" w:rsidR="0007217B" w:rsidRPr="00D95196" w:rsidRDefault="0007217B" w:rsidP="0007217B">
            <w:pPr>
              <w:pStyle w:val="TableText"/>
              <w:rPr>
                <w:highlight w:val="yellow"/>
              </w:rPr>
            </w:pPr>
            <w:r w:rsidRPr="00BD5403">
              <w:rPr>
                <w:highlight w:val="yellow"/>
              </w:rPr>
              <w:t>5%</w:t>
            </w:r>
          </w:p>
        </w:tc>
      </w:tr>
      <w:tr w:rsidR="0007217B" w:rsidRPr="002C771F" w14:paraId="7D404CE4" w14:textId="77777777" w:rsidTr="0007217B">
        <w:trPr>
          <w:jc w:val="center"/>
        </w:trPr>
        <w:tc>
          <w:tcPr>
            <w:tcW w:w="2368" w:type="pct"/>
            <w:shd w:val="clear" w:color="auto" w:fill="auto"/>
          </w:tcPr>
          <w:p w14:paraId="0691AC85" w14:textId="1B1D5686" w:rsidR="0007217B" w:rsidRPr="00C57762" w:rsidRDefault="0007217B" w:rsidP="0007217B">
            <w:pPr>
              <w:pStyle w:val="TableTextL"/>
            </w:pPr>
            <w:r w:rsidRPr="00192954">
              <w:t>Average Cost per Vehicle Incentive</w:t>
            </w:r>
            <w:r w:rsidRPr="00BD5403">
              <w:rPr>
                <w:vertAlign w:val="superscript"/>
              </w:rPr>
              <w:t>1</w:t>
            </w:r>
            <w:r w:rsidR="0043291C">
              <w:rPr>
                <w:vertAlign w:val="superscript"/>
              </w:rPr>
              <w:t xml:space="preserve"> </w:t>
            </w:r>
            <w:r w:rsidR="0043291C">
              <w:t>($/vehicle)</w:t>
            </w:r>
          </w:p>
        </w:tc>
        <w:tc>
          <w:tcPr>
            <w:tcW w:w="527" w:type="pct"/>
            <w:shd w:val="clear" w:color="auto" w:fill="auto"/>
          </w:tcPr>
          <w:p w14:paraId="1D940E36" w14:textId="17FEDDA9" w:rsidR="0007217B" w:rsidRPr="00D95196" w:rsidRDefault="0007217B" w:rsidP="0007217B">
            <w:pPr>
              <w:pStyle w:val="TableText"/>
              <w:rPr>
                <w:highlight w:val="yellow"/>
              </w:rPr>
            </w:pPr>
            <w:r w:rsidRPr="00BD5403">
              <w:rPr>
                <w:highlight w:val="yellow"/>
              </w:rPr>
              <w:t xml:space="preserve"> $896 </w:t>
            </w:r>
          </w:p>
        </w:tc>
        <w:tc>
          <w:tcPr>
            <w:tcW w:w="527" w:type="pct"/>
            <w:shd w:val="clear" w:color="auto" w:fill="auto"/>
          </w:tcPr>
          <w:p w14:paraId="53F1E151" w14:textId="027FB4A9" w:rsidR="0007217B" w:rsidRPr="00D95196" w:rsidRDefault="0007217B" w:rsidP="0007217B">
            <w:pPr>
              <w:pStyle w:val="TableText"/>
              <w:rPr>
                <w:highlight w:val="yellow"/>
              </w:rPr>
            </w:pPr>
            <w:r w:rsidRPr="00BD5403">
              <w:rPr>
                <w:highlight w:val="yellow"/>
              </w:rPr>
              <w:t xml:space="preserve"> $871 </w:t>
            </w:r>
          </w:p>
        </w:tc>
        <w:tc>
          <w:tcPr>
            <w:tcW w:w="527" w:type="pct"/>
            <w:shd w:val="clear" w:color="auto" w:fill="auto"/>
            <w:noWrap/>
          </w:tcPr>
          <w:p w14:paraId="015DC702" w14:textId="24617D57" w:rsidR="0007217B" w:rsidRPr="00D95196" w:rsidRDefault="0007217B" w:rsidP="0007217B">
            <w:pPr>
              <w:pStyle w:val="TableText"/>
              <w:rPr>
                <w:highlight w:val="yellow"/>
              </w:rPr>
            </w:pPr>
            <w:r w:rsidRPr="00BD5403">
              <w:rPr>
                <w:highlight w:val="yellow"/>
              </w:rPr>
              <w:t xml:space="preserve"> $864 </w:t>
            </w:r>
          </w:p>
        </w:tc>
        <w:tc>
          <w:tcPr>
            <w:tcW w:w="527" w:type="pct"/>
          </w:tcPr>
          <w:p w14:paraId="05A83E65" w14:textId="1290C233" w:rsidR="0007217B" w:rsidRPr="00D95196" w:rsidRDefault="0007217B" w:rsidP="0007217B">
            <w:pPr>
              <w:pStyle w:val="TableText"/>
              <w:rPr>
                <w:highlight w:val="yellow"/>
              </w:rPr>
            </w:pPr>
            <w:r w:rsidRPr="00BD5403">
              <w:rPr>
                <w:highlight w:val="yellow"/>
              </w:rPr>
              <w:t xml:space="preserve"> $867 </w:t>
            </w:r>
          </w:p>
        </w:tc>
        <w:tc>
          <w:tcPr>
            <w:tcW w:w="525" w:type="pct"/>
          </w:tcPr>
          <w:p w14:paraId="226E51AE" w14:textId="29BEE6E1" w:rsidR="0007217B" w:rsidRPr="00D95196" w:rsidRDefault="0007217B" w:rsidP="0007217B">
            <w:pPr>
              <w:pStyle w:val="TableText"/>
              <w:rPr>
                <w:highlight w:val="yellow"/>
              </w:rPr>
            </w:pPr>
            <w:r w:rsidRPr="00BD5403">
              <w:rPr>
                <w:highlight w:val="yellow"/>
              </w:rPr>
              <w:t xml:space="preserve"> $900 </w:t>
            </w:r>
          </w:p>
        </w:tc>
      </w:tr>
      <w:tr w:rsidR="001C1112" w:rsidRPr="00C47C08" w14:paraId="7756AB63" w14:textId="77777777" w:rsidTr="001C1112">
        <w:trPr>
          <w:jc w:val="center"/>
        </w:trPr>
        <w:tc>
          <w:tcPr>
            <w:tcW w:w="5000" w:type="pct"/>
            <w:gridSpan w:val="6"/>
            <w:shd w:val="clear" w:color="auto" w:fill="D9D9D9" w:themeFill="background1" w:themeFillShade="D9"/>
            <w:noWrap/>
            <w:vAlign w:val="bottom"/>
          </w:tcPr>
          <w:p w14:paraId="26D2CF16" w14:textId="255B0FCA" w:rsidR="001C1112" w:rsidRDefault="001C1112" w:rsidP="001C1112">
            <w:pPr>
              <w:pStyle w:val="TableSource"/>
            </w:pPr>
            <w:r w:rsidRPr="00C47C08">
              <w:t>Notes:</w:t>
            </w:r>
            <w:r>
              <w:t xml:space="preserve"> </w:t>
            </w:r>
            <w:r w:rsidR="0043291C">
              <w:t>BEV = battery electric vehicle; PHEV = plug-in hybrid electric vehicle</w:t>
            </w:r>
          </w:p>
          <w:p w14:paraId="005F51CB" w14:textId="3B3E2A98" w:rsidR="001C1112" w:rsidRPr="00B21713" w:rsidRDefault="001C1112" w:rsidP="001C1112">
            <w:pPr>
              <w:pStyle w:val="TableSource"/>
            </w:pPr>
            <w:r w:rsidRPr="00B21713">
              <w:rPr>
                <w:vertAlign w:val="superscript"/>
              </w:rPr>
              <w:t>1</w:t>
            </w:r>
            <w:r>
              <w:rPr>
                <w:vertAlign w:val="superscript"/>
              </w:rPr>
              <w:t xml:space="preserve"> </w:t>
            </w:r>
            <w:r>
              <w:t>Based on the charger population distribution shown in</w:t>
            </w:r>
            <w:r w:rsidR="0007217B">
              <w:t xml:space="preserve"> Table 6</w:t>
            </w:r>
            <w:r>
              <w:t>.</w:t>
            </w:r>
          </w:p>
          <w:p w14:paraId="63D18135" w14:textId="77777777" w:rsidR="001C1112" w:rsidRPr="00C47C08" w:rsidRDefault="001C1112" w:rsidP="001C1112">
            <w:pPr>
              <w:pStyle w:val="TableSource"/>
            </w:pPr>
            <w:r>
              <w:t>Source: Modeled by Ascent Environmental in 2018</w:t>
            </w:r>
          </w:p>
        </w:tc>
      </w:tr>
    </w:tbl>
    <w:p w14:paraId="52F9FB16" w14:textId="77777777" w:rsidR="001C1112" w:rsidRDefault="001C1112" w:rsidP="001C1112">
      <w:pPr>
        <w:pStyle w:val="BodyText"/>
      </w:pPr>
    </w:p>
    <w:tbl>
      <w:tblPr>
        <w:tblW w:w="5000" w:type="pct"/>
        <w:jc w:val="center"/>
        <w:tblBorders>
          <w:insideH w:val="single" w:sz="4" w:space="0" w:color="auto"/>
          <w:insideV w:val="single" w:sz="4" w:space="0" w:color="auto"/>
        </w:tblBorders>
        <w:tblCellMar>
          <w:top w:w="43" w:type="dxa"/>
          <w:left w:w="115" w:type="dxa"/>
          <w:bottom w:w="43" w:type="dxa"/>
          <w:right w:w="115" w:type="dxa"/>
        </w:tblCellMar>
        <w:tblLook w:val="04A0" w:firstRow="1" w:lastRow="0" w:firstColumn="1" w:lastColumn="0" w:noHBand="0" w:noVBand="1"/>
      </w:tblPr>
      <w:tblGrid>
        <w:gridCol w:w="4789"/>
        <w:gridCol w:w="1061"/>
        <w:gridCol w:w="1060"/>
        <w:gridCol w:w="1060"/>
        <w:gridCol w:w="1060"/>
        <w:gridCol w:w="1050"/>
      </w:tblGrid>
      <w:tr w:rsidR="001C1112" w:rsidRPr="00B42715" w14:paraId="4FEC37BD" w14:textId="77777777" w:rsidTr="001C1112">
        <w:trPr>
          <w:tblHeader/>
          <w:jc w:val="center"/>
        </w:trPr>
        <w:tc>
          <w:tcPr>
            <w:tcW w:w="5000" w:type="pct"/>
            <w:gridSpan w:val="6"/>
            <w:shd w:val="clear" w:color="auto" w:fill="auto"/>
            <w:noWrap/>
            <w:vAlign w:val="bottom"/>
          </w:tcPr>
          <w:p w14:paraId="5B225A3A" w14:textId="41C84262" w:rsidR="001C1112" w:rsidRDefault="001C1112" w:rsidP="001C1112">
            <w:pPr>
              <w:pStyle w:val="TableHeader"/>
            </w:pPr>
            <w:r>
              <w:br w:type="page"/>
            </w:r>
            <w:r>
              <w:rPr>
                <w:color w:val="000000"/>
                <w:szCs w:val="16"/>
              </w:rPr>
              <w:br w:type="page"/>
            </w:r>
            <w:r w:rsidR="0043291C">
              <w:t>Table 8</w:t>
            </w:r>
            <w:r w:rsidRPr="00823EF7">
              <w:tab/>
            </w:r>
            <w:r w:rsidR="0043291C">
              <w:t>Vehicle Incentive Program</w:t>
            </w:r>
            <w:r>
              <w:t xml:space="preserve"> Costs and Gree</w:t>
            </w:r>
            <w:r w:rsidR="001114A4">
              <w:t>nhouse Gas Emissions Reductions</w:t>
            </w:r>
          </w:p>
        </w:tc>
      </w:tr>
      <w:tr w:rsidR="006F04BE" w:rsidRPr="00B42715" w14:paraId="596377D3" w14:textId="77777777" w:rsidTr="006F75C7">
        <w:trPr>
          <w:trHeight w:val="289"/>
          <w:jc w:val="center"/>
        </w:trPr>
        <w:tc>
          <w:tcPr>
            <w:tcW w:w="2375" w:type="pct"/>
            <w:shd w:val="clear" w:color="auto" w:fill="D9D9D9" w:themeFill="background1" w:themeFillShade="D9"/>
            <w:noWrap/>
            <w:vAlign w:val="center"/>
            <w:hideMark/>
          </w:tcPr>
          <w:p w14:paraId="3423313E" w14:textId="77777777" w:rsidR="001C1112" w:rsidRPr="00B42715" w:rsidRDefault="001C1112" w:rsidP="001C1112">
            <w:pPr>
              <w:pStyle w:val="TableColumn"/>
            </w:pPr>
          </w:p>
        </w:tc>
        <w:tc>
          <w:tcPr>
            <w:tcW w:w="526" w:type="pct"/>
            <w:shd w:val="clear" w:color="auto" w:fill="D9D9D9" w:themeFill="background1" w:themeFillShade="D9"/>
            <w:noWrap/>
            <w:hideMark/>
          </w:tcPr>
          <w:p w14:paraId="4524DA5C" w14:textId="77777777" w:rsidR="001C1112" w:rsidRPr="009D1578" w:rsidRDefault="001C1112" w:rsidP="001C1112">
            <w:pPr>
              <w:pStyle w:val="TableColumn"/>
            </w:pPr>
            <w:r w:rsidRPr="000B50FC">
              <w:t>2020</w:t>
            </w:r>
          </w:p>
        </w:tc>
        <w:tc>
          <w:tcPr>
            <w:tcW w:w="526" w:type="pct"/>
            <w:shd w:val="clear" w:color="auto" w:fill="D9D9D9" w:themeFill="background1" w:themeFillShade="D9"/>
            <w:noWrap/>
            <w:hideMark/>
          </w:tcPr>
          <w:p w14:paraId="31D9D629" w14:textId="77777777" w:rsidR="001C1112" w:rsidRPr="009D1578" w:rsidRDefault="001C1112" w:rsidP="001C1112">
            <w:pPr>
              <w:pStyle w:val="TableColumn"/>
            </w:pPr>
            <w:r w:rsidRPr="000B50FC">
              <w:t>2025</w:t>
            </w:r>
          </w:p>
        </w:tc>
        <w:tc>
          <w:tcPr>
            <w:tcW w:w="526" w:type="pct"/>
            <w:shd w:val="clear" w:color="auto" w:fill="D9D9D9" w:themeFill="background1" w:themeFillShade="D9"/>
            <w:noWrap/>
            <w:hideMark/>
          </w:tcPr>
          <w:p w14:paraId="0CF9BB77" w14:textId="77777777" w:rsidR="001C1112" w:rsidRPr="009D1578" w:rsidRDefault="001C1112" w:rsidP="001C1112">
            <w:pPr>
              <w:pStyle w:val="TableColumn"/>
              <w:rPr>
                <w:color w:val="000000"/>
              </w:rPr>
            </w:pPr>
            <w:r w:rsidRPr="000B50FC">
              <w:t>2030</w:t>
            </w:r>
          </w:p>
        </w:tc>
        <w:tc>
          <w:tcPr>
            <w:tcW w:w="526" w:type="pct"/>
            <w:shd w:val="clear" w:color="auto" w:fill="D9D9D9" w:themeFill="background1" w:themeFillShade="D9"/>
          </w:tcPr>
          <w:p w14:paraId="63996C2A" w14:textId="77777777" w:rsidR="001C1112" w:rsidRPr="00F93031" w:rsidRDefault="001C1112" w:rsidP="001C1112">
            <w:pPr>
              <w:pStyle w:val="TableColumn"/>
            </w:pPr>
            <w:r w:rsidRPr="000B50FC">
              <w:t>2035</w:t>
            </w:r>
          </w:p>
        </w:tc>
        <w:tc>
          <w:tcPr>
            <w:tcW w:w="521" w:type="pct"/>
            <w:shd w:val="clear" w:color="auto" w:fill="D9D9D9" w:themeFill="background1" w:themeFillShade="D9"/>
          </w:tcPr>
          <w:p w14:paraId="0FD78058" w14:textId="77777777" w:rsidR="001C1112" w:rsidRPr="00F93031" w:rsidRDefault="001C1112" w:rsidP="001C1112">
            <w:pPr>
              <w:pStyle w:val="TableColumn"/>
            </w:pPr>
            <w:r w:rsidRPr="000B50FC">
              <w:t>2050</w:t>
            </w:r>
          </w:p>
        </w:tc>
      </w:tr>
      <w:tr w:rsidR="006F04BE" w:rsidRPr="002C771F" w14:paraId="1674FE96" w14:textId="77777777" w:rsidTr="006F75C7">
        <w:trPr>
          <w:jc w:val="center"/>
        </w:trPr>
        <w:tc>
          <w:tcPr>
            <w:tcW w:w="2375" w:type="pct"/>
            <w:shd w:val="clear" w:color="auto" w:fill="auto"/>
          </w:tcPr>
          <w:p w14:paraId="57F8BAE8" w14:textId="5F4657A7" w:rsidR="006F04BE" w:rsidRPr="00832878" w:rsidRDefault="006F04BE" w:rsidP="006F04BE">
            <w:pPr>
              <w:pStyle w:val="TableTextL"/>
            </w:pPr>
            <w:r>
              <w:t>Cumulative Program Cost ($) (Rounded)</w:t>
            </w:r>
          </w:p>
        </w:tc>
        <w:tc>
          <w:tcPr>
            <w:tcW w:w="526" w:type="pct"/>
            <w:shd w:val="clear" w:color="auto" w:fill="auto"/>
          </w:tcPr>
          <w:p w14:paraId="7C274DA3" w14:textId="3FA0D80B" w:rsidR="006F04BE" w:rsidRPr="00D95196" w:rsidRDefault="006F04BE" w:rsidP="006F04BE">
            <w:pPr>
              <w:pStyle w:val="TableText"/>
              <w:rPr>
                <w:highlight w:val="yellow"/>
              </w:rPr>
            </w:pPr>
            <w:r w:rsidRPr="00BD5403">
              <w:rPr>
                <w:highlight w:val="yellow"/>
              </w:rPr>
              <w:t xml:space="preserve"> $14,900,000 </w:t>
            </w:r>
          </w:p>
        </w:tc>
        <w:tc>
          <w:tcPr>
            <w:tcW w:w="526" w:type="pct"/>
            <w:shd w:val="clear" w:color="auto" w:fill="auto"/>
          </w:tcPr>
          <w:p w14:paraId="0ADA73FC" w14:textId="71F8AAD4" w:rsidR="006F04BE" w:rsidRPr="00D95196" w:rsidRDefault="006F04BE" w:rsidP="006F04BE">
            <w:pPr>
              <w:pStyle w:val="TableText"/>
              <w:rPr>
                <w:highlight w:val="yellow"/>
              </w:rPr>
            </w:pPr>
            <w:r w:rsidRPr="00BD5403">
              <w:rPr>
                <w:highlight w:val="yellow"/>
              </w:rPr>
              <w:t xml:space="preserve"> $24,200,000 </w:t>
            </w:r>
          </w:p>
        </w:tc>
        <w:tc>
          <w:tcPr>
            <w:tcW w:w="526" w:type="pct"/>
            <w:shd w:val="clear" w:color="auto" w:fill="auto"/>
            <w:noWrap/>
          </w:tcPr>
          <w:p w14:paraId="79A03122" w14:textId="03512F65" w:rsidR="006F04BE" w:rsidRPr="00D95196" w:rsidRDefault="006F04BE" w:rsidP="006F04BE">
            <w:pPr>
              <w:pStyle w:val="TableText"/>
              <w:rPr>
                <w:highlight w:val="yellow"/>
              </w:rPr>
            </w:pPr>
            <w:r w:rsidRPr="00BD5403">
              <w:rPr>
                <w:highlight w:val="yellow"/>
              </w:rPr>
              <w:t xml:space="preserve"> $28,900,000 </w:t>
            </w:r>
          </w:p>
        </w:tc>
        <w:tc>
          <w:tcPr>
            <w:tcW w:w="526" w:type="pct"/>
          </w:tcPr>
          <w:p w14:paraId="1189D419" w14:textId="2F42C0DE" w:rsidR="006F04BE" w:rsidRPr="00D95196" w:rsidRDefault="006F04BE" w:rsidP="006F04BE">
            <w:pPr>
              <w:pStyle w:val="TableText"/>
              <w:rPr>
                <w:highlight w:val="yellow"/>
              </w:rPr>
            </w:pPr>
            <w:r w:rsidRPr="00BD5403">
              <w:rPr>
                <w:highlight w:val="yellow"/>
              </w:rPr>
              <w:t xml:space="preserve"> $38,100,000 </w:t>
            </w:r>
          </w:p>
        </w:tc>
        <w:tc>
          <w:tcPr>
            <w:tcW w:w="521" w:type="pct"/>
          </w:tcPr>
          <w:p w14:paraId="6F9A888A" w14:textId="138C53BD" w:rsidR="006F04BE" w:rsidRPr="00D95196" w:rsidRDefault="006F04BE" w:rsidP="006F04BE">
            <w:pPr>
              <w:pStyle w:val="TableText"/>
              <w:rPr>
                <w:highlight w:val="yellow"/>
              </w:rPr>
            </w:pPr>
            <w:r w:rsidRPr="00BD5403">
              <w:rPr>
                <w:highlight w:val="yellow"/>
              </w:rPr>
              <w:t xml:space="preserve">$104,100,000 </w:t>
            </w:r>
          </w:p>
        </w:tc>
      </w:tr>
      <w:tr w:rsidR="006F75C7" w:rsidRPr="002C771F" w14:paraId="482FEC25" w14:textId="77777777" w:rsidTr="006F75C7">
        <w:trPr>
          <w:jc w:val="center"/>
        </w:trPr>
        <w:tc>
          <w:tcPr>
            <w:tcW w:w="2375" w:type="pct"/>
            <w:shd w:val="clear" w:color="auto" w:fill="auto"/>
          </w:tcPr>
          <w:p w14:paraId="21577C10" w14:textId="699CC2E8" w:rsidR="006F75C7" w:rsidRPr="00832878" w:rsidRDefault="006F75C7" w:rsidP="006F75C7">
            <w:pPr>
              <w:pStyle w:val="TableTextL"/>
            </w:pPr>
            <w:r w:rsidRPr="00445F06">
              <w:t>Net Daily Emission Reduction (MT CO</w:t>
            </w:r>
            <w:r w:rsidRPr="00B21713">
              <w:rPr>
                <w:vertAlign w:val="subscript"/>
              </w:rPr>
              <w:t>2</w:t>
            </w:r>
            <w:r w:rsidRPr="00445F06">
              <w:t>/day)</w:t>
            </w:r>
            <w:r w:rsidRPr="00B21713">
              <w:rPr>
                <w:vertAlign w:val="superscript"/>
              </w:rPr>
              <w:t>1</w:t>
            </w:r>
          </w:p>
        </w:tc>
        <w:tc>
          <w:tcPr>
            <w:tcW w:w="526" w:type="pct"/>
            <w:shd w:val="clear" w:color="auto" w:fill="auto"/>
          </w:tcPr>
          <w:p w14:paraId="343F34CD" w14:textId="045ABE3E" w:rsidR="006F75C7" w:rsidRPr="00D95196" w:rsidRDefault="006F75C7" w:rsidP="006F75C7">
            <w:pPr>
              <w:pStyle w:val="TableText"/>
              <w:rPr>
                <w:highlight w:val="yellow"/>
              </w:rPr>
            </w:pPr>
            <w:r w:rsidRPr="00BD5403">
              <w:rPr>
                <w:highlight w:val="yellow"/>
              </w:rPr>
              <w:t xml:space="preserve"> 146 </w:t>
            </w:r>
          </w:p>
        </w:tc>
        <w:tc>
          <w:tcPr>
            <w:tcW w:w="526" w:type="pct"/>
            <w:shd w:val="clear" w:color="auto" w:fill="auto"/>
          </w:tcPr>
          <w:p w14:paraId="77D95EC8" w14:textId="28410CD8" w:rsidR="006F75C7" w:rsidRPr="00D95196" w:rsidRDefault="006F75C7" w:rsidP="006F75C7">
            <w:pPr>
              <w:pStyle w:val="TableText"/>
              <w:rPr>
                <w:highlight w:val="yellow"/>
              </w:rPr>
            </w:pPr>
            <w:r w:rsidRPr="00BD5403">
              <w:rPr>
                <w:highlight w:val="yellow"/>
              </w:rPr>
              <w:t xml:space="preserve"> 216 </w:t>
            </w:r>
          </w:p>
        </w:tc>
        <w:tc>
          <w:tcPr>
            <w:tcW w:w="526" w:type="pct"/>
            <w:shd w:val="clear" w:color="auto" w:fill="auto"/>
            <w:noWrap/>
          </w:tcPr>
          <w:p w14:paraId="69161557" w14:textId="62967669" w:rsidR="006F75C7" w:rsidRPr="00D95196" w:rsidRDefault="006F75C7" w:rsidP="006F75C7">
            <w:pPr>
              <w:pStyle w:val="TableText"/>
              <w:rPr>
                <w:highlight w:val="yellow"/>
              </w:rPr>
            </w:pPr>
            <w:r w:rsidRPr="00BD5403">
              <w:rPr>
                <w:highlight w:val="yellow"/>
              </w:rPr>
              <w:t xml:space="preserve"> 211 </w:t>
            </w:r>
          </w:p>
        </w:tc>
        <w:tc>
          <w:tcPr>
            <w:tcW w:w="526" w:type="pct"/>
          </w:tcPr>
          <w:p w14:paraId="0F3DA005" w14:textId="41497FF9" w:rsidR="006F75C7" w:rsidRPr="00D95196" w:rsidRDefault="006F75C7" w:rsidP="006F75C7">
            <w:pPr>
              <w:pStyle w:val="TableText"/>
              <w:rPr>
                <w:highlight w:val="yellow"/>
              </w:rPr>
            </w:pPr>
            <w:r w:rsidRPr="00BD5403">
              <w:rPr>
                <w:highlight w:val="yellow"/>
              </w:rPr>
              <w:t xml:space="preserve"> 237 </w:t>
            </w:r>
          </w:p>
        </w:tc>
        <w:tc>
          <w:tcPr>
            <w:tcW w:w="521" w:type="pct"/>
          </w:tcPr>
          <w:p w14:paraId="4A30AB7E" w14:textId="3BBF4787" w:rsidR="006F75C7" w:rsidRPr="00D95196" w:rsidRDefault="006F75C7" w:rsidP="006F75C7">
            <w:pPr>
              <w:pStyle w:val="TableText"/>
              <w:rPr>
                <w:highlight w:val="yellow"/>
              </w:rPr>
            </w:pPr>
            <w:r w:rsidRPr="00BD5403">
              <w:rPr>
                <w:highlight w:val="yellow"/>
              </w:rPr>
              <w:t xml:space="preserve"> 502 </w:t>
            </w:r>
          </w:p>
        </w:tc>
      </w:tr>
      <w:tr w:rsidR="006F75C7" w:rsidRPr="002C771F" w14:paraId="20C876AA" w14:textId="77777777" w:rsidTr="006F75C7">
        <w:trPr>
          <w:jc w:val="center"/>
        </w:trPr>
        <w:tc>
          <w:tcPr>
            <w:tcW w:w="2375" w:type="pct"/>
            <w:shd w:val="clear" w:color="auto" w:fill="auto"/>
          </w:tcPr>
          <w:p w14:paraId="71832C71" w14:textId="12AC9698" w:rsidR="006F75C7" w:rsidRPr="00832878" w:rsidRDefault="006F75C7" w:rsidP="006F75C7">
            <w:pPr>
              <w:pStyle w:val="TableTextL"/>
            </w:pPr>
            <w:r w:rsidRPr="00445F06">
              <w:t>Net Annual Emission Reduction (MT CO</w:t>
            </w:r>
            <w:r w:rsidRPr="00B21713">
              <w:rPr>
                <w:vertAlign w:val="subscript"/>
              </w:rPr>
              <w:t>2</w:t>
            </w:r>
            <w:r w:rsidRPr="00445F06">
              <w:t>/year)</w:t>
            </w:r>
            <w:r w:rsidRPr="00B21713">
              <w:rPr>
                <w:vertAlign w:val="superscript"/>
              </w:rPr>
              <w:t xml:space="preserve"> 1</w:t>
            </w:r>
          </w:p>
        </w:tc>
        <w:tc>
          <w:tcPr>
            <w:tcW w:w="526" w:type="pct"/>
            <w:shd w:val="clear" w:color="auto" w:fill="auto"/>
          </w:tcPr>
          <w:p w14:paraId="504CE58F" w14:textId="3427D83E" w:rsidR="006F75C7" w:rsidRPr="00D95196" w:rsidRDefault="006F75C7" w:rsidP="006F75C7">
            <w:pPr>
              <w:pStyle w:val="TableText"/>
              <w:rPr>
                <w:highlight w:val="yellow"/>
              </w:rPr>
            </w:pPr>
            <w:r w:rsidRPr="00BD5403">
              <w:rPr>
                <w:highlight w:val="yellow"/>
              </w:rPr>
              <w:t xml:space="preserve"> 53,279 </w:t>
            </w:r>
          </w:p>
        </w:tc>
        <w:tc>
          <w:tcPr>
            <w:tcW w:w="526" w:type="pct"/>
            <w:shd w:val="clear" w:color="auto" w:fill="auto"/>
          </w:tcPr>
          <w:p w14:paraId="310F7831" w14:textId="779F7FF6" w:rsidR="006F75C7" w:rsidRPr="00D95196" w:rsidRDefault="006F75C7" w:rsidP="006F75C7">
            <w:pPr>
              <w:pStyle w:val="TableText"/>
              <w:rPr>
                <w:highlight w:val="yellow"/>
              </w:rPr>
            </w:pPr>
            <w:r w:rsidRPr="00BD5403">
              <w:rPr>
                <w:highlight w:val="yellow"/>
              </w:rPr>
              <w:t xml:space="preserve"> 78,862 </w:t>
            </w:r>
          </w:p>
        </w:tc>
        <w:tc>
          <w:tcPr>
            <w:tcW w:w="526" w:type="pct"/>
            <w:shd w:val="clear" w:color="auto" w:fill="auto"/>
            <w:noWrap/>
          </w:tcPr>
          <w:p w14:paraId="3982B017" w14:textId="3CFCFE79" w:rsidR="006F75C7" w:rsidRPr="00D95196" w:rsidRDefault="006F75C7" w:rsidP="006F75C7">
            <w:pPr>
              <w:pStyle w:val="TableText"/>
              <w:rPr>
                <w:highlight w:val="yellow"/>
              </w:rPr>
            </w:pPr>
            <w:r w:rsidRPr="00BD5403">
              <w:rPr>
                <w:highlight w:val="yellow"/>
              </w:rPr>
              <w:t xml:space="preserve"> 76,879 </w:t>
            </w:r>
          </w:p>
        </w:tc>
        <w:tc>
          <w:tcPr>
            <w:tcW w:w="526" w:type="pct"/>
          </w:tcPr>
          <w:p w14:paraId="65AA3659" w14:textId="50BB3668" w:rsidR="006F75C7" w:rsidRPr="00D95196" w:rsidRDefault="006F75C7" w:rsidP="006F75C7">
            <w:pPr>
              <w:pStyle w:val="TableText"/>
              <w:rPr>
                <w:highlight w:val="yellow"/>
              </w:rPr>
            </w:pPr>
            <w:r w:rsidRPr="00BD5403">
              <w:rPr>
                <w:highlight w:val="yellow"/>
              </w:rPr>
              <w:t xml:space="preserve"> 86,616 </w:t>
            </w:r>
          </w:p>
        </w:tc>
        <w:tc>
          <w:tcPr>
            <w:tcW w:w="521" w:type="pct"/>
          </w:tcPr>
          <w:p w14:paraId="4DF3E5EC" w14:textId="39231471" w:rsidR="006F75C7" w:rsidRPr="00D95196" w:rsidRDefault="006F75C7" w:rsidP="006F75C7">
            <w:pPr>
              <w:pStyle w:val="TableText"/>
              <w:rPr>
                <w:highlight w:val="yellow"/>
              </w:rPr>
            </w:pPr>
            <w:r w:rsidRPr="00BD5403">
              <w:rPr>
                <w:highlight w:val="yellow"/>
              </w:rPr>
              <w:t xml:space="preserve"> 183,202 </w:t>
            </w:r>
          </w:p>
        </w:tc>
      </w:tr>
      <w:tr w:rsidR="006F75C7" w:rsidRPr="002C771F" w14:paraId="56A91C15" w14:textId="77777777" w:rsidTr="006F75C7">
        <w:trPr>
          <w:jc w:val="center"/>
        </w:trPr>
        <w:tc>
          <w:tcPr>
            <w:tcW w:w="2375" w:type="pct"/>
            <w:shd w:val="clear" w:color="auto" w:fill="auto"/>
          </w:tcPr>
          <w:p w14:paraId="457D08C3" w14:textId="6B1483C7" w:rsidR="006F75C7" w:rsidRPr="00445F06" w:rsidRDefault="006F75C7" w:rsidP="006F75C7">
            <w:pPr>
              <w:pStyle w:val="TableTextL"/>
            </w:pPr>
            <w:r>
              <w:t xml:space="preserve">Cumulative Emissions Reduced from start of program </w:t>
            </w:r>
            <w:r w:rsidRPr="00445F06">
              <w:t>(MT CO</w:t>
            </w:r>
            <w:r w:rsidRPr="00B21713">
              <w:rPr>
                <w:vertAlign w:val="subscript"/>
              </w:rPr>
              <w:t>2</w:t>
            </w:r>
            <w:r>
              <w:t>)</w:t>
            </w:r>
            <w:r w:rsidRPr="00B21713">
              <w:rPr>
                <w:vertAlign w:val="superscript"/>
              </w:rPr>
              <w:t>1</w:t>
            </w:r>
          </w:p>
        </w:tc>
        <w:tc>
          <w:tcPr>
            <w:tcW w:w="526" w:type="pct"/>
            <w:shd w:val="clear" w:color="auto" w:fill="auto"/>
          </w:tcPr>
          <w:p w14:paraId="68C5F2BC" w14:textId="3CF94A77" w:rsidR="006F75C7" w:rsidRPr="00D95196" w:rsidRDefault="006F75C7" w:rsidP="006F75C7">
            <w:pPr>
              <w:pStyle w:val="TableText"/>
              <w:rPr>
                <w:highlight w:val="yellow"/>
              </w:rPr>
            </w:pPr>
            <w:r w:rsidRPr="00BD5403">
              <w:rPr>
                <w:highlight w:val="yellow"/>
              </w:rPr>
              <w:t xml:space="preserve"> 53,279 </w:t>
            </w:r>
          </w:p>
        </w:tc>
        <w:tc>
          <w:tcPr>
            <w:tcW w:w="526" w:type="pct"/>
            <w:shd w:val="clear" w:color="auto" w:fill="auto"/>
          </w:tcPr>
          <w:p w14:paraId="0CFE0498" w14:textId="42AA975D" w:rsidR="006F75C7" w:rsidRPr="00D95196" w:rsidRDefault="006F75C7" w:rsidP="006F75C7">
            <w:pPr>
              <w:pStyle w:val="TableText"/>
              <w:rPr>
                <w:highlight w:val="yellow"/>
              </w:rPr>
            </w:pPr>
            <w:r w:rsidRPr="00BD5403">
              <w:rPr>
                <w:highlight w:val="yellow"/>
              </w:rPr>
              <w:t xml:space="preserve"> 330,353 </w:t>
            </w:r>
          </w:p>
        </w:tc>
        <w:tc>
          <w:tcPr>
            <w:tcW w:w="526" w:type="pct"/>
            <w:shd w:val="clear" w:color="auto" w:fill="auto"/>
            <w:noWrap/>
          </w:tcPr>
          <w:p w14:paraId="0802FD16" w14:textId="257DA659" w:rsidR="006F75C7" w:rsidRPr="00D95196" w:rsidRDefault="006F75C7" w:rsidP="006F75C7">
            <w:pPr>
              <w:pStyle w:val="TableText"/>
              <w:rPr>
                <w:highlight w:val="yellow"/>
              </w:rPr>
            </w:pPr>
            <w:r w:rsidRPr="00BD5403">
              <w:rPr>
                <w:highlight w:val="yellow"/>
              </w:rPr>
              <w:t xml:space="preserve"> 389,354 </w:t>
            </w:r>
          </w:p>
        </w:tc>
        <w:tc>
          <w:tcPr>
            <w:tcW w:w="526" w:type="pct"/>
          </w:tcPr>
          <w:p w14:paraId="75B3DB81" w14:textId="60637CD2" w:rsidR="006F75C7" w:rsidRPr="00D95196" w:rsidRDefault="006F75C7" w:rsidP="006F75C7">
            <w:pPr>
              <w:pStyle w:val="TableText"/>
              <w:rPr>
                <w:highlight w:val="yellow"/>
              </w:rPr>
            </w:pPr>
            <w:r w:rsidRPr="00BD5403">
              <w:rPr>
                <w:highlight w:val="yellow"/>
              </w:rPr>
              <w:t xml:space="preserve"> 408,739 </w:t>
            </w:r>
          </w:p>
        </w:tc>
        <w:tc>
          <w:tcPr>
            <w:tcW w:w="521" w:type="pct"/>
          </w:tcPr>
          <w:p w14:paraId="0FF8CBA4" w14:textId="63B871FB" w:rsidR="006F75C7" w:rsidRPr="00D95196" w:rsidRDefault="006F75C7" w:rsidP="006F75C7">
            <w:pPr>
              <w:pStyle w:val="TableText"/>
              <w:rPr>
                <w:highlight w:val="yellow"/>
              </w:rPr>
            </w:pPr>
            <w:r w:rsidRPr="00BD5403">
              <w:rPr>
                <w:highlight w:val="yellow"/>
              </w:rPr>
              <w:t xml:space="preserve"> 2,023,637 </w:t>
            </w:r>
          </w:p>
        </w:tc>
      </w:tr>
      <w:tr w:rsidR="006F75C7" w:rsidRPr="002C771F" w14:paraId="17AC95F3" w14:textId="77777777" w:rsidTr="006F75C7">
        <w:trPr>
          <w:jc w:val="center"/>
        </w:trPr>
        <w:tc>
          <w:tcPr>
            <w:tcW w:w="2375" w:type="pct"/>
            <w:shd w:val="clear" w:color="auto" w:fill="auto"/>
          </w:tcPr>
          <w:p w14:paraId="30A732BD" w14:textId="1279EF70" w:rsidR="006F75C7" w:rsidRDefault="006F75C7" w:rsidP="006F75C7">
            <w:pPr>
              <w:pStyle w:val="TableTextL"/>
            </w:pPr>
            <w:r>
              <w:t>Cost per MT CO</w:t>
            </w:r>
            <w:r w:rsidRPr="00B21713">
              <w:rPr>
                <w:vertAlign w:val="subscript"/>
              </w:rPr>
              <w:t>2</w:t>
            </w:r>
            <w:r>
              <w:t xml:space="preserve"> reduced ($/MT CO</w:t>
            </w:r>
            <w:r w:rsidRPr="00B21713">
              <w:rPr>
                <w:vertAlign w:val="subscript"/>
              </w:rPr>
              <w:t>2</w:t>
            </w:r>
            <w:r>
              <w:t>)</w:t>
            </w:r>
          </w:p>
        </w:tc>
        <w:tc>
          <w:tcPr>
            <w:tcW w:w="526" w:type="pct"/>
            <w:shd w:val="clear" w:color="auto" w:fill="auto"/>
          </w:tcPr>
          <w:p w14:paraId="19523FB9" w14:textId="2C7C3FD3" w:rsidR="006F75C7" w:rsidRPr="00D95196" w:rsidRDefault="006F75C7" w:rsidP="006F75C7">
            <w:pPr>
              <w:pStyle w:val="TableText"/>
              <w:rPr>
                <w:highlight w:val="yellow"/>
              </w:rPr>
            </w:pPr>
            <w:r w:rsidRPr="00BD5403">
              <w:rPr>
                <w:highlight w:val="yellow"/>
              </w:rPr>
              <w:t>$280</w:t>
            </w:r>
          </w:p>
        </w:tc>
        <w:tc>
          <w:tcPr>
            <w:tcW w:w="526" w:type="pct"/>
            <w:shd w:val="clear" w:color="auto" w:fill="auto"/>
          </w:tcPr>
          <w:p w14:paraId="0363657E" w14:textId="35A951E7" w:rsidR="006F75C7" w:rsidRPr="00D95196" w:rsidRDefault="006F75C7" w:rsidP="006F75C7">
            <w:pPr>
              <w:pStyle w:val="TableText"/>
              <w:rPr>
                <w:highlight w:val="yellow"/>
              </w:rPr>
            </w:pPr>
            <w:r w:rsidRPr="00BD5403">
              <w:rPr>
                <w:highlight w:val="yellow"/>
              </w:rPr>
              <w:t>$177</w:t>
            </w:r>
          </w:p>
        </w:tc>
        <w:tc>
          <w:tcPr>
            <w:tcW w:w="526" w:type="pct"/>
            <w:shd w:val="clear" w:color="auto" w:fill="auto"/>
            <w:noWrap/>
          </w:tcPr>
          <w:p w14:paraId="1739389D" w14:textId="3BB7D300" w:rsidR="006F75C7" w:rsidRPr="00D95196" w:rsidRDefault="006F75C7" w:rsidP="006F75C7">
            <w:pPr>
              <w:pStyle w:val="TableText"/>
              <w:rPr>
                <w:highlight w:val="yellow"/>
              </w:rPr>
            </w:pPr>
            <w:r w:rsidRPr="00BD5403">
              <w:rPr>
                <w:highlight w:val="yellow"/>
              </w:rPr>
              <w:t>$64</w:t>
            </w:r>
          </w:p>
        </w:tc>
        <w:tc>
          <w:tcPr>
            <w:tcW w:w="526" w:type="pct"/>
          </w:tcPr>
          <w:p w14:paraId="093DAE76" w14:textId="162676CD" w:rsidR="006F75C7" w:rsidRPr="00D95196" w:rsidRDefault="006F75C7" w:rsidP="006F75C7">
            <w:pPr>
              <w:pStyle w:val="TableText"/>
              <w:rPr>
                <w:highlight w:val="yellow"/>
              </w:rPr>
            </w:pPr>
            <w:r w:rsidRPr="00BD5403">
              <w:rPr>
                <w:highlight w:val="yellow"/>
              </w:rPr>
              <w:t>$80</w:t>
            </w:r>
          </w:p>
        </w:tc>
        <w:tc>
          <w:tcPr>
            <w:tcW w:w="521" w:type="pct"/>
          </w:tcPr>
          <w:p w14:paraId="1E5AAD07" w14:textId="5CA85B1B" w:rsidR="006F75C7" w:rsidRPr="00D95196" w:rsidRDefault="006F75C7" w:rsidP="006F75C7">
            <w:pPr>
              <w:pStyle w:val="TableText"/>
              <w:rPr>
                <w:highlight w:val="yellow"/>
              </w:rPr>
            </w:pPr>
            <w:r w:rsidRPr="00BD5403">
              <w:rPr>
                <w:highlight w:val="yellow"/>
              </w:rPr>
              <w:t>$194</w:t>
            </w:r>
          </w:p>
        </w:tc>
      </w:tr>
      <w:tr w:rsidR="006F75C7" w:rsidRPr="002C771F" w14:paraId="49E42DEF" w14:textId="77777777" w:rsidTr="006F75C7">
        <w:trPr>
          <w:jc w:val="center"/>
        </w:trPr>
        <w:tc>
          <w:tcPr>
            <w:tcW w:w="2375" w:type="pct"/>
            <w:shd w:val="clear" w:color="auto" w:fill="auto"/>
          </w:tcPr>
          <w:p w14:paraId="53014BCA" w14:textId="6A3134DB" w:rsidR="006F75C7" w:rsidRPr="00B21713" w:rsidRDefault="006F75C7" w:rsidP="006F75C7">
            <w:pPr>
              <w:pStyle w:val="TableTextL"/>
            </w:pPr>
            <w:r>
              <w:t>Average Annual Emission Reduction per vehicle</w:t>
            </w:r>
            <w:r w:rsidRPr="00BD5403">
              <w:rPr>
                <w:vertAlign w:val="superscript"/>
              </w:rPr>
              <w:t>1</w:t>
            </w:r>
            <w:r>
              <w:rPr>
                <w:vertAlign w:val="superscript"/>
              </w:rPr>
              <w:t xml:space="preserve"> </w:t>
            </w:r>
            <w:r>
              <w:t>(MT CO</w:t>
            </w:r>
            <w:r w:rsidRPr="00B21713">
              <w:rPr>
                <w:vertAlign w:val="subscript"/>
              </w:rPr>
              <w:t>2</w:t>
            </w:r>
            <w:r>
              <w:t>/charger)</w:t>
            </w:r>
          </w:p>
        </w:tc>
        <w:tc>
          <w:tcPr>
            <w:tcW w:w="526" w:type="pct"/>
            <w:shd w:val="clear" w:color="auto" w:fill="auto"/>
          </w:tcPr>
          <w:p w14:paraId="73C56D48" w14:textId="1F22651B" w:rsidR="006F75C7" w:rsidRPr="00D95196" w:rsidRDefault="006F75C7" w:rsidP="006F75C7">
            <w:pPr>
              <w:pStyle w:val="TableText"/>
              <w:rPr>
                <w:highlight w:val="yellow"/>
              </w:rPr>
            </w:pPr>
            <w:r w:rsidRPr="00BD5403">
              <w:rPr>
                <w:highlight w:val="yellow"/>
              </w:rPr>
              <w:t>3.3</w:t>
            </w:r>
          </w:p>
        </w:tc>
        <w:tc>
          <w:tcPr>
            <w:tcW w:w="526" w:type="pct"/>
            <w:shd w:val="clear" w:color="auto" w:fill="auto"/>
          </w:tcPr>
          <w:p w14:paraId="77FE4862" w14:textId="1F75428C" w:rsidR="006F75C7" w:rsidRPr="00D95196" w:rsidRDefault="006F75C7" w:rsidP="006F75C7">
            <w:pPr>
              <w:pStyle w:val="TableText"/>
              <w:rPr>
                <w:highlight w:val="yellow"/>
              </w:rPr>
            </w:pPr>
            <w:r w:rsidRPr="00BD5403">
              <w:rPr>
                <w:highlight w:val="yellow"/>
              </w:rPr>
              <w:t>2.9</w:t>
            </w:r>
          </w:p>
        </w:tc>
        <w:tc>
          <w:tcPr>
            <w:tcW w:w="526" w:type="pct"/>
            <w:shd w:val="clear" w:color="auto" w:fill="auto"/>
            <w:noWrap/>
          </w:tcPr>
          <w:p w14:paraId="712BC0B9" w14:textId="78E65D8F" w:rsidR="006F75C7" w:rsidRPr="00D95196" w:rsidRDefault="006F75C7" w:rsidP="006F75C7">
            <w:pPr>
              <w:pStyle w:val="TableText"/>
              <w:rPr>
                <w:highlight w:val="yellow"/>
              </w:rPr>
            </w:pPr>
            <w:r w:rsidRPr="00BD5403">
              <w:rPr>
                <w:highlight w:val="yellow"/>
              </w:rPr>
              <w:t>2.4</w:t>
            </w:r>
          </w:p>
        </w:tc>
        <w:tc>
          <w:tcPr>
            <w:tcW w:w="526" w:type="pct"/>
          </w:tcPr>
          <w:p w14:paraId="368D736A" w14:textId="72B90435" w:rsidR="006F75C7" w:rsidRPr="00D95196" w:rsidRDefault="006F75C7" w:rsidP="006F75C7">
            <w:pPr>
              <w:pStyle w:val="TableText"/>
              <w:rPr>
                <w:highlight w:val="yellow"/>
              </w:rPr>
            </w:pPr>
            <w:r w:rsidRPr="00BD5403">
              <w:rPr>
                <w:highlight w:val="yellow"/>
              </w:rPr>
              <w:t>2.2</w:t>
            </w:r>
          </w:p>
        </w:tc>
        <w:tc>
          <w:tcPr>
            <w:tcW w:w="521" w:type="pct"/>
          </w:tcPr>
          <w:p w14:paraId="6B918D3C" w14:textId="30F2BF72" w:rsidR="006F75C7" w:rsidRPr="00D95196" w:rsidRDefault="006F75C7" w:rsidP="006F75C7">
            <w:pPr>
              <w:pStyle w:val="TableText"/>
              <w:rPr>
                <w:highlight w:val="yellow"/>
              </w:rPr>
            </w:pPr>
            <w:r w:rsidRPr="00BD5403">
              <w:rPr>
                <w:highlight w:val="yellow"/>
              </w:rPr>
              <w:t>2.1</w:t>
            </w:r>
          </w:p>
        </w:tc>
      </w:tr>
      <w:tr w:rsidR="001C1112" w:rsidRPr="00C47C08" w14:paraId="0A590A75" w14:textId="77777777" w:rsidTr="001C1112">
        <w:trPr>
          <w:jc w:val="center"/>
        </w:trPr>
        <w:tc>
          <w:tcPr>
            <w:tcW w:w="5000" w:type="pct"/>
            <w:gridSpan w:val="6"/>
            <w:shd w:val="clear" w:color="auto" w:fill="D9D9D9" w:themeFill="background1" w:themeFillShade="D9"/>
            <w:noWrap/>
            <w:vAlign w:val="bottom"/>
          </w:tcPr>
          <w:p w14:paraId="51C2FC78" w14:textId="77777777" w:rsidR="001C1112" w:rsidRDefault="001C1112" w:rsidP="001C1112">
            <w:pPr>
              <w:pStyle w:val="TableSource"/>
            </w:pPr>
            <w:r w:rsidRPr="00C47C08">
              <w:t>Notes:</w:t>
            </w:r>
            <w:r>
              <w:t xml:space="preserve"> L2 = Level 2, DC = direct current, MT CO</w:t>
            </w:r>
            <w:r w:rsidRPr="00B21713">
              <w:rPr>
                <w:vertAlign w:val="subscript"/>
              </w:rPr>
              <w:t>2</w:t>
            </w:r>
            <w:r>
              <w:t xml:space="preserve"> = metric tons of carbon dioxide</w:t>
            </w:r>
          </w:p>
          <w:p w14:paraId="405C6ED8" w14:textId="77777777" w:rsidR="001C1112" w:rsidRPr="00B21713" w:rsidRDefault="001C1112" w:rsidP="001C1112">
            <w:pPr>
              <w:pStyle w:val="TableSource"/>
            </w:pPr>
            <w:r w:rsidRPr="00B21713">
              <w:rPr>
                <w:vertAlign w:val="superscript"/>
              </w:rPr>
              <w:t>1</w:t>
            </w:r>
            <w:r>
              <w:rPr>
                <w:vertAlign w:val="superscript"/>
              </w:rPr>
              <w:t xml:space="preserve"> </w:t>
            </w:r>
            <w:r>
              <w:t>Relative to EMFAC2017 Forecasts</w:t>
            </w:r>
          </w:p>
          <w:p w14:paraId="351539D9" w14:textId="563C73A8" w:rsidR="001C1112" w:rsidRPr="00C47C08" w:rsidRDefault="001C1112" w:rsidP="001C1112">
            <w:pPr>
              <w:pStyle w:val="TableSource"/>
            </w:pPr>
            <w:r>
              <w:t>Source: Modeled by Ascent Environmental in 2018</w:t>
            </w:r>
          </w:p>
        </w:tc>
      </w:tr>
    </w:tbl>
    <w:p w14:paraId="07D5BBCC" w14:textId="182C7943" w:rsidR="00A61BDE" w:rsidRDefault="001C1112" w:rsidP="0005718F">
      <w:pPr>
        <w:pStyle w:val="Heading5"/>
      </w:pPr>
      <w:r>
        <w:rPr>
          <w:rFonts w:ascii="Segoe UI Semilight" w:eastAsia="Times New Roman" w:hAnsi="Segoe UI Semilight" w:cs="Times New Roman"/>
          <w:spacing w:val="0"/>
          <w:sz w:val="22"/>
          <w:szCs w:val="24"/>
        </w:rPr>
        <w:lastRenderedPageBreak/>
        <w:t xml:space="preserve">Implementation of SANDAG’s </w:t>
      </w:r>
      <w:r w:rsidR="00196062">
        <w:rPr>
          <w:rFonts w:ascii="Segoe UI Semilight" w:eastAsia="Times New Roman" w:hAnsi="Segoe UI Semilight" w:cs="Times New Roman"/>
          <w:spacing w:val="0"/>
          <w:sz w:val="22"/>
          <w:szCs w:val="24"/>
        </w:rPr>
        <w:t>VIP</w:t>
      </w:r>
      <w:r>
        <w:rPr>
          <w:rFonts w:ascii="Segoe UI Semilight" w:eastAsia="Times New Roman" w:hAnsi="Segoe UI Semilight" w:cs="Times New Roman"/>
          <w:spacing w:val="0"/>
          <w:sz w:val="22"/>
          <w:szCs w:val="24"/>
        </w:rPr>
        <w:t xml:space="preserve"> would reduce emissions b</w:t>
      </w:r>
      <w:r w:rsidRPr="0005718F">
        <w:rPr>
          <w:rFonts w:ascii="Segoe UI Semilight" w:eastAsia="Times New Roman" w:hAnsi="Segoe UI Semilight" w:cs="Times New Roman"/>
          <w:spacing w:val="0"/>
          <w:sz w:val="22"/>
          <w:szCs w:val="24"/>
          <w:highlight w:val="yellow"/>
        </w:rPr>
        <w:t xml:space="preserve">y </w:t>
      </w:r>
      <w:r w:rsidR="006F75C7" w:rsidRPr="0005718F">
        <w:rPr>
          <w:rFonts w:ascii="Segoe UI Semilight" w:eastAsia="Times New Roman" w:hAnsi="Segoe UI Semilight" w:cs="Times New Roman"/>
          <w:spacing w:val="0"/>
          <w:sz w:val="22"/>
          <w:szCs w:val="24"/>
          <w:highlight w:val="yellow"/>
        </w:rPr>
        <w:t>76,879</w:t>
      </w:r>
      <w:r w:rsidRPr="0005718F">
        <w:rPr>
          <w:rFonts w:ascii="Segoe UI Semilight" w:eastAsia="Times New Roman" w:hAnsi="Segoe UI Semilight" w:cs="Times New Roman"/>
          <w:spacing w:val="0"/>
          <w:sz w:val="22"/>
          <w:szCs w:val="24"/>
          <w:highlight w:val="yellow"/>
        </w:rPr>
        <w:t xml:space="preserve"> MT CO</w:t>
      </w:r>
      <w:r w:rsidRPr="0005718F">
        <w:rPr>
          <w:rFonts w:ascii="Segoe UI Semilight" w:eastAsia="Times New Roman" w:hAnsi="Segoe UI Semilight" w:cs="Times New Roman"/>
          <w:spacing w:val="0"/>
          <w:sz w:val="22"/>
          <w:szCs w:val="24"/>
          <w:highlight w:val="yellow"/>
          <w:vertAlign w:val="subscript"/>
        </w:rPr>
        <w:t>2</w:t>
      </w:r>
      <w:r w:rsidRPr="0005718F">
        <w:rPr>
          <w:rFonts w:ascii="Segoe UI Semilight" w:eastAsia="Times New Roman" w:hAnsi="Segoe UI Semilight" w:cs="Times New Roman"/>
          <w:spacing w:val="0"/>
          <w:sz w:val="22"/>
          <w:szCs w:val="24"/>
          <w:highlight w:val="yellow"/>
        </w:rPr>
        <w:t xml:space="preserve"> </w:t>
      </w:r>
      <w:r w:rsidR="00DB2788">
        <w:rPr>
          <w:rFonts w:ascii="Segoe UI Semilight" w:eastAsia="Times New Roman" w:hAnsi="Segoe UI Semilight" w:cs="Times New Roman"/>
          <w:spacing w:val="0"/>
          <w:sz w:val="22"/>
          <w:szCs w:val="24"/>
          <w:highlight w:val="yellow"/>
        </w:rPr>
        <w:t>in</w:t>
      </w:r>
      <w:r w:rsidRPr="0005718F">
        <w:rPr>
          <w:rFonts w:ascii="Segoe UI Semilight" w:eastAsia="Times New Roman" w:hAnsi="Segoe UI Semilight" w:cs="Times New Roman"/>
          <w:spacing w:val="0"/>
          <w:sz w:val="22"/>
          <w:szCs w:val="24"/>
          <w:highlight w:val="yellow"/>
        </w:rPr>
        <w:t xml:space="preserve"> 2030 and </w:t>
      </w:r>
      <w:r w:rsidR="006F75C7" w:rsidRPr="0005718F">
        <w:rPr>
          <w:rFonts w:ascii="Segoe UI Semilight" w:eastAsia="Times New Roman" w:hAnsi="Segoe UI Semilight" w:cs="Times New Roman"/>
          <w:spacing w:val="0"/>
          <w:sz w:val="22"/>
          <w:szCs w:val="24"/>
          <w:highlight w:val="yellow"/>
        </w:rPr>
        <w:t>183,202</w:t>
      </w:r>
      <w:r>
        <w:rPr>
          <w:rFonts w:ascii="Segoe UI Semilight" w:eastAsia="Times New Roman" w:hAnsi="Segoe UI Semilight" w:cs="Times New Roman"/>
          <w:spacing w:val="0"/>
          <w:sz w:val="22"/>
          <w:szCs w:val="24"/>
        </w:rPr>
        <w:t xml:space="preserve"> MT CO</w:t>
      </w:r>
      <w:r w:rsidRPr="00B21713">
        <w:rPr>
          <w:rFonts w:ascii="Segoe UI Semilight" w:eastAsia="Times New Roman" w:hAnsi="Segoe UI Semilight" w:cs="Times New Roman"/>
          <w:spacing w:val="0"/>
          <w:sz w:val="22"/>
          <w:szCs w:val="24"/>
          <w:vertAlign w:val="subscript"/>
        </w:rPr>
        <w:t>2</w:t>
      </w:r>
      <w:r>
        <w:rPr>
          <w:rFonts w:ascii="Segoe UI Semilight" w:eastAsia="Times New Roman" w:hAnsi="Segoe UI Semilight" w:cs="Times New Roman"/>
          <w:spacing w:val="0"/>
          <w:sz w:val="22"/>
          <w:szCs w:val="24"/>
        </w:rPr>
        <w:t xml:space="preserve"> </w:t>
      </w:r>
      <w:r w:rsidR="00DB2788">
        <w:rPr>
          <w:rFonts w:ascii="Segoe UI Semilight" w:eastAsia="Times New Roman" w:hAnsi="Segoe UI Semilight" w:cs="Times New Roman"/>
          <w:spacing w:val="0"/>
          <w:sz w:val="22"/>
          <w:szCs w:val="24"/>
        </w:rPr>
        <w:t>in</w:t>
      </w:r>
      <w:r>
        <w:rPr>
          <w:rFonts w:ascii="Segoe UI Semilight" w:eastAsia="Times New Roman" w:hAnsi="Segoe UI Semilight" w:cs="Times New Roman"/>
          <w:spacing w:val="0"/>
          <w:sz w:val="22"/>
          <w:szCs w:val="24"/>
        </w:rPr>
        <w:t xml:space="preserve"> 2050 beyond EMFAC2017 forecasts. Thi</w:t>
      </w:r>
      <w:r w:rsidR="006F75C7">
        <w:rPr>
          <w:rFonts w:ascii="Segoe UI Semilight" w:eastAsia="Times New Roman" w:hAnsi="Segoe UI Semilight" w:cs="Times New Roman"/>
          <w:spacing w:val="0"/>
          <w:sz w:val="22"/>
          <w:szCs w:val="24"/>
        </w:rPr>
        <w:t xml:space="preserve">s would result from incentivizing up to nearly </w:t>
      </w:r>
      <w:r w:rsidR="006F75C7" w:rsidRPr="00931B6D">
        <w:rPr>
          <w:rFonts w:ascii="Segoe UI Semilight" w:eastAsia="Times New Roman" w:hAnsi="Segoe UI Semilight" w:cs="Times New Roman"/>
          <w:spacing w:val="0"/>
          <w:sz w:val="22"/>
          <w:szCs w:val="24"/>
          <w:highlight w:val="yellow"/>
        </w:rPr>
        <w:t>87,000</w:t>
      </w:r>
      <w:r w:rsidR="006F75C7">
        <w:rPr>
          <w:rFonts w:ascii="Segoe UI Semilight" w:eastAsia="Times New Roman" w:hAnsi="Segoe UI Semilight" w:cs="Times New Roman"/>
          <w:spacing w:val="0"/>
          <w:sz w:val="22"/>
          <w:szCs w:val="24"/>
        </w:rPr>
        <w:t xml:space="preserve"> PEVs by 2050.</w:t>
      </w:r>
      <w:r>
        <w:rPr>
          <w:rFonts w:ascii="Segoe UI Semilight" w:eastAsia="Times New Roman" w:hAnsi="Segoe UI Semilight" w:cs="Times New Roman"/>
          <w:spacing w:val="0"/>
          <w:sz w:val="22"/>
          <w:szCs w:val="24"/>
        </w:rPr>
        <w:t xml:space="preserve">  Based on the </w:t>
      </w:r>
      <w:r w:rsidR="006F75C7">
        <w:rPr>
          <w:rFonts w:ascii="Segoe UI Semilight" w:eastAsia="Times New Roman" w:hAnsi="Segoe UI Semilight" w:cs="Times New Roman"/>
          <w:spacing w:val="0"/>
          <w:sz w:val="22"/>
          <w:szCs w:val="24"/>
        </w:rPr>
        <w:t>vehicle incentive costs shown in Table 7</w:t>
      </w:r>
      <w:r>
        <w:rPr>
          <w:rFonts w:ascii="Segoe UI Semilight" w:eastAsia="Times New Roman" w:hAnsi="Segoe UI Semilight" w:cs="Times New Roman"/>
          <w:spacing w:val="0"/>
          <w:sz w:val="22"/>
          <w:szCs w:val="24"/>
        </w:rPr>
        <w:t xml:space="preserve">, implementation of the </w:t>
      </w:r>
      <w:r w:rsidR="00196062">
        <w:rPr>
          <w:rFonts w:ascii="Segoe UI Semilight" w:eastAsia="Times New Roman" w:hAnsi="Segoe UI Semilight" w:cs="Times New Roman"/>
          <w:spacing w:val="0"/>
          <w:sz w:val="22"/>
          <w:szCs w:val="24"/>
        </w:rPr>
        <w:t>VIP</w:t>
      </w:r>
      <w:r>
        <w:rPr>
          <w:rFonts w:ascii="Segoe UI Semilight" w:eastAsia="Times New Roman" w:hAnsi="Segoe UI Semilight" w:cs="Times New Roman"/>
          <w:spacing w:val="0"/>
          <w:sz w:val="22"/>
          <w:szCs w:val="24"/>
        </w:rPr>
        <w:t xml:space="preserve"> would require a total of </w:t>
      </w:r>
      <w:r w:rsidRPr="00931B6D">
        <w:rPr>
          <w:rFonts w:ascii="Segoe UI Semilight" w:eastAsia="Times New Roman" w:hAnsi="Segoe UI Semilight" w:cs="Times New Roman"/>
          <w:spacing w:val="0"/>
          <w:sz w:val="22"/>
          <w:szCs w:val="24"/>
          <w:highlight w:val="yellow"/>
        </w:rPr>
        <w:t>$</w:t>
      </w:r>
      <w:r w:rsidR="006F75C7" w:rsidRPr="00931B6D">
        <w:rPr>
          <w:rFonts w:ascii="Segoe UI Semilight" w:eastAsia="Times New Roman" w:hAnsi="Segoe UI Semilight" w:cs="Times New Roman"/>
          <w:spacing w:val="0"/>
          <w:sz w:val="22"/>
          <w:szCs w:val="24"/>
          <w:highlight w:val="yellow"/>
        </w:rPr>
        <w:t>104</w:t>
      </w:r>
      <w:r w:rsidRPr="00931B6D">
        <w:rPr>
          <w:rFonts w:ascii="Segoe UI Semilight" w:eastAsia="Times New Roman" w:hAnsi="Segoe UI Semilight" w:cs="Times New Roman"/>
          <w:spacing w:val="0"/>
          <w:sz w:val="22"/>
          <w:szCs w:val="24"/>
          <w:highlight w:val="yellow"/>
        </w:rPr>
        <w:t xml:space="preserve"> million</w:t>
      </w:r>
      <w:r>
        <w:rPr>
          <w:rFonts w:ascii="Segoe UI Semilight" w:eastAsia="Times New Roman" w:hAnsi="Segoe UI Semilight" w:cs="Times New Roman"/>
          <w:spacing w:val="0"/>
          <w:sz w:val="22"/>
          <w:szCs w:val="24"/>
        </w:rPr>
        <w:t xml:space="preserve"> in funding by 2050. </w:t>
      </w:r>
    </w:p>
    <w:p w14:paraId="7754B0D0" w14:textId="5EB64475" w:rsidR="00FD3EDC" w:rsidRPr="005365D1" w:rsidRDefault="002C6CB3" w:rsidP="0005718F">
      <w:pPr>
        <w:pStyle w:val="Heading6"/>
      </w:pPr>
      <w:r>
        <w:t>Both Programs</w:t>
      </w:r>
    </w:p>
    <w:p w14:paraId="19C400E8" w14:textId="6C51EFDA" w:rsidR="001114A4" w:rsidRDefault="00A51460" w:rsidP="006C061E">
      <w:pPr>
        <w:pStyle w:val="BodyText"/>
      </w:pPr>
      <w:r>
        <w:t xml:space="preserve">As shown in Tables 9 and 10, </w:t>
      </w:r>
      <w:r w:rsidR="00D95196">
        <w:t>implementation of</w:t>
      </w:r>
      <w:r w:rsidR="00123E41">
        <w:t xml:space="preserve"> </w:t>
      </w:r>
      <w:r w:rsidR="001114A4">
        <w:t xml:space="preserve">both programs would result in a reduction of </w:t>
      </w:r>
      <w:r w:rsidR="001114A4" w:rsidRPr="0005718F">
        <w:rPr>
          <w:highlight w:val="yellow"/>
        </w:rPr>
        <w:t>140,230 MTCO</w:t>
      </w:r>
      <w:r w:rsidR="001114A4" w:rsidRPr="00BD5403">
        <w:rPr>
          <w:highlight w:val="yellow"/>
          <w:vertAlign w:val="subscript"/>
        </w:rPr>
        <w:t>2</w:t>
      </w:r>
      <w:r w:rsidR="001114A4" w:rsidRPr="0005718F">
        <w:rPr>
          <w:highlight w:val="yellow"/>
        </w:rPr>
        <w:t xml:space="preserve"> </w:t>
      </w:r>
      <w:r w:rsidR="00DB2788">
        <w:rPr>
          <w:highlight w:val="yellow"/>
        </w:rPr>
        <w:t>in</w:t>
      </w:r>
      <w:r w:rsidR="001114A4" w:rsidRPr="0005718F">
        <w:rPr>
          <w:highlight w:val="yellow"/>
        </w:rPr>
        <w:t xml:space="preserve"> 2030 and 318,368 MT CO</w:t>
      </w:r>
      <w:r w:rsidR="001114A4" w:rsidRPr="00BD5403">
        <w:rPr>
          <w:highlight w:val="yellow"/>
          <w:vertAlign w:val="subscript"/>
        </w:rPr>
        <w:t>2</w:t>
      </w:r>
      <w:r w:rsidR="001114A4" w:rsidRPr="0005718F">
        <w:rPr>
          <w:highlight w:val="yellow"/>
        </w:rPr>
        <w:t xml:space="preserve"> </w:t>
      </w:r>
      <w:r w:rsidR="00DB2788">
        <w:rPr>
          <w:highlight w:val="yellow"/>
        </w:rPr>
        <w:t>in</w:t>
      </w:r>
      <w:r w:rsidR="001114A4" w:rsidRPr="0005718F">
        <w:rPr>
          <w:highlight w:val="yellow"/>
        </w:rPr>
        <w:t xml:space="preserve"> </w:t>
      </w:r>
      <w:r w:rsidRPr="0005718F">
        <w:rPr>
          <w:highlight w:val="yellow"/>
        </w:rPr>
        <w:t xml:space="preserve">2050 beyond EMFAC2017 forecasts. Implementation of both programs would cost </w:t>
      </w:r>
      <w:r w:rsidR="00DB2788">
        <w:rPr>
          <w:highlight w:val="yellow"/>
        </w:rPr>
        <w:t>approximately</w:t>
      </w:r>
      <w:r w:rsidRPr="0005718F">
        <w:rPr>
          <w:highlight w:val="yellow"/>
        </w:rPr>
        <w:t xml:space="preserve"> $117 million by 2050. </w:t>
      </w:r>
      <w:commentRangeStart w:id="4"/>
      <w:r w:rsidRPr="0005718F">
        <w:rPr>
          <w:highlight w:val="yellow"/>
        </w:rPr>
        <w:t xml:space="preserve">While the RECP is more cost effective in terms of GHG reductions compared to the </w:t>
      </w:r>
      <w:r w:rsidR="00196062">
        <w:rPr>
          <w:highlight w:val="yellow"/>
        </w:rPr>
        <w:t>VIP</w:t>
      </w:r>
      <w:r w:rsidRPr="0005718F">
        <w:rPr>
          <w:highlight w:val="yellow"/>
        </w:rPr>
        <w:t>, as shown in Tables 5 and 8….</w:t>
      </w:r>
      <w:commentRangeEnd w:id="4"/>
      <w:r w:rsidRPr="006825F3">
        <w:rPr>
          <w:rStyle w:val="CommentReference"/>
          <w:highlight w:val="yellow"/>
        </w:rPr>
        <w:commentReference w:id="4"/>
      </w:r>
    </w:p>
    <w:p w14:paraId="4BBC3C6B" w14:textId="77777777" w:rsidR="001114A4" w:rsidRDefault="001114A4" w:rsidP="006C061E">
      <w:pPr>
        <w:pStyle w:val="BodyText"/>
      </w:pPr>
    </w:p>
    <w:tbl>
      <w:tblPr>
        <w:tblW w:w="5000" w:type="pct"/>
        <w:jc w:val="center"/>
        <w:tblBorders>
          <w:insideH w:val="single" w:sz="4" w:space="0" w:color="auto"/>
          <w:insideV w:val="single" w:sz="4" w:space="0" w:color="auto"/>
        </w:tblBorders>
        <w:tblCellMar>
          <w:top w:w="43" w:type="dxa"/>
          <w:left w:w="115" w:type="dxa"/>
          <w:bottom w:w="43" w:type="dxa"/>
          <w:right w:w="115" w:type="dxa"/>
        </w:tblCellMar>
        <w:tblLook w:val="04A0" w:firstRow="1" w:lastRow="0" w:firstColumn="1" w:lastColumn="0" w:noHBand="0" w:noVBand="1"/>
      </w:tblPr>
      <w:tblGrid>
        <w:gridCol w:w="4789"/>
        <w:gridCol w:w="1061"/>
        <w:gridCol w:w="1060"/>
        <w:gridCol w:w="1060"/>
        <w:gridCol w:w="1060"/>
        <w:gridCol w:w="1050"/>
      </w:tblGrid>
      <w:tr w:rsidR="001114A4" w:rsidRPr="00B42715" w14:paraId="71A82985" w14:textId="77777777" w:rsidTr="005365D1">
        <w:trPr>
          <w:tblHeader/>
          <w:jc w:val="center"/>
        </w:trPr>
        <w:tc>
          <w:tcPr>
            <w:tcW w:w="5000" w:type="pct"/>
            <w:gridSpan w:val="6"/>
            <w:shd w:val="clear" w:color="auto" w:fill="auto"/>
            <w:noWrap/>
            <w:vAlign w:val="bottom"/>
          </w:tcPr>
          <w:p w14:paraId="0F66B130" w14:textId="170D9C9F" w:rsidR="001114A4" w:rsidRDefault="001114A4" w:rsidP="005365D1">
            <w:pPr>
              <w:pStyle w:val="TableHeader"/>
            </w:pPr>
            <w:r>
              <w:br w:type="page"/>
            </w:r>
            <w:r>
              <w:rPr>
                <w:color w:val="000000"/>
                <w:szCs w:val="16"/>
              </w:rPr>
              <w:br w:type="page"/>
            </w:r>
            <w:r>
              <w:t>Table 9</w:t>
            </w:r>
            <w:r w:rsidRPr="00823EF7">
              <w:tab/>
            </w:r>
            <w:r>
              <w:t xml:space="preserve">Electric Vehicle Program Cumulative Costs </w:t>
            </w:r>
          </w:p>
        </w:tc>
      </w:tr>
      <w:tr w:rsidR="001114A4" w:rsidRPr="00B42715" w14:paraId="3D145A07" w14:textId="77777777" w:rsidTr="005365D1">
        <w:trPr>
          <w:trHeight w:val="289"/>
          <w:jc w:val="center"/>
        </w:trPr>
        <w:tc>
          <w:tcPr>
            <w:tcW w:w="2375" w:type="pct"/>
            <w:shd w:val="clear" w:color="auto" w:fill="D9D9D9" w:themeFill="background1" w:themeFillShade="D9"/>
            <w:noWrap/>
            <w:vAlign w:val="center"/>
            <w:hideMark/>
          </w:tcPr>
          <w:p w14:paraId="5B4DBE2A" w14:textId="77777777" w:rsidR="001114A4" w:rsidRPr="00B42715" w:rsidRDefault="001114A4" w:rsidP="005365D1">
            <w:pPr>
              <w:pStyle w:val="TableColumn"/>
            </w:pPr>
          </w:p>
        </w:tc>
        <w:tc>
          <w:tcPr>
            <w:tcW w:w="526" w:type="pct"/>
            <w:shd w:val="clear" w:color="auto" w:fill="D9D9D9" w:themeFill="background1" w:themeFillShade="D9"/>
            <w:noWrap/>
            <w:hideMark/>
          </w:tcPr>
          <w:p w14:paraId="50852BFF" w14:textId="77777777" w:rsidR="001114A4" w:rsidRPr="009D1578" w:rsidRDefault="001114A4" w:rsidP="005365D1">
            <w:pPr>
              <w:pStyle w:val="TableColumn"/>
            </w:pPr>
            <w:r w:rsidRPr="000B50FC">
              <w:t>2020</w:t>
            </w:r>
          </w:p>
        </w:tc>
        <w:tc>
          <w:tcPr>
            <w:tcW w:w="526" w:type="pct"/>
            <w:shd w:val="clear" w:color="auto" w:fill="D9D9D9" w:themeFill="background1" w:themeFillShade="D9"/>
            <w:noWrap/>
            <w:hideMark/>
          </w:tcPr>
          <w:p w14:paraId="1FF5AE34" w14:textId="77777777" w:rsidR="001114A4" w:rsidRPr="009D1578" w:rsidRDefault="001114A4" w:rsidP="005365D1">
            <w:pPr>
              <w:pStyle w:val="TableColumn"/>
            </w:pPr>
            <w:r w:rsidRPr="000B50FC">
              <w:t>2025</w:t>
            </w:r>
          </w:p>
        </w:tc>
        <w:tc>
          <w:tcPr>
            <w:tcW w:w="526" w:type="pct"/>
            <w:shd w:val="clear" w:color="auto" w:fill="D9D9D9" w:themeFill="background1" w:themeFillShade="D9"/>
            <w:noWrap/>
            <w:hideMark/>
          </w:tcPr>
          <w:p w14:paraId="2F28CF31" w14:textId="77777777" w:rsidR="001114A4" w:rsidRPr="009D1578" w:rsidRDefault="001114A4" w:rsidP="005365D1">
            <w:pPr>
              <w:pStyle w:val="TableColumn"/>
              <w:rPr>
                <w:color w:val="000000"/>
              </w:rPr>
            </w:pPr>
            <w:r w:rsidRPr="000B50FC">
              <w:t>2030</w:t>
            </w:r>
          </w:p>
        </w:tc>
        <w:tc>
          <w:tcPr>
            <w:tcW w:w="526" w:type="pct"/>
            <w:shd w:val="clear" w:color="auto" w:fill="D9D9D9" w:themeFill="background1" w:themeFillShade="D9"/>
          </w:tcPr>
          <w:p w14:paraId="4BA15D85" w14:textId="77777777" w:rsidR="001114A4" w:rsidRPr="00F93031" w:rsidRDefault="001114A4" w:rsidP="005365D1">
            <w:pPr>
              <w:pStyle w:val="TableColumn"/>
            </w:pPr>
            <w:r w:rsidRPr="000B50FC">
              <w:t>2035</w:t>
            </w:r>
          </w:p>
        </w:tc>
        <w:tc>
          <w:tcPr>
            <w:tcW w:w="521" w:type="pct"/>
            <w:shd w:val="clear" w:color="auto" w:fill="D9D9D9" w:themeFill="background1" w:themeFillShade="D9"/>
          </w:tcPr>
          <w:p w14:paraId="088DA58A" w14:textId="77777777" w:rsidR="001114A4" w:rsidRPr="00F93031" w:rsidRDefault="001114A4" w:rsidP="005365D1">
            <w:pPr>
              <w:pStyle w:val="TableColumn"/>
            </w:pPr>
            <w:r w:rsidRPr="000B50FC">
              <w:t>2050</w:t>
            </w:r>
          </w:p>
        </w:tc>
      </w:tr>
      <w:tr w:rsidR="001114A4" w:rsidRPr="002C771F" w14:paraId="732BD775" w14:textId="77777777" w:rsidTr="005365D1">
        <w:trPr>
          <w:jc w:val="center"/>
        </w:trPr>
        <w:tc>
          <w:tcPr>
            <w:tcW w:w="2375" w:type="pct"/>
            <w:shd w:val="clear" w:color="auto" w:fill="auto"/>
          </w:tcPr>
          <w:p w14:paraId="50CE8F8A" w14:textId="5473D828" w:rsidR="001114A4" w:rsidRPr="00832878" w:rsidRDefault="001114A4" w:rsidP="001114A4">
            <w:pPr>
              <w:pStyle w:val="TableTextL"/>
            </w:pPr>
            <w:r>
              <w:t>Regional Electric Charger</w:t>
            </w:r>
            <w:r w:rsidRPr="00A14952">
              <w:t xml:space="preserve"> Program</w:t>
            </w:r>
          </w:p>
        </w:tc>
        <w:tc>
          <w:tcPr>
            <w:tcW w:w="526" w:type="pct"/>
            <w:shd w:val="clear" w:color="auto" w:fill="auto"/>
          </w:tcPr>
          <w:p w14:paraId="1F658889" w14:textId="0EEF4AE3" w:rsidR="001114A4" w:rsidRPr="00D95196" w:rsidRDefault="001114A4" w:rsidP="001114A4">
            <w:pPr>
              <w:pStyle w:val="TableText"/>
              <w:rPr>
                <w:highlight w:val="yellow"/>
              </w:rPr>
            </w:pPr>
            <w:r w:rsidRPr="006825F3">
              <w:rPr>
                <w:highlight w:val="yellow"/>
              </w:rPr>
              <w:t xml:space="preserve"> $700,000 </w:t>
            </w:r>
          </w:p>
        </w:tc>
        <w:tc>
          <w:tcPr>
            <w:tcW w:w="526" w:type="pct"/>
            <w:shd w:val="clear" w:color="auto" w:fill="auto"/>
          </w:tcPr>
          <w:p w14:paraId="1533BCB9" w14:textId="0246F634" w:rsidR="001114A4" w:rsidRPr="00D95196" w:rsidRDefault="001114A4" w:rsidP="001114A4">
            <w:pPr>
              <w:pStyle w:val="TableText"/>
              <w:rPr>
                <w:highlight w:val="yellow"/>
              </w:rPr>
            </w:pPr>
            <w:r w:rsidRPr="006825F3">
              <w:rPr>
                <w:highlight w:val="yellow"/>
              </w:rPr>
              <w:t xml:space="preserve"> $2,500,000 </w:t>
            </w:r>
          </w:p>
        </w:tc>
        <w:tc>
          <w:tcPr>
            <w:tcW w:w="526" w:type="pct"/>
            <w:shd w:val="clear" w:color="auto" w:fill="auto"/>
            <w:noWrap/>
          </w:tcPr>
          <w:p w14:paraId="7CDBCD96" w14:textId="331FF920" w:rsidR="001114A4" w:rsidRPr="00D95196" w:rsidRDefault="001114A4" w:rsidP="001114A4">
            <w:pPr>
              <w:pStyle w:val="TableText"/>
              <w:rPr>
                <w:highlight w:val="yellow"/>
              </w:rPr>
            </w:pPr>
            <w:r w:rsidRPr="006825F3">
              <w:rPr>
                <w:highlight w:val="yellow"/>
              </w:rPr>
              <w:t xml:space="preserve"> $4,600,000 </w:t>
            </w:r>
          </w:p>
        </w:tc>
        <w:tc>
          <w:tcPr>
            <w:tcW w:w="526" w:type="pct"/>
          </w:tcPr>
          <w:p w14:paraId="176ADF2B" w14:textId="14E9996C" w:rsidR="001114A4" w:rsidRPr="00D95196" w:rsidRDefault="001114A4" w:rsidP="001114A4">
            <w:pPr>
              <w:pStyle w:val="TableText"/>
              <w:rPr>
                <w:highlight w:val="yellow"/>
              </w:rPr>
            </w:pPr>
            <w:r w:rsidRPr="006825F3">
              <w:rPr>
                <w:highlight w:val="yellow"/>
              </w:rPr>
              <w:t xml:space="preserve"> $6,700,000 </w:t>
            </w:r>
          </w:p>
        </w:tc>
        <w:tc>
          <w:tcPr>
            <w:tcW w:w="521" w:type="pct"/>
          </w:tcPr>
          <w:p w14:paraId="7A0028D8" w14:textId="48FD36DB" w:rsidR="001114A4" w:rsidRPr="00D95196" w:rsidRDefault="001114A4" w:rsidP="001114A4">
            <w:pPr>
              <w:pStyle w:val="TableText"/>
              <w:rPr>
                <w:highlight w:val="yellow"/>
              </w:rPr>
            </w:pPr>
            <w:r w:rsidRPr="006825F3">
              <w:rPr>
                <w:highlight w:val="yellow"/>
              </w:rPr>
              <w:t xml:space="preserve"> $12,700,000 </w:t>
            </w:r>
          </w:p>
        </w:tc>
      </w:tr>
      <w:tr w:rsidR="001114A4" w:rsidRPr="002C771F" w14:paraId="60DEFC2E" w14:textId="77777777" w:rsidTr="005365D1">
        <w:trPr>
          <w:jc w:val="center"/>
        </w:trPr>
        <w:tc>
          <w:tcPr>
            <w:tcW w:w="2375" w:type="pct"/>
            <w:shd w:val="clear" w:color="auto" w:fill="auto"/>
          </w:tcPr>
          <w:p w14:paraId="73F5A068" w14:textId="3AA78B3C" w:rsidR="001114A4" w:rsidRPr="00832878" w:rsidRDefault="001114A4" w:rsidP="001114A4">
            <w:pPr>
              <w:pStyle w:val="TableTextL"/>
            </w:pPr>
            <w:r w:rsidRPr="00A14952">
              <w:t>Vehicle Incentive</w:t>
            </w:r>
            <w:r>
              <w:t xml:space="preserve"> Program</w:t>
            </w:r>
          </w:p>
        </w:tc>
        <w:tc>
          <w:tcPr>
            <w:tcW w:w="526" w:type="pct"/>
            <w:shd w:val="clear" w:color="auto" w:fill="auto"/>
          </w:tcPr>
          <w:p w14:paraId="3117AE31" w14:textId="352E4128" w:rsidR="001114A4" w:rsidRPr="00D95196" w:rsidRDefault="001114A4" w:rsidP="001114A4">
            <w:pPr>
              <w:pStyle w:val="TableText"/>
              <w:rPr>
                <w:highlight w:val="yellow"/>
              </w:rPr>
            </w:pPr>
            <w:r w:rsidRPr="006825F3">
              <w:rPr>
                <w:highlight w:val="yellow"/>
              </w:rPr>
              <w:t xml:space="preserve"> $14,900,000 </w:t>
            </w:r>
          </w:p>
        </w:tc>
        <w:tc>
          <w:tcPr>
            <w:tcW w:w="526" w:type="pct"/>
            <w:shd w:val="clear" w:color="auto" w:fill="auto"/>
          </w:tcPr>
          <w:p w14:paraId="748263BE" w14:textId="2234FBFD" w:rsidR="001114A4" w:rsidRPr="00D95196" w:rsidRDefault="001114A4" w:rsidP="001114A4">
            <w:pPr>
              <w:pStyle w:val="TableText"/>
              <w:rPr>
                <w:highlight w:val="yellow"/>
              </w:rPr>
            </w:pPr>
            <w:r w:rsidRPr="006825F3">
              <w:rPr>
                <w:highlight w:val="yellow"/>
              </w:rPr>
              <w:t xml:space="preserve"> $24,200,000 </w:t>
            </w:r>
          </w:p>
        </w:tc>
        <w:tc>
          <w:tcPr>
            <w:tcW w:w="526" w:type="pct"/>
            <w:shd w:val="clear" w:color="auto" w:fill="auto"/>
            <w:noWrap/>
          </w:tcPr>
          <w:p w14:paraId="493956FA" w14:textId="4149BA62" w:rsidR="001114A4" w:rsidRPr="00D95196" w:rsidRDefault="001114A4" w:rsidP="001114A4">
            <w:pPr>
              <w:pStyle w:val="TableText"/>
              <w:rPr>
                <w:highlight w:val="yellow"/>
              </w:rPr>
            </w:pPr>
            <w:r w:rsidRPr="006825F3">
              <w:rPr>
                <w:highlight w:val="yellow"/>
              </w:rPr>
              <w:t xml:space="preserve"> $28,900,000 </w:t>
            </w:r>
          </w:p>
        </w:tc>
        <w:tc>
          <w:tcPr>
            <w:tcW w:w="526" w:type="pct"/>
          </w:tcPr>
          <w:p w14:paraId="37CA7E7A" w14:textId="000E8238" w:rsidR="001114A4" w:rsidRPr="00D95196" w:rsidRDefault="001114A4" w:rsidP="001114A4">
            <w:pPr>
              <w:pStyle w:val="TableText"/>
              <w:rPr>
                <w:highlight w:val="yellow"/>
              </w:rPr>
            </w:pPr>
            <w:r w:rsidRPr="006825F3">
              <w:rPr>
                <w:highlight w:val="yellow"/>
              </w:rPr>
              <w:t xml:space="preserve"> $38,100,000 </w:t>
            </w:r>
          </w:p>
        </w:tc>
        <w:tc>
          <w:tcPr>
            <w:tcW w:w="521" w:type="pct"/>
          </w:tcPr>
          <w:p w14:paraId="6E62D700" w14:textId="0FF29643" w:rsidR="001114A4" w:rsidRPr="00D95196" w:rsidRDefault="001114A4" w:rsidP="001114A4">
            <w:pPr>
              <w:pStyle w:val="TableText"/>
              <w:rPr>
                <w:highlight w:val="yellow"/>
              </w:rPr>
            </w:pPr>
            <w:r>
              <w:rPr>
                <w:highlight w:val="yellow"/>
              </w:rPr>
              <w:t>$</w:t>
            </w:r>
            <w:r w:rsidRPr="006825F3">
              <w:rPr>
                <w:highlight w:val="yellow"/>
              </w:rPr>
              <w:t xml:space="preserve">104,100,000 </w:t>
            </w:r>
          </w:p>
        </w:tc>
      </w:tr>
      <w:tr w:rsidR="001114A4" w:rsidRPr="002C771F" w14:paraId="07EA6272" w14:textId="77777777" w:rsidTr="005365D1">
        <w:trPr>
          <w:jc w:val="center"/>
        </w:trPr>
        <w:tc>
          <w:tcPr>
            <w:tcW w:w="2375" w:type="pct"/>
            <w:shd w:val="clear" w:color="auto" w:fill="auto"/>
          </w:tcPr>
          <w:p w14:paraId="657D612D" w14:textId="02076388" w:rsidR="001114A4" w:rsidRPr="00832878" w:rsidRDefault="001114A4" w:rsidP="001114A4">
            <w:pPr>
              <w:pStyle w:val="TableTextL"/>
            </w:pPr>
            <w:r w:rsidRPr="00A14952">
              <w:t>Total Cumulative Cost</w:t>
            </w:r>
          </w:p>
        </w:tc>
        <w:tc>
          <w:tcPr>
            <w:tcW w:w="526" w:type="pct"/>
            <w:shd w:val="clear" w:color="auto" w:fill="auto"/>
          </w:tcPr>
          <w:p w14:paraId="1605EDD7" w14:textId="22BCECD3" w:rsidR="001114A4" w:rsidRPr="00D95196" w:rsidRDefault="001114A4" w:rsidP="001114A4">
            <w:pPr>
              <w:pStyle w:val="TableText"/>
              <w:rPr>
                <w:highlight w:val="yellow"/>
              </w:rPr>
            </w:pPr>
            <w:r w:rsidRPr="006825F3">
              <w:rPr>
                <w:highlight w:val="yellow"/>
              </w:rPr>
              <w:t xml:space="preserve"> $15,600,000 </w:t>
            </w:r>
          </w:p>
        </w:tc>
        <w:tc>
          <w:tcPr>
            <w:tcW w:w="526" w:type="pct"/>
            <w:shd w:val="clear" w:color="auto" w:fill="auto"/>
          </w:tcPr>
          <w:p w14:paraId="7C82198F" w14:textId="65CE784B" w:rsidR="001114A4" w:rsidRPr="00D95196" w:rsidRDefault="001114A4" w:rsidP="001114A4">
            <w:pPr>
              <w:pStyle w:val="TableText"/>
              <w:rPr>
                <w:highlight w:val="yellow"/>
              </w:rPr>
            </w:pPr>
            <w:r w:rsidRPr="001417C7">
              <w:rPr>
                <w:highlight w:val="yellow"/>
              </w:rPr>
              <w:t xml:space="preserve"> $26,700,000 </w:t>
            </w:r>
          </w:p>
        </w:tc>
        <w:tc>
          <w:tcPr>
            <w:tcW w:w="526" w:type="pct"/>
            <w:shd w:val="clear" w:color="auto" w:fill="auto"/>
            <w:noWrap/>
          </w:tcPr>
          <w:p w14:paraId="261B7597" w14:textId="6D811E8E" w:rsidR="001114A4" w:rsidRPr="00D95196" w:rsidRDefault="001114A4" w:rsidP="001114A4">
            <w:pPr>
              <w:pStyle w:val="TableText"/>
              <w:rPr>
                <w:highlight w:val="yellow"/>
              </w:rPr>
            </w:pPr>
            <w:r w:rsidRPr="001417C7">
              <w:rPr>
                <w:highlight w:val="yellow"/>
              </w:rPr>
              <w:t xml:space="preserve"> $33,500,000 </w:t>
            </w:r>
          </w:p>
        </w:tc>
        <w:tc>
          <w:tcPr>
            <w:tcW w:w="526" w:type="pct"/>
          </w:tcPr>
          <w:p w14:paraId="067AF867" w14:textId="7ADFA99F" w:rsidR="001114A4" w:rsidRPr="00D95196" w:rsidRDefault="001114A4" w:rsidP="001114A4">
            <w:pPr>
              <w:pStyle w:val="TableText"/>
              <w:rPr>
                <w:highlight w:val="yellow"/>
              </w:rPr>
            </w:pPr>
            <w:r w:rsidRPr="006825F3">
              <w:rPr>
                <w:highlight w:val="yellow"/>
              </w:rPr>
              <w:t xml:space="preserve">$44,800,000 </w:t>
            </w:r>
          </w:p>
        </w:tc>
        <w:tc>
          <w:tcPr>
            <w:tcW w:w="521" w:type="pct"/>
          </w:tcPr>
          <w:p w14:paraId="36983307" w14:textId="1A599CC3" w:rsidR="001114A4" w:rsidRPr="00D95196" w:rsidRDefault="001114A4" w:rsidP="001114A4">
            <w:pPr>
              <w:pStyle w:val="TableText"/>
              <w:rPr>
                <w:highlight w:val="yellow"/>
              </w:rPr>
            </w:pPr>
            <w:r w:rsidRPr="006825F3">
              <w:rPr>
                <w:highlight w:val="yellow"/>
              </w:rPr>
              <w:t xml:space="preserve">$116,800,000 </w:t>
            </w:r>
          </w:p>
        </w:tc>
      </w:tr>
      <w:tr w:rsidR="001114A4" w:rsidRPr="00C47C08" w14:paraId="54D08011" w14:textId="77777777" w:rsidTr="005365D1">
        <w:trPr>
          <w:jc w:val="center"/>
        </w:trPr>
        <w:tc>
          <w:tcPr>
            <w:tcW w:w="5000" w:type="pct"/>
            <w:gridSpan w:val="6"/>
            <w:shd w:val="clear" w:color="auto" w:fill="D9D9D9" w:themeFill="background1" w:themeFillShade="D9"/>
            <w:noWrap/>
            <w:vAlign w:val="bottom"/>
          </w:tcPr>
          <w:p w14:paraId="0D21629B" w14:textId="77777777" w:rsidR="001114A4" w:rsidRPr="00C47C08" w:rsidRDefault="001114A4" w:rsidP="005365D1">
            <w:pPr>
              <w:pStyle w:val="TableSource"/>
            </w:pPr>
            <w:r>
              <w:t>Source: Modeled by Ascent Environmental in 2018</w:t>
            </w:r>
          </w:p>
        </w:tc>
      </w:tr>
    </w:tbl>
    <w:p w14:paraId="444A19E4" w14:textId="1BD74A91" w:rsidR="00ED2436" w:rsidRDefault="001114A4" w:rsidP="006C061E">
      <w:pPr>
        <w:pStyle w:val="BodyText"/>
      </w:pPr>
      <w:r w:rsidRPr="00D95196" w:rsidDel="001C1112">
        <w:t xml:space="preserve"> </w:t>
      </w:r>
    </w:p>
    <w:tbl>
      <w:tblPr>
        <w:tblW w:w="5000" w:type="pct"/>
        <w:jc w:val="center"/>
        <w:tblBorders>
          <w:insideH w:val="single" w:sz="4" w:space="0" w:color="auto"/>
          <w:insideV w:val="single" w:sz="4" w:space="0" w:color="auto"/>
        </w:tblBorders>
        <w:tblCellMar>
          <w:top w:w="43" w:type="dxa"/>
          <w:left w:w="115" w:type="dxa"/>
          <w:bottom w:w="43" w:type="dxa"/>
          <w:right w:w="115" w:type="dxa"/>
        </w:tblCellMar>
        <w:tblLook w:val="04A0" w:firstRow="1" w:lastRow="0" w:firstColumn="1" w:lastColumn="0" w:noHBand="0" w:noVBand="1"/>
      </w:tblPr>
      <w:tblGrid>
        <w:gridCol w:w="4789"/>
        <w:gridCol w:w="1061"/>
        <w:gridCol w:w="1060"/>
        <w:gridCol w:w="1060"/>
        <w:gridCol w:w="1060"/>
        <w:gridCol w:w="1050"/>
      </w:tblGrid>
      <w:tr w:rsidR="001114A4" w:rsidRPr="00B42715" w14:paraId="5C287F25" w14:textId="77777777" w:rsidTr="005365D1">
        <w:trPr>
          <w:tblHeader/>
          <w:jc w:val="center"/>
        </w:trPr>
        <w:tc>
          <w:tcPr>
            <w:tcW w:w="5000" w:type="pct"/>
            <w:gridSpan w:val="6"/>
            <w:shd w:val="clear" w:color="auto" w:fill="auto"/>
            <w:noWrap/>
            <w:vAlign w:val="bottom"/>
          </w:tcPr>
          <w:p w14:paraId="6C498963" w14:textId="5B1B6795" w:rsidR="001114A4" w:rsidRDefault="001114A4" w:rsidP="005365D1">
            <w:pPr>
              <w:pStyle w:val="TableHeader"/>
            </w:pPr>
            <w:r>
              <w:br w:type="page"/>
            </w:r>
            <w:r>
              <w:rPr>
                <w:color w:val="000000"/>
                <w:szCs w:val="16"/>
              </w:rPr>
              <w:br w:type="page"/>
            </w:r>
            <w:r>
              <w:t>Table 10</w:t>
            </w:r>
            <w:r w:rsidRPr="00823EF7">
              <w:tab/>
            </w:r>
            <w:r>
              <w:t xml:space="preserve">Electric Vehicle Program Greenhouse Gas Emissions Reductions </w:t>
            </w:r>
          </w:p>
        </w:tc>
      </w:tr>
      <w:tr w:rsidR="001114A4" w:rsidRPr="00B42715" w14:paraId="3BD54BD9" w14:textId="77777777" w:rsidTr="005365D1">
        <w:trPr>
          <w:trHeight w:val="289"/>
          <w:jc w:val="center"/>
        </w:trPr>
        <w:tc>
          <w:tcPr>
            <w:tcW w:w="2375" w:type="pct"/>
            <w:shd w:val="clear" w:color="auto" w:fill="D9D9D9" w:themeFill="background1" w:themeFillShade="D9"/>
            <w:noWrap/>
            <w:vAlign w:val="center"/>
            <w:hideMark/>
          </w:tcPr>
          <w:p w14:paraId="18A282BD" w14:textId="77777777" w:rsidR="001114A4" w:rsidRPr="00B42715" w:rsidRDefault="001114A4" w:rsidP="005365D1">
            <w:pPr>
              <w:pStyle w:val="TableColumn"/>
            </w:pPr>
          </w:p>
        </w:tc>
        <w:tc>
          <w:tcPr>
            <w:tcW w:w="526" w:type="pct"/>
            <w:shd w:val="clear" w:color="auto" w:fill="D9D9D9" w:themeFill="background1" w:themeFillShade="D9"/>
            <w:noWrap/>
            <w:hideMark/>
          </w:tcPr>
          <w:p w14:paraId="2D7E4D66" w14:textId="77777777" w:rsidR="001114A4" w:rsidRPr="009D1578" w:rsidRDefault="001114A4" w:rsidP="005365D1">
            <w:pPr>
              <w:pStyle w:val="TableColumn"/>
            </w:pPr>
            <w:r w:rsidRPr="000B50FC">
              <w:t>2020</w:t>
            </w:r>
          </w:p>
        </w:tc>
        <w:tc>
          <w:tcPr>
            <w:tcW w:w="526" w:type="pct"/>
            <w:shd w:val="clear" w:color="auto" w:fill="D9D9D9" w:themeFill="background1" w:themeFillShade="D9"/>
            <w:noWrap/>
            <w:hideMark/>
          </w:tcPr>
          <w:p w14:paraId="616C197F" w14:textId="77777777" w:rsidR="001114A4" w:rsidRPr="009D1578" w:rsidRDefault="001114A4" w:rsidP="005365D1">
            <w:pPr>
              <w:pStyle w:val="TableColumn"/>
            </w:pPr>
            <w:r w:rsidRPr="000B50FC">
              <w:t>2025</w:t>
            </w:r>
          </w:p>
        </w:tc>
        <w:tc>
          <w:tcPr>
            <w:tcW w:w="526" w:type="pct"/>
            <w:shd w:val="clear" w:color="auto" w:fill="D9D9D9" w:themeFill="background1" w:themeFillShade="D9"/>
            <w:noWrap/>
            <w:hideMark/>
          </w:tcPr>
          <w:p w14:paraId="0B1AF601" w14:textId="77777777" w:rsidR="001114A4" w:rsidRPr="009D1578" w:rsidRDefault="001114A4" w:rsidP="005365D1">
            <w:pPr>
              <w:pStyle w:val="TableColumn"/>
              <w:rPr>
                <w:color w:val="000000"/>
              </w:rPr>
            </w:pPr>
            <w:r w:rsidRPr="000B50FC">
              <w:t>2030</w:t>
            </w:r>
          </w:p>
        </w:tc>
        <w:tc>
          <w:tcPr>
            <w:tcW w:w="526" w:type="pct"/>
            <w:shd w:val="clear" w:color="auto" w:fill="D9D9D9" w:themeFill="background1" w:themeFillShade="D9"/>
          </w:tcPr>
          <w:p w14:paraId="245C482D" w14:textId="77777777" w:rsidR="001114A4" w:rsidRPr="00F93031" w:rsidRDefault="001114A4" w:rsidP="005365D1">
            <w:pPr>
              <w:pStyle w:val="TableColumn"/>
            </w:pPr>
            <w:r w:rsidRPr="000B50FC">
              <w:t>2035</w:t>
            </w:r>
          </w:p>
        </w:tc>
        <w:tc>
          <w:tcPr>
            <w:tcW w:w="521" w:type="pct"/>
            <w:shd w:val="clear" w:color="auto" w:fill="D9D9D9" w:themeFill="background1" w:themeFillShade="D9"/>
          </w:tcPr>
          <w:p w14:paraId="0349A897" w14:textId="77777777" w:rsidR="001114A4" w:rsidRPr="00F93031" w:rsidRDefault="001114A4" w:rsidP="005365D1">
            <w:pPr>
              <w:pStyle w:val="TableColumn"/>
            </w:pPr>
            <w:r w:rsidRPr="000B50FC">
              <w:t>2050</w:t>
            </w:r>
          </w:p>
        </w:tc>
      </w:tr>
      <w:tr w:rsidR="001114A4" w:rsidRPr="002C771F" w14:paraId="23FDE8A5" w14:textId="77777777" w:rsidTr="001114A4">
        <w:trPr>
          <w:jc w:val="center"/>
        </w:trPr>
        <w:tc>
          <w:tcPr>
            <w:tcW w:w="5000" w:type="pct"/>
            <w:gridSpan w:val="6"/>
            <w:shd w:val="clear" w:color="auto" w:fill="auto"/>
          </w:tcPr>
          <w:p w14:paraId="5F1E2EFF" w14:textId="74742EF2" w:rsidR="001114A4" w:rsidRPr="00B21713" w:rsidRDefault="001114A4" w:rsidP="005365D1">
            <w:pPr>
              <w:pStyle w:val="TableText"/>
              <w:rPr>
                <w:highlight w:val="yellow"/>
              </w:rPr>
            </w:pPr>
            <w:r>
              <w:rPr>
                <w:highlight w:val="yellow"/>
              </w:rPr>
              <w:t>Daily</w:t>
            </w:r>
          </w:p>
        </w:tc>
      </w:tr>
      <w:tr w:rsidR="001114A4" w:rsidRPr="002C771F" w14:paraId="07338A3E" w14:textId="77777777" w:rsidTr="005365D1">
        <w:trPr>
          <w:jc w:val="center"/>
        </w:trPr>
        <w:tc>
          <w:tcPr>
            <w:tcW w:w="2375" w:type="pct"/>
            <w:shd w:val="clear" w:color="auto" w:fill="auto"/>
          </w:tcPr>
          <w:p w14:paraId="5ED2CD05" w14:textId="06F6FB8D" w:rsidR="001114A4" w:rsidRPr="00832878" w:rsidRDefault="001114A4" w:rsidP="001114A4">
            <w:pPr>
              <w:pStyle w:val="TableTextL"/>
            </w:pPr>
            <w:r w:rsidRPr="00FD4F02">
              <w:t xml:space="preserve">Regional </w:t>
            </w:r>
            <w:r>
              <w:t xml:space="preserve">Electric </w:t>
            </w:r>
            <w:r w:rsidRPr="00FD4F02">
              <w:t>Charger Program</w:t>
            </w:r>
            <w:r>
              <w:t xml:space="preserve"> (MT CO</w:t>
            </w:r>
            <w:r w:rsidRPr="006825F3">
              <w:rPr>
                <w:vertAlign w:val="subscript"/>
              </w:rPr>
              <w:t>2</w:t>
            </w:r>
            <w:r>
              <w:t>/day)</w:t>
            </w:r>
          </w:p>
        </w:tc>
        <w:tc>
          <w:tcPr>
            <w:tcW w:w="526" w:type="pct"/>
            <w:shd w:val="clear" w:color="auto" w:fill="auto"/>
          </w:tcPr>
          <w:p w14:paraId="581012CE" w14:textId="7DDBB544" w:rsidR="001114A4" w:rsidRPr="00D95196" w:rsidRDefault="001114A4" w:rsidP="001114A4">
            <w:pPr>
              <w:pStyle w:val="TableText"/>
              <w:rPr>
                <w:highlight w:val="yellow"/>
              </w:rPr>
            </w:pPr>
            <w:r w:rsidRPr="001417C7">
              <w:rPr>
                <w:highlight w:val="yellow"/>
              </w:rPr>
              <w:t xml:space="preserve"> 107 </w:t>
            </w:r>
          </w:p>
        </w:tc>
        <w:tc>
          <w:tcPr>
            <w:tcW w:w="526" w:type="pct"/>
            <w:shd w:val="clear" w:color="auto" w:fill="auto"/>
          </w:tcPr>
          <w:p w14:paraId="7BAE4871" w14:textId="7196C8CA" w:rsidR="001114A4" w:rsidRPr="00D95196" w:rsidRDefault="001114A4" w:rsidP="001114A4">
            <w:pPr>
              <w:pStyle w:val="TableText"/>
              <w:rPr>
                <w:highlight w:val="yellow"/>
              </w:rPr>
            </w:pPr>
            <w:r w:rsidRPr="006825F3">
              <w:rPr>
                <w:highlight w:val="yellow"/>
              </w:rPr>
              <w:t xml:space="preserve"> 158 </w:t>
            </w:r>
          </w:p>
        </w:tc>
        <w:tc>
          <w:tcPr>
            <w:tcW w:w="526" w:type="pct"/>
            <w:shd w:val="clear" w:color="auto" w:fill="auto"/>
            <w:noWrap/>
          </w:tcPr>
          <w:p w14:paraId="681E0E8F" w14:textId="1C7E03C3" w:rsidR="001114A4" w:rsidRPr="00D95196" w:rsidRDefault="001114A4" w:rsidP="001114A4">
            <w:pPr>
              <w:pStyle w:val="TableText"/>
              <w:rPr>
                <w:highlight w:val="yellow"/>
              </w:rPr>
            </w:pPr>
            <w:r w:rsidRPr="001417C7">
              <w:rPr>
                <w:highlight w:val="yellow"/>
              </w:rPr>
              <w:t xml:space="preserve"> 174 </w:t>
            </w:r>
          </w:p>
        </w:tc>
        <w:tc>
          <w:tcPr>
            <w:tcW w:w="526" w:type="pct"/>
          </w:tcPr>
          <w:p w14:paraId="6421795C" w14:textId="59828991" w:rsidR="001114A4" w:rsidRPr="00D95196" w:rsidRDefault="001114A4" w:rsidP="001114A4">
            <w:pPr>
              <w:pStyle w:val="TableText"/>
              <w:rPr>
                <w:highlight w:val="yellow"/>
              </w:rPr>
            </w:pPr>
            <w:r w:rsidRPr="006825F3">
              <w:rPr>
                <w:highlight w:val="yellow"/>
              </w:rPr>
              <w:t xml:space="preserve"> 206 </w:t>
            </w:r>
          </w:p>
        </w:tc>
        <w:tc>
          <w:tcPr>
            <w:tcW w:w="521" w:type="pct"/>
          </w:tcPr>
          <w:p w14:paraId="7339B076" w14:textId="780E3A51" w:rsidR="001114A4" w:rsidRPr="00D95196" w:rsidRDefault="001114A4" w:rsidP="001114A4">
            <w:pPr>
              <w:pStyle w:val="TableText"/>
              <w:rPr>
                <w:highlight w:val="yellow"/>
              </w:rPr>
            </w:pPr>
            <w:r w:rsidRPr="006825F3">
              <w:rPr>
                <w:highlight w:val="yellow"/>
              </w:rPr>
              <w:t xml:space="preserve"> 371 </w:t>
            </w:r>
          </w:p>
        </w:tc>
      </w:tr>
      <w:tr w:rsidR="001114A4" w:rsidRPr="002C771F" w14:paraId="4251BF6A" w14:textId="77777777" w:rsidTr="005365D1">
        <w:trPr>
          <w:jc w:val="center"/>
        </w:trPr>
        <w:tc>
          <w:tcPr>
            <w:tcW w:w="2375" w:type="pct"/>
            <w:shd w:val="clear" w:color="auto" w:fill="auto"/>
          </w:tcPr>
          <w:p w14:paraId="5F4B2B3D" w14:textId="48954A46" w:rsidR="001114A4" w:rsidRPr="00832878" w:rsidRDefault="001114A4" w:rsidP="001114A4">
            <w:pPr>
              <w:pStyle w:val="TableTextL"/>
            </w:pPr>
            <w:r w:rsidRPr="00FD4F02">
              <w:t>Vehicle Incentive Program</w:t>
            </w:r>
            <w:r>
              <w:t xml:space="preserve"> (MT CO</w:t>
            </w:r>
            <w:r w:rsidRPr="00B21713">
              <w:rPr>
                <w:vertAlign w:val="subscript"/>
              </w:rPr>
              <w:t>2</w:t>
            </w:r>
            <w:r>
              <w:t>/day)</w:t>
            </w:r>
          </w:p>
        </w:tc>
        <w:tc>
          <w:tcPr>
            <w:tcW w:w="526" w:type="pct"/>
            <w:shd w:val="clear" w:color="auto" w:fill="auto"/>
          </w:tcPr>
          <w:p w14:paraId="61C69E45" w14:textId="392E2AF5" w:rsidR="001114A4" w:rsidRPr="00D95196" w:rsidRDefault="001114A4" w:rsidP="001114A4">
            <w:pPr>
              <w:pStyle w:val="TableText"/>
              <w:rPr>
                <w:highlight w:val="yellow"/>
              </w:rPr>
            </w:pPr>
            <w:r w:rsidRPr="001417C7">
              <w:rPr>
                <w:highlight w:val="yellow"/>
              </w:rPr>
              <w:t xml:space="preserve"> 146 </w:t>
            </w:r>
          </w:p>
        </w:tc>
        <w:tc>
          <w:tcPr>
            <w:tcW w:w="526" w:type="pct"/>
            <w:shd w:val="clear" w:color="auto" w:fill="auto"/>
          </w:tcPr>
          <w:p w14:paraId="1BB2B87A" w14:textId="2981869D" w:rsidR="001114A4" w:rsidRPr="00D95196" w:rsidRDefault="001114A4" w:rsidP="001114A4">
            <w:pPr>
              <w:pStyle w:val="TableText"/>
              <w:rPr>
                <w:highlight w:val="yellow"/>
              </w:rPr>
            </w:pPr>
            <w:r w:rsidRPr="006825F3">
              <w:rPr>
                <w:highlight w:val="yellow"/>
              </w:rPr>
              <w:t xml:space="preserve"> 216 </w:t>
            </w:r>
          </w:p>
        </w:tc>
        <w:tc>
          <w:tcPr>
            <w:tcW w:w="526" w:type="pct"/>
            <w:shd w:val="clear" w:color="auto" w:fill="auto"/>
            <w:noWrap/>
          </w:tcPr>
          <w:p w14:paraId="325BDA04" w14:textId="0CEF6871" w:rsidR="001114A4" w:rsidRPr="00D95196" w:rsidRDefault="001114A4" w:rsidP="001114A4">
            <w:pPr>
              <w:pStyle w:val="TableText"/>
              <w:rPr>
                <w:highlight w:val="yellow"/>
              </w:rPr>
            </w:pPr>
            <w:r w:rsidRPr="006825F3">
              <w:rPr>
                <w:highlight w:val="yellow"/>
              </w:rPr>
              <w:t xml:space="preserve"> 211 </w:t>
            </w:r>
          </w:p>
        </w:tc>
        <w:tc>
          <w:tcPr>
            <w:tcW w:w="526" w:type="pct"/>
          </w:tcPr>
          <w:p w14:paraId="08C7A00D" w14:textId="59613DD8" w:rsidR="001114A4" w:rsidRPr="00D95196" w:rsidRDefault="001114A4" w:rsidP="001114A4">
            <w:pPr>
              <w:pStyle w:val="TableText"/>
              <w:rPr>
                <w:highlight w:val="yellow"/>
              </w:rPr>
            </w:pPr>
            <w:r w:rsidRPr="006825F3">
              <w:rPr>
                <w:highlight w:val="yellow"/>
              </w:rPr>
              <w:t xml:space="preserve"> 237 </w:t>
            </w:r>
          </w:p>
        </w:tc>
        <w:tc>
          <w:tcPr>
            <w:tcW w:w="521" w:type="pct"/>
          </w:tcPr>
          <w:p w14:paraId="6D53C8F8" w14:textId="2E6B2084" w:rsidR="001114A4" w:rsidRPr="00D95196" w:rsidRDefault="001114A4" w:rsidP="001114A4">
            <w:pPr>
              <w:pStyle w:val="TableText"/>
              <w:rPr>
                <w:highlight w:val="yellow"/>
              </w:rPr>
            </w:pPr>
            <w:r w:rsidRPr="006825F3">
              <w:rPr>
                <w:highlight w:val="yellow"/>
              </w:rPr>
              <w:t xml:space="preserve"> 502 </w:t>
            </w:r>
          </w:p>
        </w:tc>
      </w:tr>
      <w:tr w:rsidR="001114A4" w:rsidRPr="002C771F" w14:paraId="7432692B" w14:textId="77777777" w:rsidTr="005365D1">
        <w:trPr>
          <w:jc w:val="center"/>
        </w:trPr>
        <w:tc>
          <w:tcPr>
            <w:tcW w:w="2375" w:type="pct"/>
            <w:shd w:val="clear" w:color="auto" w:fill="auto"/>
          </w:tcPr>
          <w:p w14:paraId="55291FF2" w14:textId="73379346" w:rsidR="001114A4" w:rsidRPr="00445F06" w:rsidRDefault="001114A4" w:rsidP="001114A4">
            <w:pPr>
              <w:pStyle w:val="TableTextL"/>
            </w:pPr>
            <w:r w:rsidRPr="00FD4F02">
              <w:t>Combined Daily Reductions</w:t>
            </w:r>
            <w:r>
              <w:t xml:space="preserve"> (MT CO</w:t>
            </w:r>
            <w:r w:rsidRPr="00B21713">
              <w:rPr>
                <w:vertAlign w:val="subscript"/>
              </w:rPr>
              <w:t>2</w:t>
            </w:r>
            <w:r>
              <w:t>/day)</w:t>
            </w:r>
          </w:p>
        </w:tc>
        <w:tc>
          <w:tcPr>
            <w:tcW w:w="526" w:type="pct"/>
            <w:shd w:val="clear" w:color="auto" w:fill="auto"/>
          </w:tcPr>
          <w:p w14:paraId="25BB69F9" w14:textId="330D3AF0" w:rsidR="001114A4" w:rsidRPr="00D95196" w:rsidRDefault="001114A4" w:rsidP="001114A4">
            <w:pPr>
              <w:pStyle w:val="TableText"/>
              <w:rPr>
                <w:highlight w:val="yellow"/>
              </w:rPr>
            </w:pPr>
            <w:r w:rsidRPr="006825F3">
              <w:rPr>
                <w:highlight w:val="yellow"/>
              </w:rPr>
              <w:t xml:space="preserve"> 253 </w:t>
            </w:r>
          </w:p>
        </w:tc>
        <w:tc>
          <w:tcPr>
            <w:tcW w:w="526" w:type="pct"/>
            <w:shd w:val="clear" w:color="auto" w:fill="auto"/>
          </w:tcPr>
          <w:p w14:paraId="21DD2DE1" w14:textId="559D87E9" w:rsidR="001114A4" w:rsidRPr="00D95196" w:rsidRDefault="001114A4" w:rsidP="001114A4">
            <w:pPr>
              <w:pStyle w:val="TableText"/>
              <w:rPr>
                <w:highlight w:val="yellow"/>
              </w:rPr>
            </w:pPr>
            <w:r w:rsidRPr="006825F3">
              <w:rPr>
                <w:highlight w:val="yellow"/>
              </w:rPr>
              <w:t xml:space="preserve"> 374 </w:t>
            </w:r>
          </w:p>
        </w:tc>
        <w:tc>
          <w:tcPr>
            <w:tcW w:w="526" w:type="pct"/>
            <w:shd w:val="clear" w:color="auto" w:fill="auto"/>
            <w:noWrap/>
          </w:tcPr>
          <w:p w14:paraId="3D35E1F6" w14:textId="517B5340" w:rsidR="001114A4" w:rsidRPr="00D95196" w:rsidRDefault="001114A4" w:rsidP="001114A4">
            <w:pPr>
              <w:pStyle w:val="TableText"/>
              <w:rPr>
                <w:highlight w:val="yellow"/>
              </w:rPr>
            </w:pPr>
            <w:r w:rsidRPr="006825F3">
              <w:rPr>
                <w:highlight w:val="yellow"/>
              </w:rPr>
              <w:t xml:space="preserve"> 384 </w:t>
            </w:r>
          </w:p>
        </w:tc>
        <w:tc>
          <w:tcPr>
            <w:tcW w:w="526" w:type="pct"/>
          </w:tcPr>
          <w:p w14:paraId="572A704F" w14:textId="3DA4D329" w:rsidR="001114A4" w:rsidRPr="00D95196" w:rsidRDefault="001114A4" w:rsidP="001114A4">
            <w:pPr>
              <w:pStyle w:val="TableText"/>
              <w:rPr>
                <w:highlight w:val="yellow"/>
              </w:rPr>
            </w:pPr>
            <w:r w:rsidRPr="006825F3">
              <w:rPr>
                <w:highlight w:val="yellow"/>
              </w:rPr>
              <w:t xml:space="preserve"> 443 </w:t>
            </w:r>
          </w:p>
        </w:tc>
        <w:tc>
          <w:tcPr>
            <w:tcW w:w="521" w:type="pct"/>
          </w:tcPr>
          <w:p w14:paraId="12236DA7" w14:textId="46334320" w:rsidR="001114A4" w:rsidRPr="00D95196" w:rsidRDefault="001114A4" w:rsidP="001114A4">
            <w:pPr>
              <w:pStyle w:val="TableText"/>
              <w:rPr>
                <w:highlight w:val="yellow"/>
              </w:rPr>
            </w:pPr>
            <w:r w:rsidRPr="006825F3">
              <w:rPr>
                <w:highlight w:val="yellow"/>
              </w:rPr>
              <w:t xml:space="preserve"> 873 </w:t>
            </w:r>
          </w:p>
        </w:tc>
      </w:tr>
      <w:tr w:rsidR="001114A4" w:rsidRPr="002C771F" w14:paraId="0B806BBA" w14:textId="77777777" w:rsidTr="005365D1">
        <w:trPr>
          <w:jc w:val="center"/>
        </w:trPr>
        <w:tc>
          <w:tcPr>
            <w:tcW w:w="2375" w:type="pct"/>
            <w:shd w:val="clear" w:color="auto" w:fill="auto"/>
          </w:tcPr>
          <w:p w14:paraId="4CF99E17" w14:textId="2619B4CE" w:rsidR="001114A4" w:rsidRDefault="001114A4" w:rsidP="001114A4">
            <w:pPr>
              <w:pStyle w:val="TableTextL"/>
            </w:pPr>
            <w:r w:rsidRPr="00FD4F02">
              <w:t>Combined Daily Reductions</w:t>
            </w:r>
            <w:r>
              <w:t xml:space="preserve"> (lb CO</w:t>
            </w:r>
            <w:r w:rsidRPr="00B21713">
              <w:rPr>
                <w:vertAlign w:val="subscript"/>
              </w:rPr>
              <w:t>2</w:t>
            </w:r>
            <w:r>
              <w:t>/day)</w:t>
            </w:r>
          </w:p>
        </w:tc>
        <w:tc>
          <w:tcPr>
            <w:tcW w:w="526" w:type="pct"/>
            <w:shd w:val="clear" w:color="auto" w:fill="auto"/>
          </w:tcPr>
          <w:p w14:paraId="1F32C1C8" w14:textId="2FFC5B71" w:rsidR="001114A4" w:rsidRPr="00D95196" w:rsidRDefault="001114A4" w:rsidP="001114A4">
            <w:pPr>
              <w:pStyle w:val="TableText"/>
              <w:rPr>
                <w:highlight w:val="yellow"/>
              </w:rPr>
            </w:pPr>
            <w:r w:rsidRPr="006825F3">
              <w:rPr>
                <w:highlight w:val="yellow"/>
              </w:rPr>
              <w:t xml:space="preserve"> 558,794 </w:t>
            </w:r>
          </w:p>
        </w:tc>
        <w:tc>
          <w:tcPr>
            <w:tcW w:w="526" w:type="pct"/>
            <w:shd w:val="clear" w:color="auto" w:fill="auto"/>
          </w:tcPr>
          <w:p w14:paraId="7940DEEF" w14:textId="706D5888" w:rsidR="001114A4" w:rsidRPr="00D95196" w:rsidRDefault="001114A4" w:rsidP="001114A4">
            <w:pPr>
              <w:pStyle w:val="TableText"/>
              <w:rPr>
                <w:highlight w:val="yellow"/>
              </w:rPr>
            </w:pPr>
            <w:r w:rsidRPr="006825F3">
              <w:rPr>
                <w:highlight w:val="yellow"/>
              </w:rPr>
              <w:t xml:space="preserve"> 825,256 </w:t>
            </w:r>
          </w:p>
        </w:tc>
        <w:tc>
          <w:tcPr>
            <w:tcW w:w="526" w:type="pct"/>
            <w:shd w:val="clear" w:color="auto" w:fill="auto"/>
            <w:noWrap/>
          </w:tcPr>
          <w:p w14:paraId="48B56964" w14:textId="2AD48AC7" w:rsidR="001114A4" w:rsidRPr="00D95196" w:rsidRDefault="001114A4" w:rsidP="001114A4">
            <w:pPr>
              <w:pStyle w:val="TableText"/>
              <w:rPr>
                <w:highlight w:val="yellow"/>
              </w:rPr>
            </w:pPr>
            <w:r w:rsidRPr="006825F3">
              <w:rPr>
                <w:highlight w:val="yellow"/>
              </w:rPr>
              <w:t xml:space="preserve"> 846,997 </w:t>
            </w:r>
          </w:p>
        </w:tc>
        <w:tc>
          <w:tcPr>
            <w:tcW w:w="526" w:type="pct"/>
          </w:tcPr>
          <w:p w14:paraId="7298F0D3" w14:textId="7D2CABE5" w:rsidR="001114A4" w:rsidRPr="00D95196" w:rsidRDefault="001114A4" w:rsidP="001114A4">
            <w:pPr>
              <w:pStyle w:val="TableText"/>
              <w:rPr>
                <w:highlight w:val="yellow"/>
              </w:rPr>
            </w:pPr>
            <w:r w:rsidRPr="006825F3">
              <w:rPr>
                <w:highlight w:val="yellow"/>
              </w:rPr>
              <w:t xml:space="preserve"> 976,384 </w:t>
            </w:r>
          </w:p>
        </w:tc>
        <w:tc>
          <w:tcPr>
            <w:tcW w:w="521" w:type="pct"/>
          </w:tcPr>
          <w:p w14:paraId="705BC423" w14:textId="0BB9FD94" w:rsidR="001114A4" w:rsidRPr="00D95196" w:rsidRDefault="001114A4" w:rsidP="001114A4">
            <w:pPr>
              <w:pStyle w:val="TableText"/>
              <w:rPr>
                <w:highlight w:val="yellow"/>
              </w:rPr>
            </w:pPr>
            <w:r w:rsidRPr="006825F3">
              <w:rPr>
                <w:highlight w:val="yellow"/>
              </w:rPr>
              <w:t xml:space="preserve"> 1,924,864 </w:t>
            </w:r>
          </w:p>
        </w:tc>
      </w:tr>
      <w:tr w:rsidR="001114A4" w:rsidRPr="002C771F" w14:paraId="6B09164C" w14:textId="77777777" w:rsidTr="001114A4">
        <w:trPr>
          <w:jc w:val="center"/>
        </w:trPr>
        <w:tc>
          <w:tcPr>
            <w:tcW w:w="5000" w:type="pct"/>
            <w:gridSpan w:val="6"/>
            <w:shd w:val="clear" w:color="auto" w:fill="auto"/>
          </w:tcPr>
          <w:p w14:paraId="3DE09035" w14:textId="544B2319" w:rsidR="001114A4" w:rsidRPr="00B21713" w:rsidRDefault="001114A4" w:rsidP="005365D1">
            <w:pPr>
              <w:pStyle w:val="TableText"/>
              <w:rPr>
                <w:highlight w:val="yellow"/>
              </w:rPr>
            </w:pPr>
            <w:r>
              <w:rPr>
                <w:highlight w:val="yellow"/>
              </w:rPr>
              <w:t>Annual</w:t>
            </w:r>
          </w:p>
        </w:tc>
      </w:tr>
      <w:tr w:rsidR="001114A4" w:rsidRPr="002C771F" w14:paraId="34B7CAE3" w14:textId="77777777" w:rsidTr="005365D1">
        <w:trPr>
          <w:jc w:val="center"/>
        </w:trPr>
        <w:tc>
          <w:tcPr>
            <w:tcW w:w="2375" w:type="pct"/>
            <w:shd w:val="clear" w:color="auto" w:fill="auto"/>
          </w:tcPr>
          <w:p w14:paraId="039A1D1B" w14:textId="39EB310D" w:rsidR="001114A4" w:rsidRDefault="001114A4" w:rsidP="001114A4">
            <w:pPr>
              <w:pStyle w:val="TableTextL"/>
            </w:pPr>
            <w:r w:rsidRPr="00DE1A62">
              <w:t>Regional Charger Program</w:t>
            </w:r>
            <w:r>
              <w:t xml:space="preserve"> (MT CO</w:t>
            </w:r>
            <w:r w:rsidRPr="00B21713">
              <w:rPr>
                <w:vertAlign w:val="subscript"/>
              </w:rPr>
              <w:t>2</w:t>
            </w:r>
            <w:r>
              <w:t>/year)</w:t>
            </w:r>
          </w:p>
        </w:tc>
        <w:tc>
          <w:tcPr>
            <w:tcW w:w="526" w:type="pct"/>
            <w:shd w:val="clear" w:color="auto" w:fill="auto"/>
          </w:tcPr>
          <w:p w14:paraId="4A5B4F41" w14:textId="77E8EDDC" w:rsidR="001114A4" w:rsidRPr="00D95196" w:rsidRDefault="001114A4" w:rsidP="001114A4">
            <w:pPr>
              <w:pStyle w:val="TableText"/>
              <w:rPr>
                <w:highlight w:val="yellow"/>
              </w:rPr>
            </w:pPr>
            <w:r w:rsidRPr="00C4368D">
              <w:rPr>
                <w:highlight w:val="yellow"/>
              </w:rPr>
              <w:t xml:space="preserve"> 39,236 </w:t>
            </w:r>
          </w:p>
        </w:tc>
        <w:tc>
          <w:tcPr>
            <w:tcW w:w="526" w:type="pct"/>
            <w:shd w:val="clear" w:color="auto" w:fill="auto"/>
          </w:tcPr>
          <w:p w14:paraId="2BFC3E2A" w14:textId="3DF9FD6B" w:rsidR="001114A4" w:rsidRPr="00D95196" w:rsidRDefault="001114A4" w:rsidP="001114A4">
            <w:pPr>
              <w:pStyle w:val="TableText"/>
              <w:rPr>
                <w:highlight w:val="yellow"/>
              </w:rPr>
            </w:pPr>
            <w:r w:rsidRPr="00C4368D">
              <w:rPr>
                <w:highlight w:val="yellow"/>
              </w:rPr>
              <w:t xml:space="preserve"> 57,768 </w:t>
            </w:r>
          </w:p>
        </w:tc>
        <w:tc>
          <w:tcPr>
            <w:tcW w:w="526" w:type="pct"/>
            <w:shd w:val="clear" w:color="auto" w:fill="auto"/>
            <w:noWrap/>
          </w:tcPr>
          <w:p w14:paraId="06E9AB07" w14:textId="3A7BCC4F" w:rsidR="001114A4" w:rsidRPr="00D95196" w:rsidRDefault="001114A4" w:rsidP="001114A4">
            <w:pPr>
              <w:pStyle w:val="TableText"/>
              <w:rPr>
                <w:highlight w:val="yellow"/>
              </w:rPr>
            </w:pPr>
            <w:r w:rsidRPr="00C4368D">
              <w:rPr>
                <w:highlight w:val="yellow"/>
              </w:rPr>
              <w:t xml:space="preserve"> 63,350 </w:t>
            </w:r>
          </w:p>
        </w:tc>
        <w:tc>
          <w:tcPr>
            <w:tcW w:w="526" w:type="pct"/>
          </w:tcPr>
          <w:p w14:paraId="4D52CFE2" w14:textId="3A59D5C1" w:rsidR="001114A4" w:rsidRPr="00D95196" w:rsidRDefault="001114A4" w:rsidP="001114A4">
            <w:pPr>
              <w:pStyle w:val="TableText"/>
              <w:rPr>
                <w:highlight w:val="yellow"/>
              </w:rPr>
            </w:pPr>
            <w:r w:rsidRPr="00C4368D">
              <w:rPr>
                <w:highlight w:val="yellow"/>
              </w:rPr>
              <w:t xml:space="preserve"> 75,035 </w:t>
            </w:r>
          </w:p>
        </w:tc>
        <w:tc>
          <w:tcPr>
            <w:tcW w:w="521" w:type="pct"/>
          </w:tcPr>
          <w:p w14:paraId="7CFDEE9C" w14:textId="236A2BE6" w:rsidR="001114A4" w:rsidRPr="00D95196" w:rsidRDefault="001114A4" w:rsidP="001114A4">
            <w:pPr>
              <w:pStyle w:val="TableText"/>
              <w:rPr>
                <w:highlight w:val="yellow"/>
              </w:rPr>
            </w:pPr>
            <w:r w:rsidRPr="00C4368D">
              <w:rPr>
                <w:highlight w:val="yellow"/>
              </w:rPr>
              <w:t xml:space="preserve"> 135,481 </w:t>
            </w:r>
          </w:p>
        </w:tc>
      </w:tr>
      <w:tr w:rsidR="001114A4" w:rsidRPr="002C771F" w14:paraId="16E3D7CA" w14:textId="77777777" w:rsidTr="005365D1">
        <w:trPr>
          <w:jc w:val="center"/>
        </w:trPr>
        <w:tc>
          <w:tcPr>
            <w:tcW w:w="2375" w:type="pct"/>
            <w:shd w:val="clear" w:color="auto" w:fill="auto"/>
          </w:tcPr>
          <w:p w14:paraId="21EAD4D6" w14:textId="224F323A" w:rsidR="001114A4" w:rsidRDefault="001114A4" w:rsidP="001114A4">
            <w:pPr>
              <w:pStyle w:val="TableTextL"/>
            </w:pPr>
            <w:r w:rsidRPr="00DE1A62">
              <w:t>Vehicle Incentive Program</w:t>
            </w:r>
            <w:r>
              <w:t xml:space="preserve"> (MT CO</w:t>
            </w:r>
            <w:r w:rsidRPr="00B21713">
              <w:rPr>
                <w:vertAlign w:val="subscript"/>
              </w:rPr>
              <w:t>2</w:t>
            </w:r>
            <w:r>
              <w:t>/year)</w:t>
            </w:r>
          </w:p>
        </w:tc>
        <w:tc>
          <w:tcPr>
            <w:tcW w:w="526" w:type="pct"/>
            <w:shd w:val="clear" w:color="auto" w:fill="auto"/>
          </w:tcPr>
          <w:p w14:paraId="48F3C878" w14:textId="3B22E7C7" w:rsidR="001114A4" w:rsidRPr="00D95196" w:rsidRDefault="001114A4" w:rsidP="001114A4">
            <w:pPr>
              <w:pStyle w:val="TableText"/>
              <w:rPr>
                <w:highlight w:val="yellow"/>
              </w:rPr>
            </w:pPr>
            <w:r w:rsidRPr="00C4368D">
              <w:rPr>
                <w:highlight w:val="yellow"/>
              </w:rPr>
              <w:t xml:space="preserve"> 53,279 </w:t>
            </w:r>
          </w:p>
        </w:tc>
        <w:tc>
          <w:tcPr>
            <w:tcW w:w="526" w:type="pct"/>
            <w:shd w:val="clear" w:color="auto" w:fill="auto"/>
          </w:tcPr>
          <w:p w14:paraId="4B5E7C4F" w14:textId="4522933C" w:rsidR="001114A4" w:rsidRPr="00D95196" w:rsidRDefault="001114A4" w:rsidP="001114A4">
            <w:pPr>
              <w:pStyle w:val="TableText"/>
              <w:rPr>
                <w:highlight w:val="yellow"/>
              </w:rPr>
            </w:pPr>
            <w:r w:rsidRPr="00C4368D">
              <w:rPr>
                <w:highlight w:val="yellow"/>
              </w:rPr>
              <w:t xml:space="preserve"> 78,862 </w:t>
            </w:r>
          </w:p>
        </w:tc>
        <w:tc>
          <w:tcPr>
            <w:tcW w:w="526" w:type="pct"/>
            <w:shd w:val="clear" w:color="auto" w:fill="auto"/>
            <w:noWrap/>
          </w:tcPr>
          <w:p w14:paraId="02D3BEF1" w14:textId="5A774BBF" w:rsidR="001114A4" w:rsidRPr="00D95196" w:rsidRDefault="001114A4" w:rsidP="001114A4">
            <w:pPr>
              <w:pStyle w:val="TableText"/>
              <w:rPr>
                <w:highlight w:val="yellow"/>
              </w:rPr>
            </w:pPr>
            <w:r w:rsidRPr="00C4368D">
              <w:rPr>
                <w:highlight w:val="yellow"/>
              </w:rPr>
              <w:t xml:space="preserve"> 76,879 </w:t>
            </w:r>
          </w:p>
        </w:tc>
        <w:tc>
          <w:tcPr>
            <w:tcW w:w="526" w:type="pct"/>
          </w:tcPr>
          <w:p w14:paraId="1050C7AB" w14:textId="2DA1CE42" w:rsidR="001114A4" w:rsidRPr="00D95196" w:rsidRDefault="001114A4" w:rsidP="001114A4">
            <w:pPr>
              <w:pStyle w:val="TableText"/>
              <w:rPr>
                <w:highlight w:val="yellow"/>
              </w:rPr>
            </w:pPr>
            <w:r w:rsidRPr="00C4368D">
              <w:rPr>
                <w:highlight w:val="yellow"/>
              </w:rPr>
              <w:t xml:space="preserve"> 86,616 </w:t>
            </w:r>
          </w:p>
        </w:tc>
        <w:tc>
          <w:tcPr>
            <w:tcW w:w="521" w:type="pct"/>
          </w:tcPr>
          <w:p w14:paraId="0608B3BC" w14:textId="337274B9" w:rsidR="001114A4" w:rsidRPr="00D95196" w:rsidRDefault="001114A4" w:rsidP="001114A4">
            <w:pPr>
              <w:pStyle w:val="TableText"/>
              <w:rPr>
                <w:highlight w:val="yellow"/>
              </w:rPr>
            </w:pPr>
            <w:r w:rsidRPr="00C4368D">
              <w:rPr>
                <w:highlight w:val="yellow"/>
              </w:rPr>
              <w:t xml:space="preserve"> 183,202 </w:t>
            </w:r>
          </w:p>
        </w:tc>
      </w:tr>
      <w:tr w:rsidR="001114A4" w:rsidRPr="002C771F" w14:paraId="5580C736" w14:textId="77777777" w:rsidTr="005365D1">
        <w:trPr>
          <w:jc w:val="center"/>
        </w:trPr>
        <w:tc>
          <w:tcPr>
            <w:tcW w:w="2375" w:type="pct"/>
            <w:shd w:val="clear" w:color="auto" w:fill="auto"/>
          </w:tcPr>
          <w:p w14:paraId="057F8280" w14:textId="105BAF45" w:rsidR="001114A4" w:rsidRDefault="001114A4" w:rsidP="001114A4">
            <w:pPr>
              <w:pStyle w:val="TableTextL"/>
            </w:pPr>
            <w:r w:rsidRPr="00DE1A62">
              <w:t>Combined Annual</w:t>
            </w:r>
            <w:r>
              <w:t xml:space="preserve"> (MT CO</w:t>
            </w:r>
            <w:r w:rsidRPr="00B21713">
              <w:rPr>
                <w:vertAlign w:val="subscript"/>
              </w:rPr>
              <w:t>2</w:t>
            </w:r>
            <w:r>
              <w:t>/year)</w:t>
            </w:r>
          </w:p>
        </w:tc>
        <w:tc>
          <w:tcPr>
            <w:tcW w:w="526" w:type="pct"/>
            <w:shd w:val="clear" w:color="auto" w:fill="auto"/>
          </w:tcPr>
          <w:p w14:paraId="07BE2CFD" w14:textId="48F4A045" w:rsidR="001114A4" w:rsidRPr="00D95196" w:rsidRDefault="001114A4" w:rsidP="001114A4">
            <w:pPr>
              <w:pStyle w:val="TableText"/>
              <w:rPr>
                <w:highlight w:val="yellow"/>
              </w:rPr>
            </w:pPr>
            <w:r w:rsidRPr="00C4368D">
              <w:rPr>
                <w:highlight w:val="yellow"/>
              </w:rPr>
              <w:t xml:space="preserve"> 92,515 </w:t>
            </w:r>
          </w:p>
        </w:tc>
        <w:tc>
          <w:tcPr>
            <w:tcW w:w="526" w:type="pct"/>
            <w:shd w:val="clear" w:color="auto" w:fill="auto"/>
          </w:tcPr>
          <w:p w14:paraId="25D09A23" w14:textId="6BB54058" w:rsidR="001114A4" w:rsidRPr="00D95196" w:rsidRDefault="001114A4" w:rsidP="001114A4">
            <w:pPr>
              <w:pStyle w:val="TableText"/>
              <w:rPr>
                <w:highlight w:val="yellow"/>
              </w:rPr>
            </w:pPr>
            <w:r w:rsidRPr="00C4368D">
              <w:rPr>
                <w:highlight w:val="yellow"/>
              </w:rPr>
              <w:t xml:space="preserve"> 136,630 </w:t>
            </w:r>
          </w:p>
        </w:tc>
        <w:tc>
          <w:tcPr>
            <w:tcW w:w="526" w:type="pct"/>
            <w:shd w:val="clear" w:color="auto" w:fill="auto"/>
            <w:noWrap/>
          </w:tcPr>
          <w:p w14:paraId="4EB5FB58" w14:textId="23726289" w:rsidR="001114A4" w:rsidRPr="00D95196" w:rsidRDefault="001114A4" w:rsidP="001114A4">
            <w:pPr>
              <w:pStyle w:val="TableText"/>
              <w:rPr>
                <w:highlight w:val="yellow"/>
              </w:rPr>
            </w:pPr>
            <w:r w:rsidRPr="00C4368D">
              <w:rPr>
                <w:highlight w:val="yellow"/>
              </w:rPr>
              <w:t xml:space="preserve"> 140,230 </w:t>
            </w:r>
          </w:p>
        </w:tc>
        <w:tc>
          <w:tcPr>
            <w:tcW w:w="526" w:type="pct"/>
          </w:tcPr>
          <w:p w14:paraId="36783583" w14:textId="763AF144" w:rsidR="001114A4" w:rsidRPr="00D95196" w:rsidRDefault="001114A4" w:rsidP="001114A4">
            <w:pPr>
              <w:pStyle w:val="TableText"/>
              <w:rPr>
                <w:highlight w:val="yellow"/>
              </w:rPr>
            </w:pPr>
            <w:r w:rsidRPr="00C4368D">
              <w:rPr>
                <w:highlight w:val="yellow"/>
              </w:rPr>
              <w:t xml:space="preserve"> 161,651 </w:t>
            </w:r>
          </w:p>
        </w:tc>
        <w:tc>
          <w:tcPr>
            <w:tcW w:w="521" w:type="pct"/>
          </w:tcPr>
          <w:p w14:paraId="3CA9B490" w14:textId="4E46B331" w:rsidR="001114A4" w:rsidRPr="00D95196" w:rsidRDefault="001114A4" w:rsidP="001114A4">
            <w:pPr>
              <w:pStyle w:val="TableText"/>
              <w:rPr>
                <w:highlight w:val="yellow"/>
              </w:rPr>
            </w:pPr>
            <w:r w:rsidRPr="00C4368D">
              <w:rPr>
                <w:highlight w:val="yellow"/>
              </w:rPr>
              <w:t xml:space="preserve"> 318,683 </w:t>
            </w:r>
          </w:p>
        </w:tc>
      </w:tr>
      <w:tr w:rsidR="001114A4" w:rsidRPr="002C771F" w14:paraId="3E6ABD82" w14:textId="77777777" w:rsidTr="005365D1">
        <w:trPr>
          <w:jc w:val="center"/>
        </w:trPr>
        <w:tc>
          <w:tcPr>
            <w:tcW w:w="2375" w:type="pct"/>
            <w:shd w:val="clear" w:color="auto" w:fill="auto"/>
          </w:tcPr>
          <w:p w14:paraId="41E11B60" w14:textId="15907345" w:rsidR="001114A4" w:rsidRDefault="001114A4" w:rsidP="001114A4">
            <w:pPr>
              <w:pStyle w:val="TableTextL"/>
            </w:pPr>
            <w:r>
              <w:t>Cumulative Emissions Reductions (MT CO</w:t>
            </w:r>
            <w:r w:rsidRPr="00C4368D">
              <w:rPr>
                <w:vertAlign w:val="subscript"/>
              </w:rPr>
              <w:t>2</w:t>
            </w:r>
            <w:r>
              <w:t>)</w:t>
            </w:r>
          </w:p>
        </w:tc>
        <w:tc>
          <w:tcPr>
            <w:tcW w:w="526" w:type="pct"/>
            <w:shd w:val="clear" w:color="auto" w:fill="auto"/>
          </w:tcPr>
          <w:p w14:paraId="73E3F9E1" w14:textId="3BF19974" w:rsidR="001114A4" w:rsidRPr="00D95196" w:rsidRDefault="001114A4" w:rsidP="001114A4">
            <w:pPr>
              <w:pStyle w:val="TableText"/>
              <w:rPr>
                <w:highlight w:val="yellow"/>
              </w:rPr>
            </w:pPr>
            <w:r w:rsidRPr="00C4368D">
              <w:rPr>
                <w:highlight w:val="yellow"/>
              </w:rPr>
              <w:t>92,515</w:t>
            </w:r>
          </w:p>
        </w:tc>
        <w:tc>
          <w:tcPr>
            <w:tcW w:w="526" w:type="pct"/>
            <w:shd w:val="clear" w:color="auto" w:fill="auto"/>
          </w:tcPr>
          <w:p w14:paraId="0BF61BEF" w14:textId="7BA42AEC" w:rsidR="001114A4" w:rsidRPr="00D95196" w:rsidRDefault="001114A4" w:rsidP="001114A4">
            <w:pPr>
              <w:pStyle w:val="TableText"/>
              <w:rPr>
                <w:highlight w:val="yellow"/>
              </w:rPr>
            </w:pPr>
            <w:r w:rsidRPr="00C4368D">
              <w:rPr>
                <w:highlight w:val="yellow"/>
              </w:rPr>
              <w:t xml:space="preserve"> 572,863 </w:t>
            </w:r>
          </w:p>
        </w:tc>
        <w:tc>
          <w:tcPr>
            <w:tcW w:w="526" w:type="pct"/>
            <w:shd w:val="clear" w:color="auto" w:fill="auto"/>
            <w:noWrap/>
          </w:tcPr>
          <w:p w14:paraId="7B9A6894" w14:textId="640FA4BB" w:rsidR="001114A4" w:rsidRPr="00D95196" w:rsidRDefault="001114A4" w:rsidP="001114A4">
            <w:pPr>
              <w:pStyle w:val="TableText"/>
              <w:rPr>
                <w:highlight w:val="yellow"/>
              </w:rPr>
            </w:pPr>
            <w:r w:rsidRPr="00C4368D">
              <w:rPr>
                <w:highlight w:val="yellow"/>
              </w:rPr>
              <w:t xml:space="preserve"> 692,151 </w:t>
            </w:r>
          </w:p>
        </w:tc>
        <w:tc>
          <w:tcPr>
            <w:tcW w:w="526" w:type="pct"/>
          </w:tcPr>
          <w:p w14:paraId="6DAADDEA" w14:textId="472F83A8" w:rsidR="001114A4" w:rsidRPr="00D95196" w:rsidRDefault="001114A4" w:rsidP="001114A4">
            <w:pPr>
              <w:pStyle w:val="TableText"/>
              <w:rPr>
                <w:highlight w:val="yellow"/>
              </w:rPr>
            </w:pPr>
            <w:r w:rsidRPr="00C4368D">
              <w:rPr>
                <w:highlight w:val="yellow"/>
              </w:rPr>
              <w:t xml:space="preserve"> 754,703 </w:t>
            </w:r>
          </w:p>
        </w:tc>
        <w:tc>
          <w:tcPr>
            <w:tcW w:w="521" w:type="pct"/>
          </w:tcPr>
          <w:p w14:paraId="4F10466E" w14:textId="04DAA930" w:rsidR="001114A4" w:rsidRPr="00D95196" w:rsidRDefault="001114A4" w:rsidP="001114A4">
            <w:pPr>
              <w:pStyle w:val="TableText"/>
              <w:rPr>
                <w:highlight w:val="yellow"/>
              </w:rPr>
            </w:pPr>
            <w:r w:rsidRPr="00C4368D">
              <w:rPr>
                <w:highlight w:val="yellow"/>
              </w:rPr>
              <w:t xml:space="preserve"> 3,602,506 </w:t>
            </w:r>
          </w:p>
        </w:tc>
      </w:tr>
      <w:tr w:rsidR="001114A4" w:rsidRPr="002C771F" w14:paraId="47771A6E" w14:textId="77777777" w:rsidTr="005365D1">
        <w:trPr>
          <w:jc w:val="center"/>
        </w:trPr>
        <w:tc>
          <w:tcPr>
            <w:tcW w:w="2375" w:type="pct"/>
            <w:shd w:val="clear" w:color="auto" w:fill="auto"/>
          </w:tcPr>
          <w:p w14:paraId="5E9B88FD" w14:textId="676F9BD5" w:rsidR="001114A4" w:rsidRDefault="001114A4" w:rsidP="001114A4">
            <w:pPr>
              <w:pStyle w:val="TableTextL"/>
            </w:pPr>
            <w:r>
              <w:t>Cost per MT CO</w:t>
            </w:r>
            <w:r w:rsidRPr="00C4368D">
              <w:rPr>
                <w:vertAlign w:val="subscript"/>
              </w:rPr>
              <w:t>2</w:t>
            </w:r>
            <w:r>
              <w:t xml:space="preserve"> reduced ($/MT CO</w:t>
            </w:r>
            <w:r w:rsidRPr="00C4368D">
              <w:rPr>
                <w:vertAlign w:val="subscript"/>
              </w:rPr>
              <w:t>2</w:t>
            </w:r>
            <w:r>
              <w:t>)</w:t>
            </w:r>
          </w:p>
        </w:tc>
        <w:tc>
          <w:tcPr>
            <w:tcW w:w="526" w:type="pct"/>
            <w:shd w:val="clear" w:color="auto" w:fill="auto"/>
          </w:tcPr>
          <w:p w14:paraId="0FE34C0C" w14:textId="57AB7CFB" w:rsidR="001114A4" w:rsidRPr="00D95196" w:rsidRDefault="001114A4" w:rsidP="001114A4">
            <w:pPr>
              <w:pStyle w:val="TableText"/>
              <w:rPr>
                <w:highlight w:val="yellow"/>
              </w:rPr>
            </w:pPr>
            <w:r w:rsidRPr="00C4368D">
              <w:rPr>
                <w:highlight w:val="yellow"/>
              </w:rPr>
              <w:t>$169</w:t>
            </w:r>
          </w:p>
        </w:tc>
        <w:tc>
          <w:tcPr>
            <w:tcW w:w="526" w:type="pct"/>
            <w:shd w:val="clear" w:color="auto" w:fill="auto"/>
          </w:tcPr>
          <w:p w14:paraId="1DE91EAF" w14:textId="68E69AC6" w:rsidR="001114A4" w:rsidRPr="00D95196" w:rsidRDefault="001114A4" w:rsidP="001114A4">
            <w:pPr>
              <w:pStyle w:val="TableText"/>
              <w:rPr>
                <w:highlight w:val="yellow"/>
              </w:rPr>
            </w:pPr>
            <w:r w:rsidRPr="00C4368D">
              <w:rPr>
                <w:highlight w:val="yellow"/>
              </w:rPr>
              <w:t>$47</w:t>
            </w:r>
          </w:p>
        </w:tc>
        <w:tc>
          <w:tcPr>
            <w:tcW w:w="526" w:type="pct"/>
            <w:shd w:val="clear" w:color="auto" w:fill="auto"/>
            <w:noWrap/>
          </w:tcPr>
          <w:p w14:paraId="134AED81" w14:textId="71CC85DA" w:rsidR="001114A4" w:rsidRPr="00D95196" w:rsidRDefault="001114A4" w:rsidP="001114A4">
            <w:pPr>
              <w:pStyle w:val="TableText"/>
              <w:rPr>
                <w:highlight w:val="yellow"/>
              </w:rPr>
            </w:pPr>
            <w:r w:rsidRPr="00C4368D">
              <w:rPr>
                <w:highlight w:val="yellow"/>
              </w:rPr>
              <w:t>$48</w:t>
            </w:r>
          </w:p>
        </w:tc>
        <w:tc>
          <w:tcPr>
            <w:tcW w:w="526" w:type="pct"/>
          </w:tcPr>
          <w:p w14:paraId="3C861DBE" w14:textId="4E37F9ED" w:rsidR="001114A4" w:rsidRPr="00D95196" w:rsidRDefault="001114A4" w:rsidP="001114A4">
            <w:pPr>
              <w:pStyle w:val="TableText"/>
              <w:rPr>
                <w:highlight w:val="yellow"/>
              </w:rPr>
            </w:pPr>
            <w:r w:rsidRPr="00C4368D">
              <w:rPr>
                <w:highlight w:val="yellow"/>
              </w:rPr>
              <w:t>$59</w:t>
            </w:r>
          </w:p>
        </w:tc>
        <w:tc>
          <w:tcPr>
            <w:tcW w:w="521" w:type="pct"/>
          </w:tcPr>
          <w:p w14:paraId="002FDE7D" w14:textId="547BCB25" w:rsidR="001114A4" w:rsidRPr="00D95196" w:rsidRDefault="001114A4" w:rsidP="001114A4">
            <w:pPr>
              <w:pStyle w:val="TableText"/>
              <w:rPr>
                <w:highlight w:val="yellow"/>
              </w:rPr>
            </w:pPr>
            <w:r w:rsidRPr="00C4368D">
              <w:rPr>
                <w:highlight w:val="yellow"/>
              </w:rPr>
              <w:t>$32</w:t>
            </w:r>
          </w:p>
        </w:tc>
      </w:tr>
      <w:tr w:rsidR="001114A4" w:rsidRPr="00C47C08" w14:paraId="1528B99B" w14:textId="77777777" w:rsidTr="005365D1">
        <w:trPr>
          <w:jc w:val="center"/>
        </w:trPr>
        <w:tc>
          <w:tcPr>
            <w:tcW w:w="5000" w:type="pct"/>
            <w:gridSpan w:val="6"/>
            <w:shd w:val="clear" w:color="auto" w:fill="D9D9D9" w:themeFill="background1" w:themeFillShade="D9"/>
            <w:noWrap/>
            <w:vAlign w:val="bottom"/>
          </w:tcPr>
          <w:p w14:paraId="1BBB924B" w14:textId="2D5455D9" w:rsidR="001114A4" w:rsidRDefault="001114A4" w:rsidP="005365D1">
            <w:pPr>
              <w:pStyle w:val="TableSource"/>
            </w:pPr>
            <w:r w:rsidRPr="00C47C08">
              <w:t>Notes:</w:t>
            </w:r>
            <w:r>
              <w:t xml:space="preserve"> </w:t>
            </w:r>
            <w:r w:rsidR="008B5CA1">
              <w:t>lb CO</w:t>
            </w:r>
            <w:r w:rsidR="008B5CA1">
              <w:rPr>
                <w:vertAlign w:val="subscript"/>
              </w:rPr>
              <w:t>2</w:t>
            </w:r>
            <w:r w:rsidR="008B5CA1">
              <w:t xml:space="preserve"> = pounds of carbon dioxide</w:t>
            </w:r>
            <w:r>
              <w:t>, MT CO</w:t>
            </w:r>
            <w:r w:rsidRPr="00B21713">
              <w:rPr>
                <w:vertAlign w:val="subscript"/>
              </w:rPr>
              <w:t>2</w:t>
            </w:r>
            <w:r>
              <w:t xml:space="preserve"> = metric tons of carbon dioxide</w:t>
            </w:r>
          </w:p>
          <w:p w14:paraId="05E8055E" w14:textId="77777777" w:rsidR="001114A4" w:rsidRPr="00B21713" w:rsidRDefault="001114A4" w:rsidP="005365D1">
            <w:pPr>
              <w:pStyle w:val="TableSource"/>
            </w:pPr>
            <w:r w:rsidRPr="00B21713">
              <w:rPr>
                <w:vertAlign w:val="superscript"/>
              </w:rPr>
              <w:t>1</w:t>
            </w:r>
            <w:r>
              <w:rPr>
                <w:vertAlign w:val="superscript"/>
              </w:rPr>
              <w:t xml:space="preserve"> </w:t>
            </w:r>
            <w:r>
              <w:t>Relative to EMFAC2017 Forecasts</w:t>
            </w:r>
          </w:p>
          <w:p w14:paraId="31228A84" w14:textId="77777777" w:rsidR="001114A4" w:rsidRPr="00C47C08" w:rsidRDefault="001114A4" w:rsidP="005365D1">
            <w:pPr>
              <w:pStyle w:val="TableSource"/>
            </w:pPr>
            <w:r>
              <w:t>Source: Modeled by Ascent Environmental in 2018</w:t>
            </w:r>
          </w:p>
        </w:tc>
      </w:tr>
    </w:tbl>
    <w:p w14:paraId="624AA80E" w14:textId="5F5A6C31" w:rsidR="008735DD" w:rsidRDefault="008735DD" w:rsidP="006C061E">
      <w:pPr>
        <w:pStyle w:val="BodyText"/>
      </w:pPr>
    </w:p>
    <w:p w14:paraId="2AF57852" w14:textId="47963DD2" w:rsidR="00D95196" w:rsidRDefault="00D95196" w:rsidP="006C061E">
      <w:pPr>
        <w:pStyle w:val="BodyText"/>
      </w:pPr>
      <w:commentRangeStart w:id="5"/>
      <w:r>
        <w:lastRenderedPageBreak/>
        <w:t xml:space="preserve">Table 11 shows the calculation of the reductions per capita, using the same methodology used in SANDAG’s 2015 Regional Plan, where total daily emissions reductions in pounds per day are divided by the forecasted population. </w:t>
      </w:r>
      <w:commentRangeEnd w:id="5"/>
      <w:r>
        <w:rPr>
          <w:rStyle w:val="CommentReference"/>
        </w:rPr>
        <w:commentReference w:id="5"/>
      </w:r>
      <w:r>
        <w:t>The result is divided by the 2005 baseline emissions per capita to calculate an additional percent reduction in per capita emissions that would be applied to the per-capita reductions calculated under SANDAG’s main transportation model for the 2019 Regional Plan.</w:t>
      </w:r>
    </w:p>
    <w:tbl>
      <w:tblPr>
        <w:tblW w:w="5000" w:type="pct"/>
        <w:jc w:val="center"/>
        <w:tblBorders>
          <w:insideH w:val="single" w:sz="4" w:space="0" w:color="auto"/>
          <w:insideV w:val="single" w:sz="4" w:space="0" w:color="auto"/>
        </w:tblBorders>
        <w:tblCellMar>
          <w:top w:w="43" w:type="dxa"/>
          <w:left w:w="115" w:type="dxa"/>
          <w:bottom w:w="43" w:type="dxa"/>
          <w:right w:w="115" w:type="dxa"/>
        </w:tblCellMar>
        <w:tblLook w:val="04A0" w:firstRow="1" w:lastRow="0" w:firstColumn="1" w:lastColumn="0" w:noHBand="0" w:noVBand="1"/>
      </w:tblPr>
      <w:tblGrid>
        <w:gridCol w:w="4789"/>
        <w:gridCol w:w="1061"/>
        <w:gridCol w:w="1060"/>
        <w:gridCol w:w="1060"/>
        <w:gridCol w:w="1060"/>
        <w:gridCol w:w="1050"/>
      </w:tblGrid>
      <w:tr w:rsidR="00D95196" w:rsidRPr="00B42715" w14:paraId="345EA604" w14:textId="77777777" w:rsidTr="005365D1">
        <w:trPr>
          <w:tblHeader/>
          <w:jc w:val="center"/>
        </w:trPr>
        <w:tc>
          <w:tcPr>
            <w:tcW w:w="5000" w:type="pct"/>
            <w:gridSpan w:val="6"/>
            <w:shd w:val="clear" w:color="auto" w:fill="auto"/>
            <w:noWrap/>
            <w:vAlign w:val="bottom"/>
          </w:tcPr>
          <w:p w14:paraId="06137AE7" w14:textId="1F99EC67" w:rsidR="00D95196" w:rsidRDefault="00D95196" w:rsidP="005365D1">
            <w:pPr>
              <w:pStyle w:val="TableHeader"/>
            </w:pPr>
            <w:r>
              <w:br w:type="page"/>
            </w:r>
            <w:r>
              <w:rPr>
                <w:color w:val="000000"/>
                <w:szCs w:val="16"/>
              </w:rPr>
              <w:br w:type="page"/>
            </w:r>
            <w:r>
              <w:t>Table 11</w:t>
            </w:r>
            <w:r w:rsidRPr="00823EF7">
              <w:tab/>
            </w:r>
            <w:r>
              <w:t>Per-Capita Reductions from the 2019 Regional Plan Electric Vehicle Programs</w:t>
            </w:r>
          </w:p>
        </w:tc>
      </w:tr>
      <w:tr w:rsidR="00D95196" w:rsidRPr="00B42715" w14:paraId="7CC743F1" w14:textId="77777777" w:rsidTr="005365D1">
        <w:trPr>
          <w:trHeight w:val="289"/>
          <w:jc w:val="center"/>
        </w:trPr>
        <w:tc>
          <w:tcPr>
            <w:tcW w:w="2375" w:type="pct"/>
            <w:shd w:val="clear" w:color="auto" w:fill="D9D9D9" w:themeFill="background1" w:themeFillShade="D9"/>
            <w:noWrap/>
            <w:vAlign w:val="center"/>
            <w:hideMark/>
          </w:tcPr>
          <w:p w14:paraId="2E13C6D7" w14:textId="77777777" w:rsidR="00D95196" w:rsidRPr="00B42715" w:rsidRDefault="00D95196" w:rsidP="005365D1">
            <w:pPr>
              <w:pStyle w:val="TableColumn"/>
            </w:pPr>
          </w:p>
        </w:tc>
        <w:tc>
          <w:tcPr>
            <w:tcW w:w="526" w:type="pct"/>
            <w:shd w:val="clear" w:color="auto" w:fill="D9D9D9" w:themeFill="background1" w:themeFillShade="D9"/>
            <w:noWrap/>
            <w:hideMark/>
          </w:tcPr>
          <w:p w14:paraId="47BFE259" w14:textId="77777777" w:rsidR="00D95196" w:rsidRPr="009D1578" w:rsidRDefault="00D95196" w:rsidP="005365D1">
            <w:pPr>
              <w:pStyle w:val="TableColumn"/>
            </w:pPr>
            <w:r w:rsidRPr="000B50FC">
              <w:t>2020</w:t>
            </w:r>
          </w:p>
        </w:tc>
        <w:tc>
          <w:tcPr>
            <w:tcW w:w="526" w:type="pct"/>
            <w:shd w:val="clear" w:color="auto" w:fill="D9D9D9" w:themeFill="background1" w:themeFillShade="D9"/>
            <w:noWrap/>
            <w:hideMark/>
          </w:tcPr>
          <w:p w14:paraId="275B4BAC" w14:textId="77777777" w:rsidR="00D95196" w:rsidRPr="009D1578" w:rsidRDefault="00D95196" w:rsidP="005365D1">
            <w:pPr>
              <w:pStyle w:val="TableColumn"/>
            </w:pPr>
            <w:r w:rsidRPr="000B50FC">
              <w:t>2025</w:t>
            </w:r>
          </w:p>
        </w:tc>
        <w:tc>
          <w:tcPr>
            <w:tcW w:w="526" w:type="pct"/>
            <w:shd w:val="clear" w:color="auto" w:fill="D9D9D9" w:themeFill="background1" w:themeFillShade="D9"/>
            <w:noWrap/>
            <w:hideMark/>
          </w:tcPr>
          <w:p w14:paraId="7472C911" w14:textId="77777777" w:rsidR="00D95196" w:rsidRPr="009D1578" w:rsidRDefault="00D95196" w:rsidP="005365D1">
            <w:pPr>
              <w:pStyle w:val="TableColumn"/>
              <w:rPr>
                <w:color w:val="000000"/>
              </w:rPr>
            </w:pPr>
            <w:r w:rsidRPr="000B50FC">
              <w:t>2030</w:t>
            </w:r>
          </w:p>
        </w:tc>
        <w:tc>
          <w:tcPr>
            <w:tcW w:w="526" w:type="pct"/>
            <w:shd w:val="clear" w:color="auto" w:fill="D9D9D9" w:themeFill="background1" w:themeFillShade="D9"/>
          </w:tcPr>
          <w:p w14:paraId="72988B3B" w14:textId="77777777" w:rsidR="00D95196" w:rsidRPr="00F93031" w:rsidRDefault="00D95196" w:rsidP="005365D1">
            <w:pPr>
              <w:pStyle w:val="TableColumn"/>
            </w:pPr>
            <w:r w:rsidRPr="000B50FC">
              <w:t>2035</w:t>
            </w:r>
          </w:p>
        </w:tc>
        <w:tc>
          <w:tcPr>
            <w:tcW w:w="521" w:type="pct"/>
            <w:shd w:val="clear" w:color="auto" w:fill="D9D9D9" w:themeFill="background1" w:themeFillShade="D9"/>
          </w:tcPr>
          <w:p w14:paraId="61225297" w14:textId="77777777" w:rsidR="00D95196" w:rsidRPr="00F93031" w:rsidRDefault="00D95196" w:rsidP="005365D1">
            <w:pPr>
              <w:pStyle w:val="TableColumn"/>
            </w:pPr>
            <w:r w:rsidRPr="000B50FC">
              <w:t>2050</w:t>
            </w:r>
          </w:p>
        </w:tc>
      </w:tr>
      <w:tr w:rsidR="00D95196" w:rsidRPr="002C771F" w14:paraId="0D4ED70E" w14:textId="77777777" w:rsidTr="005365D1">
        <w:trPr>
          <w:jc w:val="center"/>
        </w:trPr>
        <w:tc>
          <w:tcPr>
            <w:tcW w:w="2375" w:type="pct"/>
            <w:shd w:val="clear" w:color="auto" w:fill="auto"/>
          </w:tcPr>
          <w:p w14:paraId="7E4450BA" w14:textId="77777777" w:rsidR="00D95196" w:rsidRDefault="00D95196" w:rsidP="005365D1">
            <w:pPr>
              <w:pStyle w:val="TableTextL"/>
            </w:pPr>
            <w:r w:rsidRPr="00FD4F02">
              <w:t>Combined Daily Reductions</w:t>
            </w:r>
            <w:r>
              <w:t xml:space="preserve"> (lb CO</w:t>
            </w:r>
            <w:r w:rsidRPr="00B21713">
              <w:rPr>
                <w:vertAlign w:val="subscript"/>
              </w:rPr>
              <w:t>2</w:t>
            </w:r>
            <w:r>
              <w:t>/day)</w:t>
            </w:r>
          </w:p>
        </w:tc>
        <w:tc>
          <w:tcPr>
            <w:tcW w:w="526" w:type="pct"/>
            <w:shd w:val="clear" w:color="auto" w:fill="auto"/>
          </w:tcPr>
          <w:p w14:paraId="1DD9FE03" w14:textId="77777777" w:rsidR="00D95196" w:rsidRPr="00D95196" w:rsidRDefault="00D95196" w:rsidP="005365D1">
            <w:pPr>
              <w:pStyle w:val="TableText"/>
              <w:rPr>
                <w:highlight w:val="yellow"/>
              </w:rPr>
            </w:pPr>
            <w:r w:rsidRPr="00D95196">
              <w:rPr>
                <w:highlight w:val="yellow"/>
              </w:rPr>
              <w:t xml:space="preserve"> 558,794 </w:t>
            </w:r>
          </w:p>
        </w:tc>
        <w:tc>
          <w:tcPr>
            <w:tcW w:w="526" w:type="pct"/>
            <w:shd w:val="clear" w:color="auto" w:fill="auto"/>
          </w:tcPr>
          <w:p w14:paraId="4EF2781B" w14:textId="77777777" w:rsidR="00D95196" w:rsidRPr="00D95196" w:rsidRDefault="00D95196" w:rsidP="005365D1">
            <w:pPr>
              <w:pStyle w:val="TableText"/>
              <w:rPr>
                <w:highlight w:val="yellow"/>
              </w:rPr>
            </w:pPr>
            <w:r w:rsidRPr="00D95196">
              <w:rPr>
                <w:highlight w:val="yellow"/>
              </w:rPr>
              <w:t xml:space="preserve"> 825,256 </w:t>
            </w:r>
          </w:p>
        </w:tc>
        <w:tc>
          <w:tcPr>
            <w:tcW w:w="526" w:type="pct"/>
            <w:shd w:val="clear" w:color="auto" w:fill="auto"/>
            <w:noWrap/>
          </w:tcPr>
          <w:p w14:paraId="46F6746E" w14:textId="77777777" w:rsidR="00D95196" w:rsidRPr="00D95196" w:rsidRDefault="00D95196" w:rsidP="005365D1">
            <w:pPr>
              <w:pStyle w:val="TableText"/>
              <w:rPr>
                <w:highlight w:val="yellow"/>
              </w:rPr>
            </w:pPr>
            <w:r w:rsidRPr="00D95196">
              <w:rPr>
                <w:highlight w:val="yellow"/>
              </w:rPr>
              <w:t xml:space="preserve"> 846,997 </w:t>
            </w:r>
          </w:p>
        </w:tc>
        <w:tc>
          <w:tcPr>
            <w:tcW w:w="526" w:type="pct"/>
          </w:tcPr>
          <w:p w14:paraId="77DD8AE1" w14:textId="77777777" w:rsidR="00D95196" w:rsidRPr="00D95196" w:rsidRDefault="00D95196" w:rsidP="005365D1">
            <w:pPr>
              <w:pStyle w:val="TableText"/>
              <w:rPr>
                <w:highlight w:val="yellow"/>
              </w:rPr>
            </w:pPr>
            <w:r w:rsidRPr="00D95196">
              <w:rPr>
                <w:highlight w:val="yellow"/>
              </w:rPr>
              <w:t xml:space="preserve"> 976,384 </w:t>
            </w:r>
          </w:p>
        </w:tc>
        <w:tc>
          <w:tcPr>
            <w:tcW w:w="521" w:type="pct"/>
          </w:tcPr>
          <w:p w14:paraId="0925E1A9" w14:textId="77777777" w:rsidR="00D95196" w:rsidRPr="00D95196" w:rsidRDefault="00D95196" w:rsidP="005365D1">
            <w:pPr>
              <w:pStyle w:val="TableText"/>
              <w:rPr>
                <w:highlight w:val="yellow"/>
              </w:rPr>
            </w:pPr>
            <w:r w:rsidRPr="00D95196">
              <w:rPr>
                <w:highlight w:val="yellow"/>
              </w:rPr>
              <w:t xml:space="preserve"> 1,924,864 </w:t>
            </w:r>
          </w:p>
        </w:tc>
      </w:tr>
      <w:tr w:rsidR="00D95196" w:rsidRPr="002C771F" w14:paraId="20CA5295" w14:textId="77777777" w:rsidTr="005365D1">
        <w:trPr>
          <w:jc w:val="center"/>
        </w:trPr>
        <w:tc>
          <w:tcPr>
            <w:tcW w:w="2375" w:type="pct"/>
            <w:shd w:val="clear" w:color="auto" w:fill="auto"/>
          </w:tcPr>
          <w:p w14:paraId="4977810C" w14:textId="5A0C7692" w:rsidR="00D95196" w:rsidRPr="00832878" w:rsidRDefault="00D95196" w:rsidP="00D95196">
            <w:pPr>
              <w:pStyle w:val="TableTextL"/>
            </w:pPr>
            <w:r>
              <w:t>SANDAG Population under the 2019 Regional Plan</w:t>
            </w:r>
          </w:p>
        </w:tc>
        <w:tc>
          <w:tcPr>
            <w:tcW w:w="526" w:type="pct"/>
            <w:shd w:val="clear" w:color="auto" w:fill="auto"/>
          </w:tcPr>
          <w:p w14:paraId="089E9855" w14:textId="6669EAE2" w:rsidR="00D95196" w:rsidRPr="00D95196" w:rsidRDefault="00D95196" w:rsidP="00D95196">
            <w:pPr>
              <w:pStyle w:val="TableText"/>
              <w:rPr>
                <w:highlight w:val="yellow"/>
              </w:rPr>
            </w:pPr>
            <w:r w:rsidRPr="006825F3">
              <w:rPr>
                <w:highlight w:val="yellow"/>
              </w:rPr>
              <w:t xml:space="preserve"> 3,435,713 </w:t>
            </w:r>
          </w:p>
        </w:tc>
        <w:tc>
          <w:tcPr>
            <w:tcW w:w="526" w:type="pct"/>
            <w:shd w:val="clear" w:color="auto" w:fill="auto"/>
          </w:tcPr>
          <w:p w14:paraId="4746A8BB" w14:textId="1D3AED56" w:rsidR="00D95196" w:rsidRPr="00D95196" w:rsidRDefault="00D95196" w:rsidP="00D95196">
            <w:pPr>
              <w:pStyle w:val="TableText"/>
              <w:rPr>
                <w:highlight w:val="yellow"/>
              </w:rPr>
            </w:pPr>
            <w:r w:rsidRPr="00C4368D">
              <w:rPr>
                <w:highlight w:val="yellow"/>
              </w:rPr>
              <w:t xml:space="preserve"> 3,575,041 </w:t>
            </w:r>
          </w:p>
        </w:tc>
        <w:tc>
          <w:tcPr>
            <w:tcW w:w="526" w:type="pct"/>
            <w:shd w:val="clear" w:color="auto" w:fill="auto"/>
            <w:noWrap/>
          </w:tcPr>
          <w:p w14:paraId="7CC3DC15" w14:textId="06CF9933" w:rsidR="00D95196" w:rsidRPr="00D95196" w:rsidRDefault="00D95196" w:rsidP="00D95196">
            <w:pPr>
              <w:pStyle w:val="TableText"/>
              <w:rPr>
                <w:highlight w:val="yellow"/>
              </w:rPr>
            </w:pPr>
            <w:r w:rsidRPr="006825F3">
              <w:rPr>
                <w:highlight w:val="yellow"/>
              </w:rPr>
              <w:t xml:space="preserve"> 3,714,370 </w:t>
            </w:r>
          </w:p>
        </w:tc>
        <w:tc>
          <w:tcPr>
            <w:tcW w:w="526" w:type="pct"/>
          </w:tcPr>
          <w:p w14:paraId="00DEFCC8" w14:textId="3CAE376E" w:rsidR="00D95196" w:rsidRPr="00D95196" w:rsidRDefault="00D95196" w:rsidP="00D95196">
            <w:pPr>
              <w:pStyle w:val="TableText"/>
              <w:rPr>
                <w:highlight w:val="yellow"/>
              </w:rPr>
            </w:pPr>
            <w:r w:rsidRPr="006825F3">
              <w:rPr>
                <w:highlight w:val="yellow"/>
              </w:rPr>
              <w:t xml:space="preserve"> 3,853,698 </w:t>
            </w:r>
          </w:p>
        </w:tc>
        <w:tc>
          <w:tcPr>
            <w:tcW w:w="521" w:type="pct"/>
          </w:tcPr>
          <w:p w14:paraId="05942E8C" w14:textId="1A37ACC5" w:rsidR="00D95196" w:rsidRPr="00D95196" w:rsidRDefault="00D95196" w:rsidP="00D95196">
            <w:pPr>
              <w:pStyle w:val="TableText"/>
              <w:rPr>
                <w:highlight w:val="yellow"/>
              </w:rPr>
            </w:pPr>
            <w:r w:rsidRPr="006825F3">
              <w:rPr>
                <w:highlight w:val="yellow"/>
              </w:rPr>
              <w:t xml:space="preserve"> 4,068,759 </w:t>
            </w:r>
          </w:p>
        </w:tc>
      </w:tr>
      <w:tr w:rsidR="00D95196" w:rsidRPr="002C771F" w14:paraId="5F9D1338" w14:textId="77777777" w:rsidTr="00D95196">
        <w:trPr>
          <w:jc w:val="center"/>
        </w:trPr>
        <w:tc>
          <w:tcPr>
            <w:tcW w:w="2375" w:type="pct"/>
            <w:shd w:val="clear" w:color="auto" w:fill="auto"/>
          </w:tcPr>
          <w:p w14:paraId="0CCED311" w14:textId="37F17D46" w:rsidR="00D95196" w:rsidRPr="00832878" w:rsidRDefault="00D95196" w:rsidP="00D95196">
            <w:pPr>
              <w:pStyle w:val="TableTextL"/>
            </w:pPr>
            <w:r>
              <w:t>2005 Baseline Emissions per capita (lb CO</w:t>
            </w:r>
            <w:r w:rsidRPr="006825F3">
              <w:rPr>
                <w:vertAlign w:val="subscript"/>
              </w:rPr>
              <w:t>2</w:t>
            </w:r>
            <w:r>
              <w:t>/person)</w:t>
            </w:r>
          </w:p>
        </w:tc>
        <w:tc>
          <w:tcPr>
            <w:tcW w:w="2625" w:type="pct"/>
            <w:gridSpan w:val="5"/>
            <w:shd w:val="clear" w:color="auto" w:fill="auto"/>
          </w:tcPr>
          <w:p w14:paraId="308B0073" w14:textId="40AF5954" w:rsidR="00D95196" w:rsidRPr="00D95196" w:rsidRDefault="00D95196">
            <w:pPr>
              <w:pStyle w:val="TableText"/>
              <w:rPr>
                <w:highlight w:val="yellow"/>
              </w:rPr>
            </w:pPr>
            <w:r w:rsidRPr="006825F3">
              <w:rPr>
                <w:highlight w:val="yellow"/>
              </w:rPr>
              <w:t xml:space="preserve"> 26</w:t>
            </w:r>
          </w:p>
        </w:tc>
      </w:tr>
      <w:tr w:rsidR="00D95196" w:rsidRPr="002C771F" w14:paraId="668917D4" w14:textId="77777777" w:rsidTr="005365D1">
        <w:trPr>
          <w:jc w:val="center"/>
        </w:trPr>
        <w:tc>
          <w:tcPr>
            <w:tcW w:w="2375" w:type="pct"/>
            <w:shd w:val="clear" w:color="auto" w:fill="auto"/>
          </w:tcPr>
          <w:p w14:paraId="27F72436" w14:textId="708E15D1" w:rsidR="00D95196" w:rsidRPr="00445F06" w:rsidRDefault="00D95196" w:rsidP="00D95196">
            <w:pPr>
              <w:pStyle w:val="TableTextL"/>
            </w:pPr>
            <w:r>
              <w:t>Reduction per capita from EV programs (lb CO</w:t>
            </w:r>
            <w:r w:rsidRPr="006825F3">
              <w:rPr>
                <w:vertAlign w:val="subscript"/>
              </w:rPr>
              <w:t>2</w:t>
            </w:r>
            <w:r>
              <w:t>/person)</w:t>
            </w:r>
          </w:p>
        </w:tc>
        <w:tc>
          <w:tcPr>
            <w:tcW w:w="526" w:type="pct"/>
            <w:shd w:val="clear" w:color="auto" w:fill="auto"/>
          </w:tcPr>
          <w:p w14:paraId="4F34EF6D" w14:textId="79E02F09" w:rsidR="00D95196" w:rsidRPr="00D95196" w:rsidRDefault="00D95196" w:rsidP="00D95196">
            <w:pPr>
              <w:pStyle w:val="TableText"/>
              <w:rPr>
                <w:highlight w:val="yellow"/>
              </w:rPr>
            </w:pPr>
            <w:r w:rsidRPr="006825F3">
              <w:rPr>
                <w:highlight w:val="yellow"/>
              </w:rPr>
              <w:t xml:space="preserve"> 0.16 </w:t>
            </w:r>
          </w:p>
        </w:tc>
        <w:tc>
          <w:tcPr>
            <w:tcW w:w="526" w:type="pct"/>
            <w:shd w:val="clear" w:color="auto" w:fill="auto"/>
          </w:tcPr>
          <w:p w14:paraId="3CD21133" w14:textId="5285CF42" w:rsidR="00D95196" w:rsidRPr="00D95196" w:rsidRDefault="00D95196" w:rsidP="00D95196">
            <w:pPr>
              <w:pStyle w:val="TableText"/>
              <w:rPr>
                <w:highlight w:val="yellow"/>
              </w:rPr>
            </w:pPr>
            <w:r w:rsidRPr="006825F3">
              <w:rPr>
                <w:highlight w:val="yellow"/>
              </w:rPr>
              <w:t xml:space="preserve"> 0.23 </w:t>
            </w:r>
          </w:p>
        </w:tc>
        <w:tc>
          <w:tcPr>
            <w:tcW w:w="526" w:type="pct"/>
            <w:shd w:val="clear" w:color="auto" w:fill="auto"/>
            <w:noWrap/>
          </w:tcPr>
          <w:p w14:paraId="61EA9AE1" w14:textId="5A8FDA61" w:rsidR="00D95196" w:rsidRPr="00D95196" w:rsidRDefault="00D95196" w:rsidP="00D95196">
            <w:pPr>
              <w:pStyle w:val="TableText"/>
              <w:rPr>
                <w:highlight w:val="yellow"/>
              </w:rPr>
            </w:pPr>
            <w:r w:rsidRPr="006825F3">
              <w:rPr>
                <w:highlight w:val="yellow"/>
              </w:rPr>
              <w:t xml:space="preserve"> 0.23 </w:t>
            </w:r>
          </w:p>
        </w:tc>
        <w:tc>
          <w:tcPr>
            <w:tcW w:w="526" w:type="pct"/>
          </w:tcPr>
          <w:p w14:paraId="0044A347" w14:textId="79D82F17" w:rsidR="00D95196" w:rsidRPr="00D95196" w:rsidRDefault="00D95196" w:rsidP="00D95196">
            <w:pPr>
              <w:pStyle w:val="TableText"/>
              <w:rPr>
                <w:highlight w:val="yellow"/>
              </w:rPr>
            </w:pPr>
            <w:r w:rsidRPr="006825F3">
              <w:rPr>
                <w:highlight w:val="yellow"/>
              </w:rPr>
              <w:t xml:space="preserve"> 0.25 </w:t>
            </w:r>
          </w:p>
        </w:tc>
        <w:tc>
          <w:tcPr>
            <w:tcW w:w="521" w:type="pct"/>
          </w:tcPr>
          <w:p w14:paraId="64387FBB" w14:textId="354FA987" w:rsidR="00D95196" w:rsidRPr="00D95196" w:rsidRDefault="00D95196" w:rsidP="00D95196">
            <w:pPr>
              <w:pStyle w:val="TableText"/>
              <w:rPr>
                <w:highlight w:val="yellow"/>
              </w:rPr>
            </w:pPr>
            <w:r w:rsidRPr="006825F3">
              <w:rPr>
                <w:highlight w:val="yellow"/>
              </w:rPr>
              <w:t xml:space="preserve"> 0.47 </w:t>
            </w:r>
          </w:p>
        </w:tc>
      </w:tr>
      <w:tr w:rsidR="00D95196" w:rsidRPr="002C771F" w14:paraId="5B19D5E5" w14:textId="77777777" w:rsidTr="005365D1">
        <w:trPr>
          <w:jc w:val="center"/>
        </w:trPr>
        <w:tc>
          <w:tcPr>
            <w:tcW w:w="2375" w:type="pct"/>
            <w:shd w:val="clear" w:color="auto" w:fill="auto"/>
          </w:tcPr>
          <w:p w14:paraId="346401A6" w14:textId="72CF623D" w:rsidR="00D95196" w:rsidRDefault="00D95196" w:rsidP="00D95196">
            <w:pPr>
              <w:pStyle w:val="TableTextL"/>
            </w:pPr>
            <w:r>
              <w:t>Additional Percent per capita reduction</w:t>
            </w:r>
          </w:p>
        </w:tc>
        <w:tc>
          <w:tcPr>
            <w:tcW w:w="526" w:type="pct"/>
            <w:shd w:val="clear" w:color="auto" w:fill="auto"/>
          </w:tcPr>
          <w:p w14:paraId="7BA00AC7" w14:textId="27AB829A" w:rsidR="00D95196" w:rsidRPr="00D95196" w:rsidRDefault="00D95196" w:rsidP="00D95196">
            <w:pPr>
              <w:pStyle w:val="TableText"/>
              <w:rPr>
                <w:highlight w:val="yellow"/>
              </w:rPr>
            </w:pPr>
            <w:r w:rsidRPr="006825F3">
              <w:rPr>
                <w:highlight w:val="yellow"/>
              </w:rPr>
              <w:t>0.6%</w:t>
            </w:r>
          </w:p>
        </w:tc>
        <w:tc>
          <w:tcPr>
            <w:tcW w:w="526" w:type="pct"/>
            <w:shd w:val="clear" w:color="auto" w:fill="auto"/>
          </w:tcPr>
          <w:p w14:paraId="45CA6D74" w14:textId="0C8DD847" w:rsidR="00D95196" w:rsidRPr="00D95196" w:rsidRDefault="00D95196" w:rsidP="00D95196">
            <w:pPr>
              <w:pStyle w:val="TableText"/>
              <w:rPr>
                <w:highlight w:val="yellow"/>
              </w:rPr>
            </w:pPr>
            <w:r w:rsidRPr="006825F3">
              <w:rPr>
                <w:highlight w:val="yellow"/>
              </w:rPr>
              <w:t>0.9%</w:t>
            </w:r>
          </w:p>
        </w:tc>
        <w:tc>
          <w:tcPr>
            <w:tcW w:w="526" w:type="pct"/>
            <w:shd w:val="clear" w:color="auto" w:fill="auto"/>
            <w:noWrap/>
          </w:tcPr>
          <w:p w14:paraId="01D5CA0B" w14:textId="23C5AD96" w:rsidR="00D95196" w:rsidRPr="00D95196" w:rsidRDefault="00D95196" w:rsidP="00D95196">
            <w:pPr>
              <w:pStyle w:val="TableText"/>
              <w:rPr>
                <w:highlight w:val="yellow"/>
              </w:rPr>
            </w:pPr>
            <w:r w:rsidRPr="006825F3">
              <w:rPr>
                <w:highlight w:val="yellow"/>
              </w:rPr>
              <w:t>0.9%</w:t>
            </w:r>
          </w:p>
        </w:tc>
        <w:tc>
          <w:tcPr>
            <w:tcW w:w="526" w:type="pct"/>
          </w:tcPr>
          <w:p w14:paraId="01B4C5BE" w14:textId="4E40F3F7" w:rsidR="00D95196" w:rsidRPr="00D95196" w:rsidRDefault="00D95196" w:rsidP="00D95196">
            <w:pPr>
              <w:pStyle w:val="TableText"/>
              <w:rPr>
                <w:highlight w:val="yellow"/>
              </w:rPr>
            </w:pPr>
            <w:r w:rsidRPr="006825F3">
              <w:rPr>
                <w:highlight w:val="yellow"/>
              </w:rPr>
              <w:t>1.0%</w:t>
            </w:r>
          </w:p>
        </w:tc>
        <w:tc>
          <w:tcPr>
            <w:tcW w:w="521" w:type="pct"/>
          </w:tcPr>
          <w:p w14:paraId="0F12B0EB" w14:textId="1634328A" w:rsidR="00D95196" w:rsidRPr="00D95196" w:rsidRDefault="00D95196" w:rsidP="00D95196">
            <w:pPr>
              <w:pStyle w:val="TableText"/>
              <w:rPr>
                <w:highlight w:val="yellow"/>
              </w:rPr>
            </w:pPr>
            <w:r w:rsidRPr="006825F3">
              <w:rPr>
                <w:highlight w:val="yellow"/>
              </w:rPr>
              <w:t>1.8%</w:t>
            </w:r>
          </w:p>
        </w:tc>
      </w:tr>
      <w:tr w:rsidR="00D95196" w:rsidRPr="00C47C08" w14:paraId="77D8B454" w14:textId="77777777" w:rsidTr="005365D1">
        <w:trPr>
          <w:jc w:val="center"/>
        </w:trPr>
        <w:tc>
          <w:tcPr>
            <w:tcW w:w="5000" w:type="pct"/>
            <w:gridSpan w:val="6"/>
            <w:shd w:val="clear" w:color="auto" w:fill="D9D9D9" w:themeFill="background1" w:themeFillShade="D9"/>
            <w:noWrap/>
            <w:vAlign w:val="bottom"/>
          </w:tcPr>
          <w:p w14:paraId="455D1E01" w14:textId="7934B62F" w:rsidR="00D95196" w:rsidRDefault="00D95196" w:rsidP="005365D1">
            <w:pPr>
              <w:pStyle w:val="TableSource"/>
            </w:pPr>
            <w:r w:rsidRPr="00C47C08">
              <w:t>Notes:</w:t>
            </w:r>
            <w:r>
              <w:t xml:space="preserve"> L2 = Level 2, DC = direct current, </w:t>
            </w:r>
            <w:r w:rsidR="00620ADD">
              <w:t>lb</w:t>
            </w:r>
            <w:r>
              <w:t xml:space="preserve"> CO</w:t>
            </w:r>
            <w:r w:rsidRPr="00B21713">
              <w:rPr>
                <w:vertAlign w:val="subscript"/>
              </w:rPr>
              <w:t>2</w:t>
            </w:r>
            <w:r>
              <w:t xml:space="preserve"> = </w:t>
            </w:r>
            <w:r w:rsidR="00620ADD">
              <w:t>pounds</w:t>
            </w:r>
            <w:r>
              <w:t xml:space="preserve"> of carbon dioxide</w:t>
            </w:r>
          </w:p>
          <w:p w14:paraId="2054EDFF" w14:textId="77777777" w:rsidR="00D95196" w:rsidRPr="00B21713" w:rsidRDefault="00D95196" w:rsidP="005365D1">
            <w:pPr>
              <w:pStyle w:val="TableSource"/>
            </w:pPr>
            <w:r w:rsidRPr="00B21713">
              <w:rPr>
                <w:vertAlign w:val="superscript"/>
              </w:rPr>
              <w:t>1</w:t>
            </w:r>
            <w:r>
              <w:rPr>
                <w:vertAlign w:val="superscript"/>
              </w:rPr>
              <w:t xml:space="preserve"> </w:t>
            </w:r>
            <w:r>
              <w:t>Relative to EMFAC2017 Forecasts</w:t>
            </w:r>
          </w:p>
          <w:p w14:paraId="753B1D1C" w14:textId="77777777" w:rsidR="00D95196" w:rsidRPr="00C47C08" w:rsidRDefault="00D95196" w:rsidP="005365D1">
            <w:pPr>
              <w:pStyle w:val="TableSource"/>
            </w:pPr>
            <w:r>
              <w:t>Source: Modeled by Ascent Environmental in 2018</w:t>
            </w:r>
          </w:p>
        </w:tc>
      </w:tr>
    </w:tbl>
    <w:p w14:paraId="0874EA46" w14:textId="0EBD4A74" w:rsidR="00542B09" w:rsidRDefault="00542B09">
      <w:pPr>
        <w:spacing w:after="200"/>
      </w:pPr>
      <w:r>
        <w:br w:type="page"/>
      </w:r>
    </w:p>
    <w:p w14:paraId="0EDDFE37" w14:textId="32960759" w:rsidR="00542B09" w:rsidRDefault="00542B09" w:rsidP="00542B09">
      <w:pPr>
        <w:pStyle w:val="Heading4"/>
      </w:pPr>
      <w:r>
        <w:lastRenderedPageBreak/>
        <w:t>References</w:t>
      </w:r>
    </w:p>
    <w:p w14:paraId="601E78BD" w14:textId="2246AA20" w:rsidR="00DD5032" w:rsidRDefault="00DD5032" w:rsidP="00DD5032">
      <w:pPr>
        <w:pStyle w:val="BodyText"/>
        <w:ind w:left="720" w:hanging="720"/>
      </w:pPr>
      <w:r>
        <w:t xml:space="preserve">AFDC. </w:t>
      </w:r>
      <w:r w:rsidRPr="00DD5032">
        <w:rPr>
          <w:i/>
        </w:rPr>
        <w:t>See</w:t>
      </w:r>
      <w:r>
        <w:t xml:space="preserve"> Alternative Fuels Data Center</w:t>
      </w:r>
    </w:p>
    <w:p w14:paraId="368B0050" w14:textId="0F844382" w:rsidR="00DD5032" w:rsidRPr="00D52E97" w:rsidRDefault="00DD5032" w:rsidP="00DD5032">
      <w:pPr>
        <w:pStyle w:val="BodyText"/>
        <w:ind w:left="720" w:hanging="720"/>
      </w:pPr>
      <w:r>
        <w:t>Alternative Fuels Data Center.</w:t>
      </w:r>
      <w:r w:rsidRPr="00BF6CA5">
        <w:t xml:space="preserve"> 2018.</w:t>
      </w:r>
      <w:r>
        <w:t xml:space="preserve"> </w:t>
      </w:r>
      <w:r w:rsidRPr="00BF6CA5">
        <w:t>Electric Vehicle Infrastructure Projection Tool (EVI-Pro) Lite</w:t>
      </w:r>
      <w:r>
        <w:t xml:space="preserve">. </w:t>
      </w:r>
      <w:r w:rsidRPr="00BF6CA5">
        <w:t xml:space="preserve">U.S. Department of Energy. </w:t>
      </w:r>
      <w:r>
        <w:t xml:space="preserve">Available: </w:t>
      </w:r>
      <w:hyperlink r:id="rId14" w:history="1">
        <w:r w:rsidRPr="00BF6CA5">
          <w:t>https://www.afdc.energy.gov/evi-pro-lite</w:t>
        </w:r>
      </w:hyperlink>
      <w:r>
        <w:t>. Accessed July 6, 2018.</w:t>
      </w:r>
    </w:p>
    <w:p w14:paraId="5B13F833" w14:textId="51433238" w:rsidR="00DD5032" w:rsidRDefault="00DD5032" w:rsidP="00D52E97">
      <w:pPr>
        <w:pStyle w:val="BodyText"/>
        <w:ind w:left="720" w:hanging="720"/>
      </w:pPr>
      <w:r>
        <w:t xml:space="preserve">CARB. </w:t>
      </w:r>
      <w:r w:rsidRPr="00DD5032">
        <w:rPr>
          <w:i/>
        </w:rPr>
        <w:t>See</w:t>
      </w:r>
      <w:r>
        <w:t xml:space="preserve"> </w:t>
      </w:r>
      <w:r w:rsidRPr="00D52E97">
        <w:t>California Air Resources Board</w:t>
      </w:r>
    </w:p>
    <w:p w14:paraId="62EA9468" w14:textId="53A48958" w:rsidR="00247431" w:rsidRDefault="00542B09" w:rsidP="00247431">
      <w:pPr>
        <w:pStyle w:val="BodyText"/>
        <w:ind w:left="720" w:hanging="720"/>
      </w:pPr>
      <w:r w:rsidRPr="00D52E97">
        <w:t xml:space="preserve">California Air Resources Board. </w:t>
      </w:r>
      <w:r w:rsidR="00247431">
        <w:t xml:space="preserve">2011 (July). </w:t>
      </w:r>
      <w:r w:rsidR="00247431" w:rsidRPr="00F34C87">
        <w:rPr>
          <w:i/>
        </w:rPr>
        <w:t xml:space="preserve">Description of Methodology for ARB Staff Review of Greenhouse Gas Reductions from Sustainable Communities Strategies (SCS) Pursuant to SB 375. </w:t>
      </w:r>
      <w:r w:rsidR="00247431">
        <w:t xml:space="preserve">Available: </w:t>
      </w:r>
      <w:hyperlink r:id="rId15" w:history="1">
        <w:r w:rsidR="00247431" w:rsidRPr="00AF29B0">
          <w:rPr>
            <w:rStyle w:val="Hyperlink"/>
          </w:rPr>
          <w:t>https://www.arb.ca.gov/cc/sb375/scs_review_methodology.pdf</w:t>
        </w:r>
      </w:hyperlink>
      <w:r w:rsidR="00247431">
        <w:t>. Accessed July 24, 2018.</w:t>
      </w:r>
    </w:p>
    <w:p w14:paraId="220341D7" w14:textId="5C4C4C7F" w:rsidR="00542B09" w:rsidRDefault="00247431" w:rsidP="00D52E97">
      <w:pPr>
        <w:pStyle w:val="BodyText"/>
        <w:ind w:left="720" w:hanging="720"/>
      </w:pPr>
      <w:r>
        <w:t xml:space="preserve">______. </w:t>
      </w:r>
      <w:r w:rsidR="00542B09" w:rsidRPr="00D52E97">
        <w:t xml:space="preserve">2014 (April). </w:t>
      </w:r>
      <w:r w:rsidR="00542B09" w:rsidRPr="00BF6CA5">
        <w:rPr>
          <w:i/>
        </w:rPr>
        <w:t>Technical Evaluation of the Greenhouse Gas Emissions Reduction Quantification for the Association of Bay Area Governments’ and Metropolitan Transportation Commission’s SB 375 Sustainable Communities Strategy</w:t>
      </w:r>
      <w:r w:rsidR="00542B09" w:rsidRPr="00D52E97">
        <w:t xml:space="preserve">. Available: </w:t>
      </w:r>
      <w:hyperlink r:id="rId16" w:history="1">
        <w:r w:rsidR="00542B09" w:rsidRPr="00D52E97">
          <w:t>https://www.arb.ca.gov/cc/sb375/mtc_scs_tech_eval_final0414.pdf</w:t>
        </w:r>
      </w:hyperlink>
      <w:r w:rsidR="00542B09" w:rsidRPr="00D52E97">
        <w:t>. Accessed July 6, 2018.</w:t>
      </w:r>
    </w:p>
    <w:p w14:paraId="62113B6F" w14:textId="0793BDF5" w:rsidR="00BF6CA5" w:rsidRDefault="00BF6CA5" w:rsidP="00BF6CA5">
      <w:pPr>
        <w:pStyle w:val="BodyText"/>
        <w:ind w:left="720" w:hanging="720"/>
      </w:pPr>
      <w:r>
        <w:t xml:space="preserve">______. 2015 (May). </w:t>
      </w:r>
      <w:r w:rsidRPr="00BF6CA5">
        <w:rPr>
          <w:i/>
        </w:rPr>
        <w:t>EMFAC2014 Volume III – Technical Documentation.</w:t>
      </w:r>
      <w:r>
        <w:t xml:space="preserve"> Available: </w:t>
      </w:r>
      <w:hyperlink r:id="rId17" w:history="1">
        <w:r w:rsidRPr="009C009A">
          <w:rPr>
            <w:rStyle w:val="Hyperlink"/>
          </w:rPr>
          <w:t>https://www.arb.ca.gov/msei/downloads/emfac2014/emfac2014-vol3-technical-documentation-052015.pdf</w:t>
        </w:r>
      </w:hyperlink>
      <w:r>
        <w:t>. Accessed July 6, 2018.</w:t>
      </w:r>
    </w:p>
    <w:p w14:paraId="49EB120E" w14:textId="6A03532D" w:rsidR="0095347D" w:rsidRPr="0095347D" w:rsidRDefault="0095347D" w:rsidP="0095347D">
      <w:pPr>
        <w:pStyle w:val="BodyText"/>
        <w:ind w:left="720" w:hanging="720"/>
      </w:pPr>
      <w:r>
        <w:t xml:space="preserve">______. 2017 (January). </w:t>
      </w:r>
      <w:r w:rsidRPr="0095347D">
        <w:t>California’s</w:t>
      </w:r>
      <w:r>
        <w:t xml:space="preserve"> </w:t>
      </w:r>
      <w:r w:rsidRPr="0095347D">
        <w:t>Advanced Clean Cars</w:t>
      </w:r>
      <w:r>
        <w:t xml:space="preserve"> </w:t>
      </w:r>
      <w:r w:rsidRPr="0095347D">
        <w:t>Midterm Review</w:t>
      </w:r>
      <w:r>
        <w:t xml:space="preserve">. </w:t>
      </w:r>
      <w:r w:rsidRPr="0095347D">
        <w:rPr>
          <w:i/>
          <w:iCs/>
        </w:rPr>
        <w:t>Summary Report for the Technical Analysis</w:t>
      </w:r>
      <w:r>
        <w:rPr>
          <w:i/>
          <w:iCs/>
        </w:rPr>
        <w:t xml:space="preserve"> </w:t>
      </w:r>
      <w:r w:rsidRPr="0095347D">
        <w:rPr>
          <w:i/>
          <w:iCs/>
        </w:rPr>
        <w:t>of the Light Duty Vehicle Standards</w:t>
      </w:r>
      <w:r>
        <w:rPr>
          <w:iCs/>
        </w:rPr>
        <w:t xml:space="preserve">. Available: </w:t>
      </w:r>
      <w:hyperlink r:id="rId18" w:history="1">
        <w:r w:rsidRPr="00D24B90">
          <w:rPr>
            <w:rStyle w:val="Hyperlink"/>
            <w:iCs/>
          </w:rPr>
          <w:t>https://www.arb.ca.gov/msprog/acc/mtr/acc_mtr_finalreport_full.pdf</w:t>
        </w:r>
      </w:hyperlink>
      <w:r>
        <w:rPr>
          <w:iCs/>
        </w:rPr>
        <w:t xml:space="preserve">. Accessed August 13, 2018. </w:t>
      </w:r>
    </w:p>
    <w:p w14:paraId="164467AC" w14:textId="2A9940A1" w:rsidR="00247431" w:rsidRPr="002363F1" w:rsidRDefault="00247431" w:rsidP="00247431">
      <w:pPr>
        <w:pStyle w:val="BodyText"/>
        <w:ind w:left="720" w:hanging="720"/>
        <w:rPr>
          <w:szCs w:val="22"/>
        </w:rPr>
      </w:pPr>
      <w:r w:rsidRPr="002363F1">
        <w:rPr>
          <w:szCs w:val="22"/>
        </w:rPr>
        <w:t>______. 2017</w:t>
      </w:r>
      <w:r w:rsidR="00483D5C">
        <w:rPr>
          <w:szCs w:val="22"/>
        </w:rPr>
        <w:t>b</w:t>
      </w:r>
      <w:r w:rsidRPr="002363F1">
        <w:rPr>
          <w:szCs w:val="22"/>
        </w:rPr>
        <w:t xml:space="preserve">. (December). </w:t>
      </w:r>
      <w:r w:rsidRPr="002363F1">
        <w:rPr>
          <w:i/>
          <w:szCs w:val="22"/>
        </w:rPr>
        <w:t xml:space="preserve">California’s 2017 Climate Change Scoping Plan. </w:t>
      </w:r>
      <w:r w:rsidRPr="002363F1">
        <w:rPr>
          <w:szCs w:val="22"/>
        </w:rPr>
        <w:t xml:space="preserve">Available: </w:t>
      </w:r>
      <w:hyperlink r:id="rId19" w:history="1">
        <w:r w:rsidRPr="002363F1">
          <w:rPr>
            <w:rStyle w:val="Hyperlink"/>
            <w:szCs w:val="22"/>
          </w:rPr>
          <w:t>https://www.arb.ca.gov/cc/scopingplan/scoping_plan_2017.pdf</w:t>
        </w:r>
      </w:hyperlink>
      <w:r w:rsidRPr="002363F1">
        <w:rPr>
          <w:szCs w:val="22"/>
        </w:rPr>
        <w:t>. Accessed May 11, 2018.</w:t>
      </w:r>
    </w:p>
    <w:p w14:paraId="61899D03" w14:textId="74211DE0" w:rsidR="00D52E97" w:rsidRPr="00D52E97" w:rsidRDefault="00D52E97" w:rsidP="00D52E97">
      <w:pPr>
        <w:pStyle w:val="BodyText"/>
        <w:ind w:left="720" w:hanging="720"/>
      </w:pPr>
      <w:r>
        <w:t xml:space="preserve">______. 2018 (March). </w:t>
      </w:r>
      <w:r w:rsidRPr="00BF6CA5">
        <w:rPr>
          <w:i/>
        </w:rPr>
        <w:t xml:space="preserve">SB 375 Regional Greenhouse Gas Emissions Reduction Target. </w:t>
      </w:r>
      <w:r>
        <w:t xml:space="preserve">Available:  </w:t>
      </w:r>
      <w:hyperlink r:id="rId20" w:history="1">
        <w:r w:rsidRPr="009C009A">
          <w:rPr>
            <w:rStyle w:val="Hyperlink"/>
          </w:rPr>
          <w:t>https://www.arb.ca.gov/cc/sb375/finaltargets2018.pdf</w:t>
        </w:r>
      </w:hyperlink>
      <w:r>
        <w:t>. Accessed July 6, 2018.</w:t>
      </w:r>
    </w:p>
    <w:p w14:paraId="22A43B87" w14:textId="4CC3BB6E" w:rsidR="00D52E97" w:rsidRDefault="00D52E97" w:rsidP="00D52E97">
      <w:pPr>
        <w:pStyle w:val="BodyText"/>
        <w:ind w:left="720" w:hanging="720"/>
      </w:pPr>
      <w:r>
        <w:t xml:space="preserve">California Energy Commission. 2018 (March). </w:t>
      </w:r>
      <w:r w:rsidRPr="00BF6CA5">
        <w:rPr>
          <w:i/>
        </w:rPr>
        <w:t xml:space="preserve">California Plug-In Electric Vehicle Infrastructure Projections: 2017-2025 Future Infrastructure Needs for Reaching the State’s Zero Emission-Vehicle Deployment Goals. </w:t>
      </w:r>
      <w:r>
        <w:t xml:space="preserve">Staff Report. Available: </w:t>
      </w:r>
      <w:hyperlink r:id="rId21" w:history="1">
        <w:r w:rsidRPr="009C009A">
          <w:rPr>
            <w:rStyle w:val="Hyperlink"/>
          </w:rPr>
          <w:t>https://www.nrel.gov/docs/fy18osti/70893.pdf</w:t>
        </w:r>
      </w:hyperlink>
      <w:r>
        <w:t>. Accessed July 6, 2018.</w:t>
      </w:r>
    </w:p>
    <w:p w14:paraId="0E2D0F4F" w14:textId="77777777" w:rsidR="00DD5032" w:rsidRDefault="00DD5032" w:rsidP="00D52E97">
      <w:pPr>
        <w:pStyle w:val="BodyText"/>
        <w:ind w:left="720" w:hanging="720"/>
      </w:pPr>
      <w:r>
        <w:t xml:space="preserve">CEC. </w:t>
      </w:r>
      <w:r w:rsidRPr="00DD5032">
        <w:rPr>
          <w:i/>
        </w:rPr>
        <w:t>See</w:t>
      </w:r>
      <w:r>
        <w:t xml:space="preserve"> </w:t>
      </w:r>
      <w:r w:rsidRPr="00D52E97">
        <w:t xml:space="preserve">California </w:t>
      </w:r>
      <w:r>
        <w:t xml:space="preserve">Energy Commission </w:t>
      </w:r>
    </w:p>
    <w:p w14:paraId="17A25C38" w14:textId="7A27185F" w:rsidR="00D52E97" w:rsidRDefault="00D52E97" w:rsidP="00D52E97">
      <w:pPr>
        <w:pStyle w:val="BodyText"/>
        <w:ind w:left="720" w:hanging="720"/>
      </w:pPr>
      <w:r>
        <w:t xml:space="preserve">Center for Sustainable Energy. 2018 (March). </w:t>
      </w:r>
      <w:r w:rsidRPr="00D52E97">
        <w:rPr>
          <w:i/>
        </w:rPr>
        <w:t>Plug-in Electric Vehicle Market Growth Analysis: Plug-in SD</w:t>
      </w:r>
      <w:r>
        <w:t xml:space="preserve">. Prepared for San Diego Association of Governments. ARV-16-011. </w:t>
      </w:r>
    </w:p>
    <w:p w14:paraId="48DEE3EE" w14:textId="7BC58764" w:rsidR="00DD5032" w:rsidRDefault="00DD5032" w:rsidP="00D52E97">
      <w:pPr>
        <w:pStyle w:val="BodyText"/>
        <w:ind w:left="720" w:hanging="720"/>
      </w:pPr>
      <w:r>
        <w:t xml:space="preserve">CSE. </w:t>
      </w:r>
      <w:r w:rsidRPr="00DD5032">
        <w:rPr>
          <w:i/>
        </w:rPr>
        <w:t>See</w:t>
      </w:r>
      <w:r>
        <w:t xml:space="preserve"> Center for Sustainable Energy</w:t>
      </w:r>
    </w:p>
    <w:p w14:paraId="713FD386" w14:textId="60F42D80" w:rsidR="00542B09" w:rsidRPr="00D52E97" w:rsidRDefault="00542B09" w:rsidP="00D52E97">
      <w:pPr>
        <w:pStyle w:val="BodyText"/>
        <w:ind w:left="720" w:hanging="720"/>
      </w:pPr>
      <w:r w:rsidRPr="00D52E97">
        <w:t xml:space="preserve">Metropolitan Transportation Commission. 2017 (July). </w:t>
      </w:r>
      <w:r w:rsidRPr="00BF6CA5">
        <w:rPr>
          <w:i/>
        </w:rPr>
        <w:t xml:space="preserve">Plan Bay Area 2040: Final Travel Modeling Report. </w:t>
      </w:r>
      <w:r w:rsidRPr="00D52E97">
        <w:t xml:space="preserve">San Francisco, CA. Available: </w:t>
      </w:r>
      <w:hyperlink r:id="rId22" w:history="1">
        <w:r w:rsidRPr="00D52E97">
          <w:t>http://2040.planbayarea.org/sites/default/files/2017-07/Travel_Modeling_PBA2040_Supplemental%20Report_7-2017_0.pdf</w:t>
        </w:r>
      </w:hyperlink>
      <w:r w:rsidRPr="00D52E97">
        <w:t>. Accessed July 6, 2018.</w:t>
      </w:r>
    </w:p>
    <w:p w14:paraId="5D282232" w14:textId="7F765D0D" w:rsidR="00DD5032" w:rsidRDefault="00DD5032" w:rsidP="00DD5032">
      <w:pPr>
        <w:pStyle w:val="BodyText"/>
        <w:ind w:left="720" w:hanging="720"/>
      </w:pPr>
      <w:r>
        <w:lastRenderedPageBreak/>
        <w:t xml:space="preserve">MTC. </w:t>
      </w:r>
      <w:r w:rsidRPr="00DD5032">
        <w:rPr>
          <w:i/>
        </w:rPr>
        <w:t>See</w:t>
      </w:r>
      <w:r>
        <w:t xml:space="preserve"> </w:t>
      </w:r>
      <w:r w:rsidRPr="00D52E97">
        <w:t>Metropolitan Transportation Commission</w:t>
      </w:r>
    </w:p>
    <w:p w14:paraId="33AEDD87" w14:textId="289E11B2" w:rsidR="00DD5032" w:rsidRDefault="00DD5032" w:rsidP="00DD5032">
      <w:pPr>
        <w:pStyle w:val="BodyText"/>
        <w:ind w:left="720" w:hanging="720"/>
      </w:pPr>
      <w:r>
        <w:t xml:space="preserve">SACOG. </w:t>
      </w:r>
      <w:r w:rsidRPr="00DD5032">
        <w:rPr>
          <w:i/>
        </w:rPr>
        <w:t>See</w:t>
      </w:r>
      <w:r>
        <w:t xml:space="preserve"> Sacramento Area Council</w:t>
      </w:r>
      <w:r w:rsidRPr="00D52E97">
        <w:t xml:space="preserve"> of Governments</w:t>
      </w:r>
    </w:p>
    <w:p w14:paraId="45C22FC1" w14:textId="77777777" w:rsidR="00DD5032" w:rsidRDefault="00DD5032" w:rsidP="00D52E97">
      <w:pPr>
        <w:pStyle w:val="BodyText"/>
        <w:ind w:left="720" w:hanging="720"/>
      </w:pPr>
      <w:r>
        <w:t xml:space="preserve">SCAG. </w:t>
      </w:r>
      <w:r w:rsidRPr="00DD5032">
        <w:rPr>
          <w:i/>
        </w:rPr>
        <w:t>See</w:t>
      </w:r>
      <w:r>
        <w:t xml:space="preserve"> </w:t>
      </w:r>
      <w:r w:rsidR="003D362D" w:rsidRPr="00D52E97">
        <w:t>Southern California Association of Governments</w:t>
      </w:r>
    </w:p>
    <w:p w14:paraId="66B770DC" w14:textId="2C99DD2B" w:rsidR="003D362D" w:rsidRPr="00D52E97" w:rsidRDefault="00DD5032" w:rsidP="00D52E97">
      <w:pPr>
        <w:pStyle w:val="BodyText"/>
        <w:ind w:left="720" w:hanging="720"/>
      </w:pPr>
      <w:r w:rsidRPr="00D52E97">
        <w:t>Southern California Association of Governments</w:t>
      </w:r>
      <w:r w:rsidR="003D362D" w:rsidRPr="00D52E97">
        <w:t xml:space="preserve">. 2015 (November). </w:t>
      </w:r>
      <w:r w:rsidR="003D362D" w:rsidRPr="00BF6CA5">
        <w:rPr>
          <w:i/>
        </w:rPr>
        <w:t xml:space="preserve"> Southern California Association of Governments Technical Methodology to Estimate Greenhouse Gas Emissions—Revised. </w:t>
      </w:r>
      <w:r w:rsidR="003D362D" w:rsidRPr="00D52E97">
        <w:t xml:space="preserve">Available: </w:t>
      </w:r>
      <w:hyperlink r:id="rId23" w:history="1">
        <w:r w:rsidR="003D362D" w:rsidRPr="00D52E97">
          <w:t>https://www.arb.ca.gov/cc/sb375/sacog_ghg_tech_methodology.pdf</w:t>
        </w:r>
      </w:hyperlink>
      <w:r w:rsidR="003D362D" w:rsidRPr="00D52E97">
        <w:t>. Accessed July 6, 2018.</w:t>
      </w:r>
    </w:p>
    <w:p w14:paraId="075317F7" w14:textId="44501190" w:rsidR="003D362D" w:rsidRPr="00D52E97" w:rsidRDefault="003D362D" w:rsidP="00D52E97">
      <w:pPr>
        <w:pStyle w:val="BodyText"/>
        <w:ind w:left="720" w:hanging="720"/>
      </w:pPr>
      <w:r w:rsidRPr="00D52E97">
        <w:t xml:space="preserve">Sacramento Area Council of Governments. 2015 (September). </w:t>
      </w:r>
      <w:r w:rsidRPr="00BF6CA5">
        <w:rPr>
          <w:i/>
        </w:rPr>
        <w:t>Sacramento Area Council of Governments Technical Methodology to Estimate Greenhouse Gas Emissions—Revised</w:t>
      </w:r>
      <w:r w:rsidRPr="00D52E97">
        <w:t xml:space="preserve">. Available: </w:t>
      </w:r>
      <w:hyperlink r:id="rId24" w:history="1">
        <w:r w:rsidRPr="00D52E97">
          <w:t>https://www.arb.ca.gov/cc/sb375/sacog_ghg_tech_methodology.pdf</w:t>
        </w:r>
      </w:hyperlink>
      <w:r w:rsidRPr="00D52E97">
        <w:t>. Accessed July 6, 2018.</w:t>
      </w:r>
    </w:p>
    <w:p w14:paraId="4CEB779A" w14:textId="711F4873" w:rsidR="00BA135A" w:rsidRDefault="00D52E97" w:rsidP="00BA135A">
      <w:pPr>
        <w:pStyle w:val="BodyText"/>
        <w:ind w:left="720" w:hanging="720"/>
      </w:pPr>
      <w:r w:rsidRPr="00D52E97">
        <w:t xml:space="preserve">National Renewable Energy Laboratory. </w:t>
      </w:r>
      <w:r w:rsidR="00BA135A">
        <w:t xml:space="preserve">2017 (January). Regional Charging Infrastructure for Plug-In Electric Vehicles: A Case Study of Massachusetts. Available: </w:t>
      </w:r>
      <w:hyperlink r:id="rId25" w:history="1">
        <w:r w:rsidR="00BA135A" w:rsidRPr="009C009A">
          <w:rPr>
            <w:rStyle w:val="Hyperlink"/>
          </w:rPr>
          <w:t>https://www.nrel.gov/docs/fy17osti/67436.pdf</w:t>
        </w:r>
      </w:hyperlink>
      <w:r w:rsidR="00BA135A">
        <w:t>. Accessed July 6, 2018.</w:t>
      </w:r>
    </w:p>
    <w:p w14:paraId="65ADB53C" w14:textId="5C5F2DD0" w:rsidR="00D52E97" w:rsidRPr="00D52E97" w:rsidRDefault="00BA135A" w:rsidP="00D52E97">
      <w:pPr>
        <w:pStyle w:val="BodyText"/>
        <w:ind w:left="720" w:hanging="720"/>
      </w:pPr>
      <w:r>
        <w:t xml:space="preserve">______. </w:t>
      </w:r>
      <w:r w:rsidR="00D52E97" w:rsidRPr="00D52E97">
        <w:t xml:space="preserve">2018a (January). New EVSE Analytical Tools/Models: Electric Vehicle Infrastructure Projection Tool (EVI-Pro). Presentation. Available: </w:t>
      </w:r>
      <w:hyperlink r:id="rId26" w:history="1">
        <w:r w:rsidR="00D52E97" w:rsidRPr="00D52E97">
          <w:t>https://www.nrel.gov/docs/fy18osti/70831.pdf</w:t>
        </w:r>
      </w:hyperlink>
      <w:r w:rsidR="00D52E97" w:rsidRPr="00D52E97">
        <w:t>. Accessed July 6, 2018.</w:t>
      </w:r>
    </w:p>
    <w:p w14:paraId="76C6EEA3" w14:textId="1E21C38D" w:rsidR="00D52E97" w:rsidRDefault="00D52E97" w:rsidP="00D52E97">
      <w:pPr>
        <w:pStyle w:val="BodyText"/>
        <w:ind w:left="720" w:hanging="720"/>
      </w:pPr>
      <w:r>
        <w:t xml:space="preserve">______. 2018b. CEC EV Infrastructure Projection Tool (EVI-Pro). Available: </w:t>
      </w:r>
      <w:hyperlink r:id="rId27" w:history="1">
        <w:r w:rsidRPr="009C009A">
          <w:rPr>
            <w:rStyle w:val="Hyperlink"/>
          </w:rPr>
          <w:t>https://maps.nrel.gov/cec/?aL=0&amp;bL=cdark&amp;cE=0&amp;lR=0&amp;mC=37.84883250647402%2C-119.06982421874999&amp;zL=6</w:t>
        </w:r>
      </w:hyperlink>
      <w:r>
        <w:t>. Accessed July 6, 2018.</w:t>
      </w:r>
    </w:p>
    <w:p w14:paraId="1057A8C8" w14:textId="67342E29" w:rsidR="00DD5032" w:rsidRDefault="00DD5032" w:rsidP="00D52E97">
      <w:pPr>
        <w:pStyle w:val="BodyText"/>
        <w:ind w:left="720" w:hanging="720"/>
      </w:pPr>
      <w:r>
        <w:t xml:space="preserve">NREL. </w:t>
      </w:r>
      <w:r w:rsidRPr="00DD5032">
        <w:rPr>
          <w:i/>
        </w:rPr>
        <w:t>See</w:t>
      </w:r>
      <w:r w:rsidRPr="00DD5032">
        <w:t xml:space="preserve"> </w:t>
      </w:r>
      <w:r w:rsidRPr="00D52E97">
        <w:t>Natio</w:t>
      </w:r>
      <w:r>
        <w:t>nal Renewable Energy Laboratory</w:t>
      </w:r>
    </w:p>
    <w:p w14:paraId="544508E2" w14:textId="16E45AF7" w:rsidR="00D52E97" w:rsidRDefault="00BF6CA5" w:rsidP="00BF6CA5">
      <w:pPr>
        <w:pStyle w:val="Heading5"/>
      </w:pPr>
      <w:r>
        <w:t>Personal Communications</w:t>
      </w:r>
    </w:p>
    <w:p w14:paraId="54A5FCC4" w14:textId="38D2F266" w:rsidR="00A07E15" w:rsidRDefault="00A07E15" w:rsidP="00BF6CA5">
      <w:pPr>
        <w:pStyle w:val="BodyText"/>
        <w:ind w:left="720" w:hanging="720"/>
      </w:pPr>
      <w:r>
        <w:t>Bedir, Kadir. Air Pollution Specialist. California Energy Commission, Sacramento, CA. July 6, 2018. – call with Brenda Hom of Ascent Environmental regarding questions on how to estimate charging hours associated with different PEVs and charger destination types.</w:t>
      </w:r>
    </w:p>
    <w:p w14:paraId="0ED068FB" w14:textId="2F2E9DAA" w:rsidR="000267A2" w:rsidRDefault="00BF6CA5" w:rsidP="00C4368D">
      <w:pPr>
        <w:spacing w:after="200"/>
      </w:pPr>
      <w:r>
        <w:t xml:space="preserve">Long, Jeffrey. Staff Air Pollution Specialist. </w:t>
      </w:r>
      <w:r w:rsidR="00BB4793">
        <w:t>Mobile Source Analysis Branch, Air Quality Planning and Science Division, California Air Resources Board, El Monte, CA. June 25, 2018</w:t>
      </w:r>
      <w:r w:rsidR="00BA135A">
        <w:t>a</w:t>
      </w:r>
      <w:r w:rsidR="00BB4793">
        <w:t xml:space="preserve"> – email to Brenda Hom of Ascent Environmental with a breakdown of </w:t>
      </w:r>
      <w:r w:rsidR="00BA135A">
        <w:t xml:space="preserve">the ZEV population by ZEV type and model year through 2017 for the month of October 2016 in the SANDAG region, as modeled in </w:t>
      </w:r>
      <w:r w:rsidR="008311A2">
        <w:t>EMFAC2017</w:t>
      </w:r>
      <w:r w:rsidR="00BA135A">
        <w:t xml:space="preserve">; </w:t>
      </w:r>
      <w:r w:rsidR="004C73F4">
        <w:t xml:space="preserve">June 8, 2018b – </w:t>
      </w:r>
      <w:r w:rsidR="00BA135A">
        <w:t xml:space="preserve">email to Brenda Hom of Ascent Environmental with the assumed utility factor for PHEVs in </w:t>
      </w:r>
      <w:r w:rsidR="008311A2">
        <w:t>EMFAC2017</w:t>
      </w:r>
      <w:r w:rsidR="00BA135A">
        <w:t xml:space="preserve"> by model year.</w:t>
      </w:r>
    </w:p>
    <w:sectPr w:rsidR="000267A2" w:rsidSect="00EF718C">
      <w:headerReference w:type="default" r:id="rId28"/>
      <w:footerReference w:type="default" r:id="rId29"/>
      <w:headerReference w:type="first" r:id="rId30"/>
      <w:footerReference w:type="first" r:id="rId31"/>
      <w:pgSz w:w="12240" w:h="15840"/>
      <w:pgMar w:top="1440" w:right="1080" w:bottom="1440" w:left="1080" w:header="720" w:footer="487"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Brenda Hom" w:date="2018-08-15T09:26:00Z" w:initials="BH">
    <w:p w14:paraId="7E1756A1" w14:textId="6AC6E42B" w:rsidR="00196062" w:rsidRDefault="00196062">
      <w:pPr>
        <w:pStyle w:val="CommentText"/>
      </w:pPr>
      <w:r>
        <w:rPr>
          <w:rStyle w:val="CommentReference"/>
        </w:rPr>
        <w:annotationRef/>
      </w:r>
      <w:r>
        <w:t>Highlighted numbers are placeholders.</w:t>
      </w:r>
    </w:p>
  </w:comment>
  <w:comment w:id="2" w:author="Brenda Hom" w:date="2018-08-15T09:41:00Z" w:initials="BH">
    <w:p w14:paraId="349BDF3F" w14:textId="198E1336" w:rsidR="00196062" w:rsidRDefault="00196062">
      <w:pPr>
        <w:pStyle w:val="CommentText"/>
      </w:pPr>
      <w:r>
        <w:rPr>
          <w:rStyle w:val="CommentReference"/>
        </w:rPr>
        <w:annotationRef/>
      </w:r>
      <w:r>
        <w:t>Will need to change if the “no DCFC” option is chosen.</w:t>
      </w:r>
    </w:p>
  </w:comment>
  <w:comment w:id="3" w:author="Brenda Hom" w:date="2018-08-15T12:22:00Z" w:initials="BH">
    <w:p w14:paraId="7CDDC240" w14:textId="011D9C1B" w:rsidR="00196062" w:rsidRDefault="00196062">
      <w:pPr>
        <w:pStyle w:val="CommentText"/>
      </w:pPr>
      <w:r>
        <w:rPr>
          <w:rStyle w:val="CommentReference"/>
        </w:rPr>
        <w:annotationRef/>
      </w:r>
      <w:r>
        <w:t>Cumulative emissions are shown to help calculate $/MTCO2, because the cumulative costs are shown. Let us know if you want to remove this. Same comment for Table 8.</w:t>
      </w:r>
    </w:p>
  </w:comment>
  <w:comment w:id="4" w:author="Brenda Hom" w:date="2018-08-15T14:34:00Z" w:initials="BH">
    <w:p w14:paraId="003DEFCF" w14:textId="45837576" w:rsidR="00196062" w:rsidRDefault="00196062">
      <w:pPr>
        <w:pStyle w:val="CommentText"/>
      </w:pPr>
      <w:r>
        <w:rPr>
          <w:rStyle w:val="CommentReference"/>
        </w:rPr>
        <w:annotationRef/>
      </w:r>
      <w:r>
        <w:t>The rest of this discussion will need to be completed depending on scenario selected.</w:t>
      </w:r>
    </w:p>
  </w:comment>
  <w:comment w:id="5" w:author="Brenda Hom" w:date="2018-08-15T14:36:00Z" w:initials="BH">
    <w:p w14:paraId="2479D3F8" w14:textId="77777777" w:rsidR="00196062" w:rsidRDefault="00196062" w:rsidP="0099622D">
      <w:pPr>
        <w:pStyle w:val="CommentText"/>
      </w:pPr>
      <w:r>
        <w:rPr>
          <w:rStyle w:val="CommentReference"/>
        </w:rPr>
        <w:annotationRef/>
      </w:r>
      <w:r>
        <w:t>The tool currently calculates the percent reduction in per-capita emissions as part of the results summary. However, that calculation is not normalized to the 2005 baseline. According to ARB guidance (</w:t>
      </w:r>
      <w:hyperlink r:id="rId1" w:history="1">
        <w:r w:rsidRPr="00B67236">
          <w:rPr>
            <w:rStyle w:val="Hyperlink"/>
          </w:rPr>
          <w:t>http://www.tahoempo.org/rtp_2016/rfp/2-CO2%20Adjustments.pdf</w:t>
        </w:r>
      </w:hyperlink>
      <w:r>
        <w:t xml:space="preserve">), any per-capita reductions in newer SCSs need to be normalized against EMFAC2007 because ARB targets were originally based on EMFAC2007 while newer SCS use more recent versions of EMFAC. We anticipate that SANDAG will be performing this adjustment once the overall per-capita emissions reductions under the 2019 Regional Plan is calculated. </w:t>
      </w:r>
    </w:p>
    <w:p w14:paraId="6919118E" w14:textId="77777777" w:rsidR="00196062" w:rsidRDefault="00196062" w:rsidP="0099622D">
      <w:pPr>
        <w:pStyle w:val="CommentText"/>
      </w:pPr>
    </w:p>
    <w:p w14:paraId="7669011E" w14:textId="5152FC70" w:rsidR="00196062" w:rsidRDefault="00196062" w:rsidP="0099622D">
      <w:pPr>
        <w:pStyle w:val="CommentText"/>
      </w:pPr>
      <w:r>
        <w:t>The table and discussion here are provided as a placeholder.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E1756A1" w15:done="0"/>
  <w15:commentEx w15:paraId="349BDF3F" w15:done="0"/>
  <w15:commentEx w15:paraId="7CDDC240" w15:done="0"/>
  <w15:commentEx w15:paraId="003DEFCF" w15:done="0"/>
  <w15:commentEx w15:paraId="7669011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1756A1" w16cid:durableId="1F1E704C"/>
  <w16cid:commentId w16cid:paraId="349BDF3F" w16cid:durableId="1F1E73D4"/>
  <w16cid:commentId w16cid:paraId="7CDDC240" w16cid:durableId="1F1E9984"/>
  <w16cid:commentId w16cid:paraId="003DEFCF" w16cid:durableId="1F1EB85B"/>
  <w16cid:commentId w16cid:paraId="7669011E" w16cid:durableId="1F1EB8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2F37A1" w14:textId="77777777" w:rsidR="00196062" w:rsidRDefault="00196062" w:rsidP="00F474D0">
      <w:r>
        <w:separator/>
      </w:r>
    </w:p>
  </w:endnote>
  <w:endnote w:type="continuationSeparator" w:id="0">
    <w:p w14:paraId="1A627CE7" w14:textId="77777777" w:rsidR="00196062" w:rsidRDefault="00196062" w:rsidP="00F474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6408D" w14:textId="77777777" w:rsidR="00196062" w:rsidRDefault="00196062" w:rsidP="00EF718C">
    <w:pPr>
      <w:jc w:val="right"/>
    </w:pPr>
    <w:r>
      <w:rPr>
        <w:noProof/>
      </w:rPr>
      <w:drawing>
        <wp:inline distT="0" distB="0" distL="0" distR="0" wp14:anchorId="1C52BB6C" wp14:editId="2CECDA08">
          <wp:extent cx="571517" cy="365760"/>
          <wp:effectExtent l="19050" t="0" r="0" b="0"/>
          <wp:docPr id="3" name="Picture 2" descr="Ascent_Grey_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cent_Grey_large.jpg"/>
                  <pic:cNvPicPr/>
                </pic:nvPicPr>
                <pic:blipFill>
                  <a:blip r:embed="rId1"/>
                  <a:stretch>
                    <a:fillRect/>
                  </a:stretch>
                </pic:blipFill>
                <pic:spPr>
                  <a:xfrm>
                    <a:off x="0" y="0"/>
                    <a:ext cx="571517" cy="36576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4DABDE" w14:textId="77777777" w:rsidR="00196062" w:rsidRDefault="00196062" w:rsidP="001E6913">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F1B3F5" w14:textId="77777777" w:rsidR="00196062" w:rsidRDefault="00196062" w:rsidP="00F474D0">
      <w:r>
        <w:separator/>
      </w:r>
    </w:p>
  </w:footnote>
  <w:footnote w:type="continuationSeparator" w:id="0">
    <w:p w14:paraId="7516C6AF" w14:textId="77777777" w:rsidR="00196062" w:rsidRDefault="00196062" w:rsidP="00F474D0">
      <w:r>
        <w:continuationSeparator/>
      </w:r>
    </w:p>
  </w:footnote>
  <w:footnote w:id="1">
    <w:p w14:paraId="4E95E386" w14:textId="77777777" w:rsidR="00196062" w:rsidRDefault="00196062" w:rsidP="008270C0">
      <w:pPr>
        <w:pStyle w:val="footnote"/>
        <w:ind w:left="101" w:hanging="101"/>
      </w:pPr>
      <w:r>
        <w:rPr>
          <w:rStyle w:val="FootnoteReference"/>
        </w:rPr>
        <w:footnoteRef/>
      </w:r>
      <w:r>
        <w:t xml:space="preserve"> EVI-Pro should not be confused with EVI-Pro Lite, a simplified version of EVI-Pro, was not used in this analysis (AFDC 2018). Although EVI-Pro Lite is a publicly available version of EVI-Pro, it does not include many of the assumptions embedded in CEC’s California-specific runs. In comparisons between EVI-Pro and EVI-Pro Lite, the latter substantially underestimates the number of DC Fast Chargers in the San Diego region. EVI-Pro Lite also requires the user to input the PEV fleet mix and level of access to home charging, whereas CEC already uses data specific to the San Diego region to support those assumptions. </w:t>
      </w:r>
      <w:r>
        <w:rPr>
          <w:rStyle w:val="CommentReference"/>
        </w:rPr>
        <w:annotationRef/>
      </w:r>
      <w:r>
        <w:rPr>
          <w:rStyle w:val="CommentReference"/>
        </w:rPr>
        <w:annotationRef/>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49807" w14:textId="77777777" w:rsidR="00196062" w:rsidRPr="00F50384" w:rsidRDefault="00196062" w:rsidP="00536C3D">
    <w:pPr>
      <w:pStyle w:val="HeaderNoLine"/>
    </w:pPr>
    <w:r w:rsidRPr="00F50384">
      <w:t>Memo</w:t>
    </w:r>
  </w:p>
  <w:p w14:paraId="1D094BDE" w14:textId="028E0DBD" w:rsidR="00196062" w:rsidRDefault="00196062" w:rsidP="00536C3D">
    <w:pPr>
      <w:pStyle w:val="HeaderNoLine"/>
    </w:pPr>
    <w:r>
      <w:t>August 21</w:t>
    </w:r>
    <w:r w:rsidRPr="00F50384">
      <w:t>, 2018</w:t>
    </w:r>
  </w:p>
  <w:p w14:paraId="08B038ED" w14:textId="044EA7CF" w:rsidR="00196062" w:rsidRDefault="00196062" w:rsidP="00536C3D">
    <w:pPr>
      <w:pStyle w:val="HeaderNoLine"/>
    </w:pPr>
    <w:r>
      <w:t xml:space="preserve">Page </w:t>
    </w:r>
    <w:r>
      <w:fldChar w:fldCharType="begin"/>
    </w:r>
    <w:r>
      <w:instrText xml:space="preserve"> PAGE   \* MERGEFORMAT </w:instrText>
    </w:r>
    <w:r>
      <w:fldChar w:fldCharType="separate"/>
    </w:r>
    <w:r>
      <w:rPr>
        <w:noProof/>
      </w:rPr>
      <w:t>9</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B0BE47" w14:textId="77777777" w:rsidR="00196062" w:rsidRPr="00536C3D" w:rsidRDefault="00196062" w:rsidP="001E6913">
    <w:pPr>
      <w:pStyle w:val="HeaderMain"/>
      <w:pBdr>
        <w:bottom w:val="none" w:sz="0" w:space="0" w:color="auto"/>
      </w:pBdr>
    </w:pPr>
    <w:r w:rsidRPr="00536C3D">
      <w:drawing>
        <wp:anchor distT="0" distB="0" distL="114300" distR="114300" simplePos="0" relativeHeight="251659264" behindDoc="0" locked="1" layoutInCell="1" allowOverlap="1" wp14:anchorId="15752D71" wp14:editId="4B5CF4EF">
          <wp:simplePos x="0" y="0"/>
          <wp:positionH relativeFrom="page">
            <wp:posOffset>6011545</wp:posOffset>
          </wp:positionH>
          <wp:positionV relativeFrom="page">
            <wp:posOffset>628650</wp:posOffset>
          </wp:positionV>
          <wp:extent cx="1071880" cy="687705"/>
          <wp:effectExtent l="19050" t="0" r="0" b="0"/>
          <wp:wrapNone/>
          <wp:docPr id="2" name="Picture 0" descr="Ascent_Grey_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cent_Grey_large.jpg"/>
                  <pic:cNvPicPr/>
                </pic:nvPicPr>
                <pic:blipFill>
                  <a:blip r:embed="rId1"/>
                  <a:stretch>
                    <a:fillRect/>
                  </a:stretch>
                </pic:blipFill>
                <pic:spPr>
                  <a:xfrm>
                    <a:off x="0" y="0"/>
                    <a:ext cx="1071880" cy="687705"/>
                  </a:xfrm>
                  <a:prstGeom prst="rect">
                    <a:avLst/>
                  </a:prstGeom>
                </pic:spPr>
              </pic:pic>
            </a:graphicData>
          </a:graphic>
        </wp:anchor>
      </w:drawing>
    </w:r>
    <w:r w:rsidRPr="00536C3D">
      <w:t>Memo</w:t>
    </w:r>
  </w:p>
  <w:p w14:paraId="3180A08E" w14:textId="43F8DB34" w:rsidR="00196062" w:rsidRPr="00536C3D" w:rsidRDefault="00196062" w:rsidP="00536C3D">
    <w:pPr>
      <w:pStyle w:val="Header"/>
    </w:pPr>
    <w:r>
      <w:tab/>
      <w:t>600 B Street</w:t>
    </w:r>
    <w:r w:rsidRPr="00536C3D">
      <w:t xml:space="preserve">, Suite </w:t>
    </w:r>
    <w:r>
      <w:t>300</w:t>
    </w:r>
  </w:p>
  <w:p w14:paraId="2E9C3D9B" w14:textId="01A2C120" w:rsidR="00196062" w:rsidRPr="00536C3D" w:rsidRDefault="00196062" w:rsidP="00536C3D">
    <w:pPr>
      <w:pStyle w:val="Header"/>
    </w:pPr>
    <w:r>
      <w:tab/>
      <w:t>San Diego</w:t>
    </w:r>
    <w:r w:rsidRPr="00536C3D">
      <w:t xml:space="preserve">, CA </w:t>
    </w:r>
    <w:r>
      <w:t>92101</w:t>
    </w:r>
  </w:p>
  <w:p w14:paraId="3AF42ADE" w14:textId="77777777" w:rsidR="00196062" w:rsidRPr="00536C3D" w:rsidRDefault="00196062" w:rsidP="00536C3D">
    <w:pPr>
      <w:pStyle w:val="Header"/>
    </w:pPr>
    <w:r>
      <w:tab/>
    </w:r>
    <w:r w:rsidRPr="00536C3D">
      <w:t>916.444</w:t>
    </w:r>
    <w:r>
      <w:t>.</w:t>
    </w:r>
    <w:r w:rsidRPr="00536C3D">
      <w:t>7301</w:t>
    </w:r>
  </w:p>
  <w:p w14:paraId="441D4C08" w14:textId="77777777" w:rsidR="00196062" w:rsidRPr="00536C3D" w:rsidRDefault="00196062" w:rsidP="00536C3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F92C03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23B031E"/>
    <w:multiLevelType w:val="multilevel"/>
    <w:tmpl w:val="750E359E"/>
    <w:lvl w:ilvl="0">
      <w:start w:val="1"/>
      <w:numFmt w:val="decimal"/>
      <w:pStyle w:val="Heading1"/>
      <w:lvlText w:val="%1"/>
      <w:lvlJc w:val="center"/>
      <w:pPr>
        <w:ind w:left="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1260"/>
        </w:tabs>
        <w:ind w:left="1080" w:hanging="108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080"/>
        </w:tabs>
        <w:ind w:left="1080" w:hanging="1080"/>
      </w:pPr>
      <w:rPr>
        <w:rFonts w:ascii="Franklin Gothic Medium Cond" w:hAnsi="Franklin Gothic Medium Cond" w:cs="Times New Roman" w:hint="default"/>
        <w:b w:val="0"/>
        <w:bCs w:val="0"/>
        <w:i w:val="0"/>
        <w:iCs w:val="0"/>
        <w:caps w:val="0"/>
        <w:smallCaps w:val="0"/>
        <w:strike w:val="0"/>
        <w:dstrike w:val="0"/>
        <w:noProof w:val="0"/>
        <w:vanish w:val="0"/>
        <w:color w:val="000000"/>
        <w:spacing w:val="0"/>
        <w:kern w:val="0"/>
        <w:position w:val="0"/>
        <w:sz w:val="3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080"/>
        </w:tabs>
        <w:ind w:left="0" w:firstLine="0"/>
      </w:pPr>
      <w:rPr>
        <w:rFonts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15:restartNumberingAfterBreak="0">
    <w:nsid w:val="14B227D4"/>
    <w:multiLevelType w:val="hybridMultilevel"/>
    <w:tmpl w:val="A29252B2"/>
    <w:lvl w:ilvl="0" w:tplc="F29E6040">
      <w:start w:val="1"/>
      <w:numFmt w:val="bullet"/>
      <w:pStyle w:val="MMBullet3"/>
      <w:lvlText w:val=""/>
      <w:lvlJc w:val="left"/>
      <w:pPr>
        <w:ind w:left="1080" w:hanging="360"/>
      </w:pPr>
      <w:rPr>
        <w:rFonts w:ascii="Wingdings" w:hAnsi="Wingdings" w:hint="default"/>
        <w:b w:val="0"/>
        <w:i w:val="0"/>
        <w:color w:val="auto"/>
        <w:sz w:val="24"/>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2A0BD8"/>
    <w:multiLevelType w:val="hybridMultilevel"/>
    <w:tmpl w:val="86168B50"/>
    <w:lvl w:ilvl="0" w:tplc="01F807B4">
      <w:start w:val="1"/>
      <w:numFmt w:val="bullet"/>
      <w:pStyle w:val="MMBullet1"/>
      <w:lvlText w:val=""/>
      <w:lvlJc w:val="left"/>
      <w:pPr>
        <w:ind w:left="720" w:hanging="360"/>
      </w:pPr>
      <w:rPr>
        <w:rFonts w:ascii="Wingdings 3" w:hAnsi="Wingdings 3" w:hint="default"/>
        <w:b w:val="0"/>
        <w:i w:val="0"/>
        <w:color w:val="auto"/>
        <w:sz w:val="16"/>
        <w:szCs w:val="20"/>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07193C"/>
    <w:multiLevelType w:val="hybridMultilevel"/>
    <w:tmpl w:val="C4B26F38"/>
    <w:lvl w:ilvl="0" w:tplc="FE62A556">
      <w:start w:val="1"/>
      <w:numFmt w:val="bullet"/>
      <w:pStyle w:val="Bullet2"/>
      <w:lvlText w:val=""/>
      <w:lvlJc w:val="left"/>
      <w:pPr>
        <w:ind w:left="720" w:hanging="360"/>
      </w:pPr>
      <w:rPr>
        <w:rFonts w:ascii="Wingdings 3" w:hAnsi="Wingdings 3" w:cs="Times New Roman" w:hint="default"/>
        <w:b w:val="0"/>
        <w:bCs w:val="0"/>
        <w:i w:val="0"/>
        <w:iCs w:val="0"/>
        <w:caps w:val="0"/>
        <w:smallCaps w:val="0"/>
        <w:strike w:val="0"/>
        <w:dstrike w:val="0"/>
        <w:noProof w:val="0"/>
        <w:vanish w:val="0"/>
        <w:color w:val="000000"/>
        <w:spacing w:val="0"/>
        <w:kern w:val="0"/>
        <w:position w:val="0"/>
        <w:sz w:val="1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257A9D"/>
    <w:multiLevelType w:val="hybridMultilevel"/>
    <w:tmpl w:val="D84EB71E"/>
    <w:lvl w:ilvl="0" w:tplc="A9EAF6B4">
      <w:start w:val="1"/>
      <w:numFmt w:val="bullet"/>
      <w:pStyle w:val="Mitigation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064B32"/>
    <w:multiLevelType w:val="hybridMultilevel"/>
    <w:tmpl w:val="4066F432"/>
    <w:lvl w:ilvl="0" w:tplc="33A2361C">
      <w:start w:val="1"/>
      <w:numFmt w:val="bullet"/>
      <w:pStyle w:val="TableTextBullet"/>
      <w:lvlText w:val=""/>
      <w:lvlJc w:val="left"/>
      <w:pPr>
        <w:ind w:left="720" w:hanging="360"/>
      </w:pPr>
      <w:rPr>
        <w:rFonts w:ascii="Wingdings 3" w:hAnsi="Wingdings 3" w:hint="default"/>
        <w:b w:val="0"/>
        <w:i w:val="0"/>
        <w:color w:val="auto"/>
        <w:sz w:val="16"/>
        <w:szCs w:val="20"/>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FE6A4A"/>
    <w:multiLevelType w:val="hybridMultilevel"/>
    <w:tmpl w:val="75DAC376"/>
    <w:lvl w:ilvl="0" w:tplc="956E30A6">
      <w:start w:val="1"/>
      <w:numFmt w:val="bullet"/>
      <w:pStyle w:val="Bullet1"/>
      <w:lvlText w:val=""/>
      <w:lvlJc w:val="left"/>
      <w:pPr>
        <w:ind w:left="360" w:hanging="360"/>
      </w:pPr>
      <w:rPr>
        <w:rFonts w:ascii="Wingdings 3" w:hAnsi="Wingdings 3" w:hint="default"/>
        <w:b w:val="0"/>
        <w:i w:val="0"/>
        <w:color w:val="auto"/>
        <w:sz w:val="16"/>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CFB6BB1"/>
    <w:multiLevelType w:val="hybridMultilevel"/>
    <w:tmpl w:val="4D041E4E"/>
    <w:lvl w:ilvl="0" w:tplc="20BC0F70">
      <w:start w:val="1"/>
      <w:numFmt w:val="decimal"/>
      <w:lvlText w:val="%1"/>
      <w:lvlJc w:val="left"/>
      <w:pPr>
        <w:ind w:left="360" w:hanging="360"/>
      </w:pPr>
      <w:rPr>
        <w:rFonts w:hint="default"/>
        <w:vertAlign w:val="superscrip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20BC0F70">
      <w:start w:val="1"/>
      <w:numFmt w:val="decimal"/>
      <w:lvlText w:val="%7"/>
      <w:lvlJc w:val="left"/>
      <w:pPr>
        <w:ind w:left="4680" w:hanging="360"/>
      </w:pPr>
      <w:rPr>
        <w:rFonts w:hint="default"/>
        <w:vertAlign w:val="superscript"/>
      </w:r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EE44E92"/>
    <w:multiLevelType w:val="hybridMultilevel"/>
    <w:tmpl w:val="7D4098EA"/>
    <w:lvl w:ilvl="0" w:tplc="F7202B5C">
      <w:start w:val="1"/>
      <w:numFmt w:val="bullet"/>
      <w:pStyle w:val="Bullet3"/>
      <w:lvlText w:val=""/>
      <w:lvlJc w:val="left"/>
      <w:pPr>
        <w:ind w:left="1080" w:hanging="360"/>
      </w:pPr>
      <w:rPr>
        <w:rFonts w:ascii="Wingdings" w:hAnsi="Wingdings" w:hint="default"/>
        <w:b w:val="0"/>
        <w:i w:val="0"/>
        <w:color w:val="auto"/>
        <w:sz w:val="24"/>
        <w:szCs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4"/>
  </w:num>
  <w:num w:numId="3">
    <w:abstractNumId w:val="9"/>
  </w:num>
  <w:num w:numId="4">
    <w:abstractNumId w:val="1"/>
  </w:num>
  <w:num w:numId="5">
    <w:abstractNumId w:val="5"/>
  </w:num>
  <w:num w:numId="6">
    <w:abstractNumId w:val="3"/>
  </w:num>
  <w:num w:numId="7">
    <w:abstractNumId w:val="2"/>
  </w:num>
  <w:num w:numId="8">
    <w:abstractNumId w:val="6"/>
  </w:num>
  <w:num w:numId="9">
    <w:abstractNumId w:val="8"/>
  </w:num>
  <w:num w:numId="10">
    <w:abstractNumId w:val="0"/>
  </w:num>
  <w:num w:numId="11">
    <w:abstractNumId w:val="3"/>
  </w:num>
  <w:num w:numId="12">
    <w:abstractNumId w:val="3"/>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enda Hom">
    <w15:presenceInfo w15:providerId="AD" w15:userId="S-1-5-21-4045000595-1048503424-2928202224-17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SortMethod w:val="0000"/>
  <w:defaultTabStop w:val="720"/>
  <w:drawingGridHorizontalSpacing w:val="110"/>
  <w:displayHorizontalDrawingGridEvery w:val="2"/>
  <w:characterSpacingControl w:val="doNotCompress"/>
  <w:hdrShapeDefaults>
    <o:shapedefaults v:ext="edit" spidmax="573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F06"/>
    <w:rsid w:val="0000160C"/>
    <w:rsid w:val="000150D4"/>
    <w:rsid w:val="00017296"/>
    <w:rsid w:val="00020F41"/>
    <w:rsid w:val="000229C8"/>
    <w:rsid w:val="0002600B"/>
    <w:rsid w:val="000267A2"/>
    <w:rsid w:val="00031B70"/>
    <w:rsid w:val="00033FA2"/>
    <w:rsid w:val="000414C6"/>
    <w:rsid w:val="00042EEC"/>
    <w:rsid w:val="000515E6"/>
    <w:rsid w:val="00052995"/>
    <w:rsid w:val="0005569A"/>
    <w:rsid w:val="0005718F"/>
    <w:rsid w:val="00060005"/>
    <w:rsid w:val="0006051D"/>
    <w:rsid w:val="00064343"/>
    <w:rsid w:val="00065AE4"/>
    <w:rsid w:val="000675C3"/>
    <w:rsid w:val="0007217B"/>
    <w:rsid w:val="000739C6"/>
    <w:rsid w:val="00075D48"/>
    <w:rsid w:val="00091C71"/>
    <w:rsid w:val="0009499C"/>
    <w:rsid w:val="00096230"/>
    <w:rsid w:val="00096C6D"/>
    <w:rsid w:val="000A0DD4"/>
    <w:rsid w:val="000A0DE2"/>
    <w:rsid w:val="000A7309"/>
    <w:rsid w:val="000A7B7E"/>
    <w:rsid w:val="000B64CF"/>
    <w:rsid w:val="000C1F46"/>
    <w:rsid w:val="000C2009"/>
    <w:rsid w:val="000C2DCB"/>
    <w:rsid w:val="000E35A0"/>
    <w:rsid w:val="000E4FB1"/>
    <w:rsid w:val="000E5AD2"/>
    <w:rsid w:val="000F423B"/>
    <w:rsid w:val="000F6694"/>
    <w:rsid w:val="000F7C47"/>
    <w:rsid w:val="001027E0"/>
    <w:rsid w:val="00102B13"/>
    <w:rsid w:val="00102C97"/>
    <w:rsid w:val="00103034"/>
    <w:rsid w:val="001038F5"/>
    <w:rsid w:val="00104861"/>
    <w:rsid w:val="00107BA5"/>
    <w:rsid w:val="001107CA"/>
    <w:rsid w:val="001114A4"/>
    <w:rsid w:val="00116E18"/>
    <w:rsid w:val="00123633"/>
    <w:rsid w:val="00123E41"/>
    <w:rsid w:val="00126AD1"/>
    <w:rsid w:val="00127378"/>
    <w:rsid w:val="001314DF"/>
    <w:rsid w:val="00134A35"/>
    <w:rsid w:val="00134BC4"/>
    <w:rsid w:val="00141083"/>
    <w:rsid w:val="001417C7"/>
    <w:rsid w:val="00144FE9"/>
    <w:rsid w:val="00147AA1"/>
    <w:rsid w:val="00147D03"/>
    <w:rsid w:val="001502AF"/>
    <w:rsid w:val="00153956"/>
    <w:rsid w:val="001550CE"/>
    <w:rsid w:val="00161E02"/>
    <w:rsid w:val="00164508"/>
    <w:rsid w:val="00166E21"/>
    <w:rsid w:val="001672BA"/>
    <w:rsid w:val="00167E3A"/>
    <w:rsid w:val="001721AC"/>
    <w:rsid w:val="001732C1"/>
    <w:rsid w:val="001767BA"/>
    <w:rsid w:val="0018140F"/>
    <w:rsid w:val="0019348E"/>
    <w:rsid w:val="00196062"/>
    <w:rsid w:val="00196D88"/>
    <w:rsid w:val="001A4BFC"/>
    <w:rsid w:val="001A5B1E"/>
    <w:rsid w:val="001B03B4"/>
    <w:rsid w:val="001C1112"/>
    <w:rsid w:val="001C2F5C"/>
    <w:rsid w:val="001C40B4"/>
    <w:rsid w:val="001C59D7"/>
    <w:rsid w:val="001C5CD2"/>
    <w:rsid w:val="001C69E1"/>
    <w:rsid w:val="001D299F"/>
    <w:rsid w:val="001D431E"/>
    <w:rsid w:val="001D4B2B"/>
    <w:rsid w:val="001E338E"/>
    <w:rsid w:val="001E6913"/>
    <w:rsid w:val="001F0645"/>
    <w:rsid w:val="001F4891"/>
    <w:rsid w:val="00203CD2"/>
    <w:rsid w:val="00221340"/>
    <w:rsid w:val="00221CF8"/>
    <w:rsid w:val="00222ED1"/>
    <w:rsid w:val="0022420C"/>
    <w:rsid w:val="00232342"/>
    <w:rsid w:val="00232FBF"/>
    <w:rsid w:val="002332CA"/>
    <w:rsid w:val="00241098"/>
    <w:rsid w:val="00243987"/>
    <w:rsid w:val="00246EA1"/>
    <w:rsid w:val="00247431"/>
    <w:rsid w:val="00251F1E"/>
    <w:rsid w:val="002520B4"/>
    <w:rsid w:val="00252CB4"/>
    <w:rsid w:val="002576E1"/>
    <w:rsid w:val="00257784"/>
    <w:rsid w:val="002577B1"/>
    <w:rsid w:val="00262E9A"/>
    <w:rsid w:val="00265CAA"/>
    <w:rsid w:val="00267780"/>
    <w:rsid w:val="002736CB"/>
    <w:rsid w:val="00274AD6"/>
    <w:rsid w:val="002846F0"/>
    <w:rsid w:val="0028539F"/>
    <w:rsid w:val="00285CC9"/>
    <w:rsid w:val="00290D85"/>
    <w:rsid w:val="00291AEC"/>
    <w:rsid w:val="002925E5"/>
    <w:rsid w:val="00296689"/>
    <w:rsid w:val="002A0890"/>
    <w:rsid w:val="002A0D8E"/>
    <w:rsid w:val="002A4864"/>
    <w:rsid w:val="002B11A6"/>
    <w:rsid w:val="002B3E16"/>
    <w:rsid w:val="002B739A"/>
    <w:rsid w:val="002C0283"/>
    <w:rsid w:val="002C0600"/>
    <w:rsid w:val="002C1316"/>
    <w:rsid w:val="002C5310"/>
    <w:rsid w:val="002C6CB3"/>
    <w:rsid w:val="002D1923"/>
    <w:rsid w:val="002D2D45"/>
    <w:rsid w:val="002D32F2"/>
    <w:rsid w:val="002D3B67"/>
    <w:rsid w:val="002D7117"/>
    <w:rsid w:val="002D7388"/>
    <w:rsid w:val="002D739D"/>
    <w:rsid w:val="002E15FF"/>
    <w:rsid w:val="002F1614"/>
    <w:rsid w:val="002F5A6D"/>
    <w:rsid w:val="00303DC0"/>
    <w:rsid w:val="00307B76"/>
    <w:rsid w:val="00310D0B"/>
    <w:rsid w:val="00313A69"/>
    <w:rsid w:val="00313AD2"/>
    <w:rsid w:val="00317D12"/>
    <w:rsid w:val="003204B2"/>
    <w:rsid w:val="00323706"/>
    <w:rsid w:val="0032376F"/>
    <w:rsid w:val="00324954"/>
    <w:rsid w:val="003329C0"/>
    <w:rsid w:val="00344298"/>
    <w:rsid w:val="0034505B"/>
    <w:rsid w:val="00345471"/>
    <w:rsid w:val="003477EC"/>
    <w:rsid w:val="00354639"/>
    <w:rsid w:val="003558B6"/>
    <w:rsid w:val="00355FA1"/>
    <w:rsid w:val="0035637A"/>
    <w:rsid w:val="003570C3"/>
    <w:rsid w:val="00364A47"/>
    <w:rsid w:val="003653C9"/>
    <w:rsid w:val="00374163"/>
    <w:rsid w:val="00376790"/>
    <w:rsid w:val="0038143E"/>
    <w:rsid w:val="003824AA"/>
    <w:rsid w:val="00390ED1"/>
    <w:rsid w:val="003933D8"/>
    <w:rsid w:val="00396719"/>
    <w:rsid w:val="003A087B"/>
    <w:rsid w:val="003A1F65"/>
    <w:rsid w:val="003A5A3D"/>
    <w:rsid w:val="003A6421"/>
    <w:rsid w:val="003A6EDF"/>
    <w:rsid w:val="003C04B5"/>
    <w:rsid w:val="003C056A"/>
    <w:rsid w:val="003C1919"/>
    <w:rsid w:val="003C3592"/>
    <w:rsid w:val="003C46E6"/>
    <w:rsid w:val="003C66A6"/>
    <w:rsid w:val="003C6F0D"/>
    <w:rsid w:val="003D0528"/>
    <w:rsid w:val="003D2D18"/>
    <w:rsid w:val="003D362D"/>
    <w:rsid w:val="003D506F"/>
    <w:rsid w:val="003E52B7"/>
    <w:rsid w:val="003F00F1"/>
    <w:rsid w:val="003F0287"/>
    <w:rsid w:val="003F0E97"/>
    <w:rsid w:val="003F6C48"/>
    <w:rsid w:val="00404924"/>
    <w:rsid w:val="00405E43"/>
    <w:rsid w:val="00406B5B"/>
    <w:rsid w:val="0041251F"/>
    <w:rsid w:val="004208E8"/>
    <w:rsid w:val="00427A95"/>
    <w:rsid w:val="00427D98"/>
    <w:rsid w:val="004326EE"/>
    <w:rsid w:val="0043291C"/>
    <w:rsid w:val="00432CD0"/>
    <w:rsid w:val="0043774D"/>
    <w:rsid w:val="00437E2A"/>
    <w:rsid w:val="00444224"/>
    <w:rsid w:val="00450F85"/>
    <w:rsid w:val="004626C1"/>
    <w:rsid w:val="00463350"/>
    <w:rsid w:val="004718D2"/>
    <w:rsid w:val="00475676"/>
    <w:rsid w:val="00477EB6"/>
    <w:rsid w:val="004823F1"/>
    <w:rsid w:val="00483D5C"/>
    <w:rsid w:val="00486046"/>
    <w:rsid w:val="00487C01"/>
    <w:rsid w:val="0049112B"/>
    <w:rsid w:val="0049409C"/>
    <w:rsid w:val="00497E6D"/>
    <w:rsid w:val="004A3998"/>
    <w:rsid w:val="004A6354"/>
    <w:rsid w:val="004A6CDE"/>
    <w:rsid w:val="004B3AFE"/>
    <w:rsid w:val="004C504C"/>
    <w:rsid w:val="004C652C"/>
    <w:rsid w:val="004C73F4"/>
    <w:rsid w:val="004C747D"/>
    <w:rsid w:val="004D1E5F"/>
    <w:rsid w:val="004D739F"/>
    <w:rsid w:val="004E0404"/>
    <w:rsid w:val="004E5FC1"/>
    <w:rsid w:val="004E77A5"/>
    <w:rsid w:val="004F4635"/>
    <w:rsid w:val="004F5433"/>
    <w:rsid w:val="004F64D7"/>
    <w:rsid w:val="00502279"/>
    <w:rsid w:val="00503669"/>
    <w:rsid w:val="005061FE"/>
    <w:rsid w:val="005062A9"/>
    <w:rsid w:val="00514569"/>
    <w:rsid w:val="0051465C"/>
    <w:rsid w:val="00521438"/>
    <w:rsid w:val="00523047"/>
    <w:rsid w:val="00532CB1"/>
    <w:rsid w:val="00533C1B"/>
    <w:rsid w:val="005365D1"/>
    <w:rsid w:val="00536C3D"/>
    <w:rsid w:val="0054035B"/>
    <w:rsid w:val="00542B09"/>
    <w:rsid w:val="00555334"/>
    <w:rsid w:val="005554A5"/>
    <w:rsid w:val="00557425"/>
    <w:rsid w:val="00557493"/>
    <w:rsid w:val="005660A3"/>
    <w:rsid w:val="0056754F"/>
    <w:rsid w:val="00573EF1"/>
    <w:rsid w:val="00573F17"/>
    <w:rsid w:val="00574B4E"/>
    <w:rsid w:val="00577627"/>
    <w:rsid w:val="005806B2"/>
    <w:rsid w:val="00582ABB"/>
    <w:rsid w:val="005830C2"/>
    <w:rsid w:val="00590F11"/>
    <w:rsid w:val="00591CF0"/>
    <w:rsid w:val="00595FF9"/>
    <w:rsid w:val="005A3F1E"/>
    <w:rsid w:val="005B2F99"/>
    <w:rsid w:val="005B3367"/>
    <w:rsid w:val="005C691C"/>
    <w:rsid w:val="005D33B5"/>
    <w:rsid w:val="005D6125"/>
    <w:rsid w:val="005E0A51"/>
    <w:rsid w:val="005E2A1E"/>
    <w:rsid w:val="005E4FDB"/>
    <w:rsid w:val="005E5039"/>
    <w:rsid w:val="005F18DA"/>
    <w:rsid w:val="005F1CF5"/>
    <w:rsid w:val="005F250E"/>
    <w:rsid w:val="00600E1E"/>
    <w:rsid w:val="006025FB"/>
    <w:rsid w:val="00603964"/>
    <w:rsid w:val="0061494D"/>
    <w:rsid w:val="00615EAB"/>
    <w:rsid w:val="00617864"/>
    <w:rsid w:val="00620ADD"/>
    <w:rsid w:val="00632BD7"/>
    <w:rsid w:val="00633372"/>
    <w:rsid w:val="00633DCE"/>
    <w:rsid w:val="00637351"/>
    <w:rsid w:val="006428D0"/>
    <w:rsid w:val="00644AE6"/>
    <w:rsid w:val="00647630"/>
    <w:rsid w:val="00650DE6"/>
    <w:rsid w:val="006516A6"/>
    <w:rsid w:val="00651FBC"/>
    <w:rsid w:val="00652320"/>
    <w:rsid w:val="0065578D"/>
    <w:rsid w:val="00655E2E"/>
    <w:rsid w:val="00660A72"/>
    <w:rsid w:val="00664B84"/>
    <w:rsid w:val="00665A81"/>
    <w:rsid w:val="006825F3"/>
    <w:rsid w:val="00684FE6"/>
    <w:rsid w:val="00686E01"/>
    <w:rsid w:val="0069346F"/>
    <w:rsid w:val="00695924"/>
    <w:rsid w:val="00696009"/>
    <w:rsid w:val="006A0213"/>
    <w:rsid w:val="006A5266"/>
    <w:rsid w:val="006A69C7"/>
    <w:rsid w:val="006B1B1D"/>
    <w:rsid w:val="006B26F5"/>
    <w:rsid w:val="006B3A14"/>
    <w:rsid w:val="006B752E"/>
    <w:rsid w:val="006C061E"/>
    <w:rsid w:val="006C1F8A"/>
    <w:rsid w:val="006C2140"/>
    <w:rsid w:val="006C7F2C"/>
    <w:rsid w:val="006D2499"/>
    <w:rsid w:val="006D4103"/>
    <w:rsid w:val="006D6901"/>
    <w:rsid w:val="006E0EF9"/>
    <w:rsid w:val="006F04BE"/>
    <w:rsid w:val="006F1D8D"/>
    <w:rsid w:val="006F6991"/>
    <w:rsid w:val="006F75C7"/>
    <w:rsid w:val="007012E3"/>
    <w:rsid w:val="0070141F"/>
    <w:rsid w:val="00702E2A"/>
    <w:rsid w:val="00704C77"/>
    <w:rsid w:val="00705089"/>
    <w:rsid w:val="007110C9"/>
    <w:rsid w:val="00711173"/>
    <w:rsid w:val="00717F46"/>
    <w:rsid w:val="00720E25"/>
    <w:rsid w:val="0072280D"/>
    <w:rsid w:val="007231F0"/>
    <w:rsid w:val="007321BB"/>
    <w:rsid w:val="00735521"/>
    <w:rsid w:val="007357FD"/>
    <w:rsid w:val="00751240"/>
    <w:rsid w:val="00761821"/>
    <w:rsid w:val="00764EE1"/>
    <w:rsid w:val="00765A2D"/>
    <w:rsid w:val="00774145"/>
    <w:rsid w:val="00777AC6"/>
    <w:rsid w:val="007802B9"/>
    <w:rsid w:val="00783B99"/>
    <w:rsid w:val="00786D3E"/>
    <w:rsid w:val="0079223C"/>
    <w:rsid w:val="007962CE"/>
    <w:rsid w:val="007A1683"/>
    <w:rsid w:val="007A39E2"/>
    <w:rsid w:val="007A3BF8"/>
    <w:rsid w:val="007A456F"/>
    <w:rsid w:val="007A5D7C"/>
    <w:rsid w:val="007A6D5C"/>
    <w:rsid w:val="007B27A3"/>
    <w:rsid w:val="007B3E01"/>
    <w:rsid w:val="007B5002"/>
    <w:rsid w:val="007C6F8D"/>
    <w:rsid w:val="007D1798"/>
    <w:rsid w:val="007D2CF1"/>
    <w:rsid w:val="007D5DE4"/>
    <w:rsid w:val="007E13D7"/>
    <w:rsid w:val="007E4300"/>
    <w:rsid w:val="007F25E6"/>
    <w:rsid w:val="007F5997"/>
    <w:rsid w:val="007F7FA6"/>
    <w:rsid w:val="00800B61"/>
    <w:rsid w:val="00816B82"/>
    <w:rsid w:val="008171E1"/>
    <w:rsid w:val="00817B68"/>
    <w:rsid w:val="0082015D"/>
    <w:rsid w:val="00821AB0"/>
    <w:rsid w:val="00823EF7"/>
    <w:rsid w:val="00824DDC"/>
    <w:rsid w:val="008270C0"/>
    <w:rsid w:val="0083002B"/>
    <w:rsid w:val="008301EF"/>
    <w:rsid w:val="00830BC3"/>
    <w:rsid w:val="008311A2"/>
    <w:rsid w:val="00831C11"/>
    <w:rsid w:val="00832BBB"/>
    <w:rsid w:val="00833191"/>
    <w:rsid w:val="00833D98"/>
    <w:rsid w:val="00834317"/>
    <w:rsid w:val="008414BD"/>
    <w:rsid w:val="00850001"/>
    <w:rsid w:val="008501DC"/>
    <w:rsid w:val="00852564"/>
    <w:rsid w:val="00853FAC"/>
    <w:rsid w:val="008544F2"/>
    <w:rsid w:val="00856E4E"/>
    <w:rsid w:val="008571E6"/>
    <w:rsid w:val="008577AE"/>
    <w:rsid w:val="00860EFF"/>
    <w:rsid w:val="008639E1"/>
    <w:rsid w:val="00865603"/>
    <w:rsid w:val="0086636E"/>
    <w:rsid w:val="00872EBE"/>
    <w:rsid w:val="008735DD"/>
    <w:rsid w:val="00873782"/>
    <w:rsid w:val="0087726C"/>
    <w:rsid w:val="008828AE"/>
    <w:rsid w:val="00884EDC"/>
    <w:rsid w:val="0088684D"/>
    <w:rsid w:val="00887322"/>
    <w:rsid w:val="0089011A"/>
    <w:rsid w:val="008907C1"/>
    <w:rsid w:val="00896D77"/>
    <w:rsid w:val="008A2DB1"/>
    <w:rsid w:val="008A3C82"/>
    <w:rsid w:val="008A5899"/>
    <w:rsid w:val="008A6E45"/>
    <w:rsid w:val="008B5CA1"/>
    <w:rsid w:val="008C0B98"/>
    <w:rsid w:val="008C0E86"/>
    <w:rsid w:val="008C12E1"/>
    <w:rsid w:val="008C2A56"/>
    <w:rsid w:val="008D0D76"/>
    <w:rsid w:val="008D57A2"/>
    <w:rsid w:val="008D5B6D"/>
    <w:rsid w:val="008E0826"/>
    <w:rsid w:val="008E2D33"/>
    <w:rsid w:val="0090005A"/>
    <w:rsid w:val="00903FE1"/>
    <w:rsid w:val="009052A5"/>
    <w:rsid w:val="00907F01"/>
    <w:rsid w:val="00916F7A"/>
    <w:rsid w:val="009177C4"/>
    <w:rsid w:val="00917B74"/>
    <w:rsid w:val="009211E8"/>
    <w:rsid w:val="009232D4"/>
    <w:rsid w:val="00930A44"/>
    <w:rsid w:val="00931B6D"/>
    <w:rsid w:val="00936A7F"/>
    <w:rsid w:val="00936F34"/>
    <w:rsid w:val="009432DF"/>
    <w:rsid w:val="009446A4"/>
    <w:rsid w:val="00945899"/>
    <w:rsid w:val="0095347D"/>
    <w:rsid w:val="00962B80"/>
    <w:rsid w:val="00964CF1"/>
    <w:rsid w:val="00965B79"/>
    <w:rsid w:val="009722E3"/>
    <w:rsid w:val="0097327C"/>
    <w:rsid w:val="00973471"/>
    <w:rsid w:val="00974D9D"/>
    <w:rsid w:val="00974DC2"/>
    <w:rsid w:val="00975DAD"/>
    <w:rsid w:val="00981E96"/>
    <w:rsid w:val="00984612"/>
    <w:rsid w:val="00985B1C"/>
    <w:rsid w:val="009870D6"/>
    <w:rsid w:val="00992D02"/>
    <w:rsid w:val="00992FCA"/>
    <w:rsid w:val="00993BEC"/>
    <w:rsid w:val="00994D6C"/>
    <w:rsid w:val="0099622D"/>
    <w:rsid w:val="00997826"/>
    <w:rsid w:val="009A1B7C"/>
    <w:rsid w:val="009A24E2"/>
    <w:rsid w:val="009A25B1"/>
    <w:rsid w:val="009A4F91"/>
    <w:rsid w:val="009A57EF"/>
    <w:rsid w:val="009A71EA"/>
    <w:rsid w:val="009B4458"/>
    <w:rsid w:val="009B4B11"/>
    <w:rsid w:val="009C0351"/>
    <w:rsid w:val="009C3B49"/>
    <w:rsid w:val="009C41F8"/>
    <w:rsid w:val="009C5C79"/>
    <w:rsid w:val="009D468B"/>
    <w:rsid w:val="009D52E8"/>
    <w:rsid w:val="009D7D18"/>
    <w:rsid w:val="009E2869"/>
    <w:rsid w:val="009E67EE"/>
    <w:rsid w:val="009E7FE0"/>
    <w:rsid w:val="00A008DE"/>
    <w:rsid w:val="00A00DDA"/>
    <w:rsid w:val="00A063B7"/>
    <w:rsid w:val="00A06569"/>
    <w:rsid w:val="00A0698E"/>
    <w:rsid w:val="00A07395"/>
    <w:rsid w:val="00A07E15"/>
    <w:rsid w:val="00A1193F"/>
    <w:rsid w:val="00A14F11"/>
    <w:rsid w:val="00A2207C"/>
    <w:rsid w:val="00A23FCA"/>
    <w:rsid w:val="00A243BA"/>
    <w:rsid w:val="00A24CAD"/>
    <w:rsid w:val="00A27DDA"/>
    <w:rsid w:val="00A32D0C"/>
    <w:rsid w:val="00A36666"/>
    <w:rsid w:val="00A36DA3"/>
    <w:rsid w:val="00A454E6"/>
    <w:rsid w:val="00A4667F"/>
    <w:rsid w:val="00A51460"/>
    <w:rsid w:val="00A516CC"/>
    <w:rsid w:val="00A53757"/>
    <w:rsid w:val="00A56E5F"/>
    <w:rsid w:val="00A600CF"/>
    <w:rsid w:val="00A61BDE"/>
    <w:rsid w:val="00A622AC"/>
    <w:rsid w:val="00A62336"/>
    <w:rsid w:val="00A63827"/>
    <w:rsid w:val="00A641AF"/>
    <w:rsid w:val="00A64731"/>
    <w:rsid w:val="00A663C9"/>
    <w:rsid w:val="00A71A1F"/>
    <w:rsid w:val="00A74C66"/>
    <w:rsid w:val="00A75188"/>
    <w:rsid w:val="00A7609C"/>
    <w:rsid w:val="00A77DA1"/>
    <w:rsid w:val="00A80F02"/>
    <w:rsid w:val="00A8117D"/>
    <w:rsid w:val="00A815DA"/>
    <w:rsid w:val="00A84177"/>
    <w:rsid w:val="00A879E4"/>
    <w:rsid w:val="00A90BA7"/>
    <w:rsid w:val="00AA003C"/>
    <w:rsid w:val="00AA0266"/>
    <w:rsid w:val="00AA5AE8"/>
    <w:rsid w:val="00AA692E"/>
    <w:rsid w:val="00AB241F"/>
    <w:rsid w:val="00AB3107"/>
    <w:rsid w:val="00AB465B"/>
    <w:rsid w:val="00AB5D0E"/>
    <w:rsid w:val="00AC00CB"/>
    <w:rsid w:val="00AC0C9F"/>
    <w:rsid w:val="00AC1492"/>
    <w:rsid w:val="00AC1669"/>
    <w:rsid w:val="00AC1F5A"/>
    <w:rsid w:val="00AC26B3"/>
    <w:rsid w:val="00AC2E3C"/>
    <w:rsid w:val="00AC2F30"/>
    <w:rsid w:val="00AC4B54"/>
    <w:rsid w:val="00AD0FCC"/>
    <w:rsid w:val="00AD16FF"/>
    <w:rsid w:val="00AD2E92"/>
    <w:rsid w:val="00AD4BDE"/>
    <w:rsid w:val="00AE295F"/>
    <w:rsid w:val="00AE49CC"/>
    <w:rsid w:val="00AF0E26"/>
    <w:rsid w:val="00AF18DB"/>
    <w:rsid w:val="00AF66BC"/>
    <w:rsid w:val="00AF77BE"/>
    <w:rsid w:val="00B026F5"/>
    <w:rsid w:val="00B0302D"/>
    <w:rsid w:val="00B03CEF"/>
    <w:rsid w:val="00B05ADB"/>
    <w:rsid w:val="00B10D78"/>
    <w:rsid w:val="00B176F0"/>
    <w:rsid w:val="00B17D9E"/>
    <w:rsid w:val="00B245E8"/>
    <w:rsid w:val="00B26987"/>
    <w:rsid w:val="00B27FC4"/>
    <w:rsid w:val="00B32C00"/>
    <w:rsid w:val="00B34551"/>
    <w:rsid w:val="00B404E4"/>
    <w:rsid w:val="00B40FAC"/>
    <w:rsid w:val="00B51B1A"/>
    <w:rsid w:val="00B51F3E"/>
    <w:rsid w:val="00B628F0"/>
    <w:rsid w:val="00B64CE0"/>
    <w:rsid w:val="00B66731"/>
    <w:rsid w:val="00B67788"/>
    <w:rsid w:val="00B72CAC"/>
    <w:rsid w:val="00B73903"/>
    <w:rsid w:val="00B81AC3"/>
    <w:rsid w:val="00B81CA7"/>
    <w:rsid w:val="00B904F2"/>
    <w:rsid w:val="00B91094"/>
    <w:rsid w:val="00B91A3F"/>
    <w:rsid w:val="00B96B45"/>
    <w:rsid w:val="00BA135A"/>
    <w:rsid w:val="00BB4793"/>
    <w:rsid w:val="00BC4F1D"/>
    <w:rsid w:val="00BC6DB6"/>
    <w:rsid w:val="00BD20FD"/>
    <w:rsid w:val="00BD2B28"/>
    <w:rsid w:val="00BD5403"/>
    <w:rsid w:val="00BD5940"/>
    <w:rsid w:val="00BD5FE9"/>
    <w:rsid w:val="00BE0FB4"/>
    <w:rsid w:val="00BE302F"/>
    <w:rsid w:val="00BE3161"/>
    <w:rsid w:val="00BE3434"/>
    <w:rsid w:val="00BE3CFA"/>
    <w:rsid w:val="00BF2F53"/>
    <w:rsid w:val="00BF6CA5"/>
    <w:rsid w:val="00C015DC"/>
    <w:rsid w:val="00C02E88"/>
    <w:rsid w:val="00C03B17"/>
    <w:rsid w:val="00C04095"/>
    <w:rsid w:val="00C07F94"/>
    <w:rsid w:val="00C1781D"/>
    <w:rsid w:val="00C20649"/>
    <w:rsid w:val="00C21029"/>
    <w:rsid w:val="00C22444"/>
    <w:rsid w:val="00C24323"/>
    <w:rsid w:val="00C24AD4"/>
    <w:rsid w:val="00C25464"/>
    <w:rsid w:val="00C27AFC"/>
    <w:rsid w:val="00C306AB"/>
    <w:rsid w:val="00C33D12"/>
    <w:rsid w:val="00C33E2D"/>
    <w:rsid w:val="00C34609"/>
    <w:rsid w:val="00C34670"/>
    <w:rsid w:val="00C34DFC"/>
    <w:rsid w:val="00C373CF"/>
    <w:rsid w:val="00C416AE"/>
    <w:rsid w:val="00C41904"/>
    <w:rsid w:val="00C4368D"/>
    <w:rsid w:val="00C461FE"/>
    <w:rsid w:val="00C514A9"/>
    <w:rsid w:val="00C536D1"/>
    <w:rsid w:val="00C601E3"/>
    <w:rsid w:val="00C64076"/>
    <w:rsid w:val="00C65FD9"/>
    <w:rsid w:val="00C719AC"/>
    <w:rsid w:val="00C729C0"/>
    <w:rsid w:val="00C72BDE"/>
    <w:rsid w:val="00C74F5A"/>
    <w:rsid w:val="00C751EE"/>
    <w:rsid w:val="00C765A4"/>
    <w:rsid w:val="00C80BE6"/>
    <w:rsid w:val="00C80F18"/>
    <w:rsid w:val="00C82C16"/>
    <w:rsid w:val="00C82C92"/>
    <w:rsid w:val="00C84620"/>
    <w:rsid w:val="00C84CD0"/>
    <w:rsid w:val="00C86AB7"/>
    <w:rsid w:val="00C90279"/>
    <w:rsid w:val="00C93D77"/>
    <w:rsid w:val="00C94A89"/>
    <w:rsid w:val="00C97607"/>
    <w:rsid w:val="00CA1A27"/>
    <w:rsid w:val="00CA2DCE"/>
    <w:rsid w:val="00CA60D3"/>
    <w:rsid w:val="00CB3B28"/>
    <w:rsid w:val="00CB440C"/>
    <w:rsid w:val="00CB7F83"/>
    <w:rsid w:val="00CC6F25"/>
    <w:rsid w:val="00CD383F"/>
    <w:rsid w:val="00CD7CB4"/>
    <w:rsid w:val="00CE095A"/>
    <w:rsid w:val="00CE5CB5"/>
    <w:rsid w:val="00CF7283"/>
    <w:rsid w:val="00CF733C"/>
    <w:rsid w:val="00D04595"/>
    <w:rsid w:val="00D149F1"/>
    <w:rsid w:val="00D17F06"/>
    <w:rsid w:val="00D20870"/>
    <w:rsid w:val="00D214B5"/>
    <w:rsid w:val="00D21569"/>
    <w:rsid w:val="00D21E3C"/>
    <w:rsid w:val="00D221D5"/>
    <w:rsid w:val="00D24A40"/>
    <w:rsid w:val="00D263BD"/>
    <w:rsid w:val="00D318D8"/>
    <w:rsid w:val="00D3393A"/>
    <w:rsid w:val="00D40FE9"/>
    <w:rsid w:val="00D45DFC"/>
    <w:rsid w:val="00D52E97"/>
    <w:rsid w:val="00D608E7"/>
    <w:rsid w:val="00D657D2"/>
    <w:rsid w:val="00D67074"/>
    <w:rsid w:val="00D670CF"/>
    <w:rsid w:val="00D70147"/>
    <w:rsid w:val="00D702CE"/>
    <w:rsid w:val="00D70D32"/>
    <w:rsid w:val="00D736E3"/>
    <w:rsid w:val="00D738E3"/>
    <w:rsid w:val="00D73EA1"/>
    <w:rsid w:val="00D76021"/>
    <w:rsid w:val="00D819AA"/>
    <w:rsid w:val="00D81A91"/>
    <w:rsid w:val="00D84517"/>
    <w:rsid w:val="00D845B0"/>
    <w:rsid w:val="00D879A5"/>
    <w:rsid w:val="00D909B5"/>
    <w:rsid w:val="00D91BA9"/>
    <w:rsid w:val="00D939EF"/>
    <w:rsid w:val="00D95196"/>
    <w:rsid w:val="00D9521F"/>
    <w:rsid w:val="00DA3361"/>
    <w:rsid w:val="00DA3E0C"/>
    <w:rsid w:val="00DA42EE"/>
    <w:rsid w:val="00DA58FB"/>
    <w:rsid w:val="00DB17FB"/>
    <w:rsid w:val="00DB2788"/>
    <w:rsid w:val="00DB4D89"/>
    <w:rsid w:val="00DB72DE"/>
    <w:rsid w:val="00DB7451"/>
    <w:rsid w:val="00DB7B78"/>
    <w:rsid w:val="00DC2B48"/>
    <w:rsid w:val="00DC46EB"/>
    <w:rsid w:val="00DC5716"/>
    <w:rsid w:val="00DC5EF0"/>
    <w:rsid w:val="00DC6F50"/>
    <w:rsid w:val="00DD39F4"/>
    <w:rsid w:val="00DD3D29"/>
    <w:rsid w:val="00DD4A10"/>
    <w:rsid w:val="00DD5032"/>
    <w:rsid w:val="00DD628E"/>
    <w:rsid w:val="00DE1349"/>
    <w:rsid w:val="00DF1A1F"/>
    <w:rsid w:val="00E0004D"/>
    <w:rsid w:val="00E00544"/>
    <w:rsid w:val="00E05EED"/>
    <w:rsid w:val="00E12365"/>
    <w:rsid w:val="00E22305"/>
    <w:rsid w:val="00E241E0"/>
    <w:rsid w:val="00E244A4"/>
    <w:rsid w:val="00E269C2"/>
    <w:rsid w:val="00E37C6E"/>
    <w:rsid w:val="00E44873"/>
    <w:rsid w:val="00E456AA"/>
    <w:rsid w:val="00E527B3"/>
    <w:rsid w:val="00E560A2"/>
    <w:rsid w:val="00E560C2"/>
    <w:rsid w:val="00E60900"/>
    <w:rsid w:val="00E60A7B"/>
    <w:rsid w:val="00E65BD6"/>
    <w:rsid w:val="00E66040"/>
    <w:rsid w:val="00E7049E"/>
    <w:rsid w:val="00E72D1C"/>
    <w:rsid w:val="00E73629"/>
    <w:rsid w:val="00E82242"/>
    <w:rsid w:val="00E8324B"/>
    <w:rsid w:val="00E85AAA"/>
    <w:rsid w:val="00E922AB"/>
    <w:rsid w:val="00E93B12"/>
    <w:rsid w:val="00EA0944"/>
    <w:rsid w:val="00EA7B42"/>
    <w:rsid w:val="00EB7848"/>
    <w:rsid w:val="00EC0346"/>
    <w:rsid w:val="00EC4262"/>
    <w:rsid w:val="00EC5434"/>
    <w:rsid w:val="00EC5B1C"/>
    <w:rsid w:val="00EC5F3F"/>
    <w:rsid w:val="00EC6395"/>
    <w:rsid w:val="00EC7457"/>
    <w:rsid w:val="00ED2436"/>
    <w:rsid w:val="00ED3212"/>
    <w:rsid w:val="00EE1280"/>
    <w:rsid w:val="00EE2FAC"/>
    <w:rsid w:val="00EE3EAF"/>
    <w:rsid w:val="00EE428F"/>
    <w:rsid w:val="00EE6AA3"/>
    <w:rsid w:val="00EF0EB3"/>
    <w:rsid w:val="00EF54AB"/>
    <w:rsid w:val="00EF54C3"/>
    <w:rsid w:val="00EF718C"/>
    <w:rsid w:val="00F03BB1"/>
    <w:rsid w:val="00F048C4"/>
    <w:rsid w:val="00F04D26"/>
    <w:rsid w:val="00F076F8"/>
    <w:rsid w:val="00F10CD2"/>
    <w:rsid w:val="00F121A3"/>
    <w:rsid w:val="00F12308"/>
    <w:rsid w:val="00F1468A"/>
    <w:rsid w:val="00F146E4"/>
    <w:rsid w:val="00F1499A"/>
    <w:rsid w:val="00F224CC"/>
    <w:rsid w:val="00F23B00"/>
    <w:rsid w:val="00F33E30"/>
    <w:rsid w:val="00F3439D"/>
    <w:rsid w:val="00F34C87"/>
    <w:rsid w:val="00F3666C"/>
    <w:rsid w:val="00F41530"/>
    <w:rsid w:val="00F42BC8"/>
    <w:rsid w:val="00F4599C"/>
    <w:rsid w:val="00F45BF6"/>
    <w:rsid w:val="00F474D0"/>
    <w:rsid w:val="00F47B4E"/>
    <w:rsid w:val="00F50384"/>
    <w:rsid w:val="00F50E2C"/>
    <w:rsid w:val="00F53C5F"/>
    <w:rsid w:val="00F63B29"/>
    <w:rsid w:val="00F6598A"/>
    <w:rsid w:val="00F76BE9"/>
    <w:rsid w:val="00F77D04"/>
    <w:rsid w:val="00F80E5E"/>
    <w:rsid w:val="00F835F5"/>
    <w:rsid w:val="00F86E60"/>
    <w:rsid w:val="00F93A19"/>
    <w:rsid w:val="00FA16E6"/>
    <w:rsid w:val="00FA207C"/>
    <w:rsid w:val="00FA217C"/>
    <w:rsid w:val="00FA3320"/>
    <w:rsid w:val="00FB2DDF"/>
    <w:rsid w:val="00FB7917"/>
    <w:rsid w:val="00FC1A5F"/>
    <w:rsid w:val="00FC454B"/>
    <w:rsid w:val="00FD307D"/>
    <w:rsid w:val="00FD3EDC"/>
    <w:rsid w:val="00FD563C"/>
    <w:rsid w:val="00FD6C1B"/>
    <w:rsid w:val="00FE3C25"/>
    <w:rsid w:val="00FE3C34"/>
    <w:rsid w:val="00FE6198"/>
    <w:rsid w:val="00FE7B00"/>
    <w:rsid w:val="00FF26DA"/>
    <w:rsid w:val="00FF4342"/>
    <w:rsid w:val="00FF4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7345"/>
    <o:shapelayout v:ext="edit">
      <o:idmap v:ext="edit" data="1"/>
    </o:shapelayout>
  </w:shapeDefaults>
  <w:decimalSymbol w:val="."/>
  <w:listSeparator w:val=","/>
  <w14:docId w14:val="0C0D4E7F"/>
  <w15:docId w15:val="{A6B94406-B82B-49DD-9603-489B74303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752E"/>
    <w:pPr>
      <w:spacing w:after="0"/>
    </w:pPr>
    <w:rPr>
      <w:rFonts w:ascii="Segoe UI Semilight" w:eastAsia="Times New Roman" w:hAnsi="Segoe UI Semilight" w:cs="Times New Roman"/>
      <w:szCs w:val="24"/>
    </w:rPr>
  </w:style>
  <w:style w:type="paragraph" w:styleId="Heading1">
    <w:name w:val="heading 1"/>
    <w:basedOn w:val="Normal"/>
    <w:next w:val="BodyText"/>
    <w:link w:val="Heading1Char"/>
    <w:uiPriority w:val="9"/>
    <w:qFormat/>
    <w:rsid w:val="006B752E"/>
    <w:pPr>
      <w:keepNext/>
      <w:keepLines/>
      <w:numPr>
        <w:numId w:val="4"/>
      </w:numPr>
      <w:spacing w:before="360" w:after="360"/>
      <w:jc w:val="center"/>
      <w:outlineLvl w:val="0"/>
    </w:pPr>
    <w:rPr>
      <w:rFonts w:ascii="Segoe UI" w:eastAsiaTheme="minorHAnsi" w:hAnsi="Segoe UI" w:cstheme="minorBidi"/>
      <w:bCs/>
      <w:caps/>
      <w:spacing w:val="-8"/>
      <w:sz w:val="36"/>
      <w:szCs w:val="28"/>
    </w:rPr>
  </w:style>
  <w:style w:type="paragraph" w:styleId="Heading2">
    <w:name w:val="heading 2"/>
    <w:basedOn w:val="Normal"/>
    <w:next w:val="BodyText"/>
    <w:link w:val="Heading2Char"/>
    <w:uiPriority w:val="9"/>
    <w:qFormat/>
    <w:rsid w:val="006B752E"/>
    <w:pPr>
      <w:keepNext/>
      <w:keepLines/>
      <w:numPr>
        <w:ilvl w:val="1"/>
        <w:numId w:val="4"/>
      </w:numPr>
      <w:spacing w:before="360" w:after="360"/>
      <w:outlineLvl w:val="1"/>
    </w:pPr>
    <w:rPr>
      <w:rFonts w:ascii="Segoe UI" w:eastAsiaTheme="minorHAnsi" w:hAnsi="Segoe UI" w:cstheme="minorBidi"/>
      <w:caps/>
      <w:spacing w:val="-8"/>
      <w:sz w:val="32"/>
      <w:szCs w:val="26"/>
    </w:rPr>
  </w:style>
  <w:style w:type="paragraph" w:styleId="Heading3">
    <w:name w:val="heading 3"/>
    <w:basedOn w:val="Normal"/>
    <w:next w:val="BodyText"/>
    <w:link w:val="Heading3Char"/>
    <w:uiPriority w:val="9"/>
    <w:qFormat/>
    <w:rsid w:val="006B752E"/>
    <w:pPr>
      <w:keepNext/>
      <w:keepLines/>
      <w:numPr>
        <w:ilvl w:val="2"/>
        <w:numId w:val="4"/>
      </w:numPr>
      <w:spacing w:before="360" w:after="360"/>
      <w:outlineLvl w:val="2"/>
    </w:pPr>
    <w:rPr>
      <w:rFonts w:ascii="Segoe UI" w:eastAsiaTheme="minorHAnsi" w:hAnsi="Segoe UI" w:cstheme="minorBidi"/>
      <w:bCs/>
      <w:spacing w:val="-8"/>
      <w:sz w:val="32"/>
      <w:szCs w:val="22"/>
    </w:rPr>
  </w:style>
  <w:style w:type="paragraph" w:styleId="Heading4">
    <w:name w:val="heading 4"/>
    <w:basedOn w:val="BodyText"/>
    <w:next w:val="BodyText"/>
    <w:link w:val="Heading4Char"/>
    <w:uiPriority w:val="9"/>
    <w:qFormat/>
    <w:rsid w:val="006B752E"/>
    <w:pPr>
      <w:keepNext/>
      <w:spacing w:before="360" w:after="120"/>
      <w:outlineLvl w:val="3"/>
    </w:pPr>
    <w:rPr>
      <w:rFonts w:ascii="Segoe UI" w:eastAsiaTheme="minorHAnsi" w:hAnsi="Segoe UI" w:cstheme="minorBidi"/>
      <w:caps/>
      <w:spacing w:val="-8"/>
      <w:sz w:val="28"/>
      <w:szCs w:val="22"/>
    </w:rPr>
  </w:style>
  <w:style w:type="paragraph" w:styleId="Heading5">
    <w:name w:val="heading 5"/>
    <w:basedOn w:val="Normal"/>
    <w:next w:val="BodyText"/>
    <w:link w:val="Heading5Char"/>
    <w:uiPriority w:val="9"/>
    <w:qFormat/>
    <w:rsid w:val="006B752E"/>
    <w:pPr>
      <w:keepNext/>
      <w:keepLines/>
      <w:spacing w:before="240"/>
      <w:outlineLvl w:val="4"/>
    </w:pPr>
    <w:rPr>
      <w:rFonts w:ascii="Segoe UI" w:eastAsiaTheme="minorHAnsi" w:hAnsi="Segoe UI" w:cstheme="minorBidi"/>
      <w:spacing w:val="-8"/>
      <w:sz w:val="28"/>
      <w:szCs w:val="26"/>
    </w:rPr>
  </w:style>
  <w:style w:type="paragraph" w:styleId="Heading6">
    <w:name w:val="heading 6"/>
    <w:basedOn w:val="Normal"/>
    <w:next w:val="BodyText"/>
    <w:link w:val="Heading6Char"/>
    <w:uiPriority w:val="9"/>
    <w:qFormat/>
    <w:rsid w:val="006B752E"/>
    <w:pPr>
      <w:keepNext/>
      <w:keepLines/>
      <w:spacing w:before="240"/>
      <w:outlineLvl w:val="5"/>
    </w:pPr>
    <w:rPr>
      <w:rFonts w:ascii="Segoe UI" w:eastAsiaTheme="minorHAnsi" w:hAnsi="Segoe UI" w:cstheme="minorBidi"/>
      <w:iCs/>
      <w:spacing w:val="-8"/>
      <w:szCs w:val="22"/>
      <w:u w:val="single"/>
    </w:rPr>
  </w:style>
  <w:style w:type="paragraph" w:styleId="Heading7">
    <w:name w:val="heading 7"/>
    <w:basedOn w:val="Normal"/>
    <w:next w:val="BodyText"/>
    <w:link w:val="Heading7Char"/>
    <w:uiPriority w:val="9"/>
    <w:qFormat/>
    <w:rsid w:val="006B752E"/>
    <w:pPr>
      <w:keepNext/>
      <w:spacing w:before="240"/>
      <w:outlineLvl w:val="6"/>
    </w:pPr>
    <w:rPr>
      <w:rFonts w:ascii="Segoe UI" w:eastAsiaTheme="minorHAnsi" w:hAnsi="Segoe UI" w:cstheme="minorBidi"/>
      <w:spacing w:val="-8"/>
      <w:szCs w:val="22"/>
    </w:rPr>
  </w:style>
  <w:style w:type="paragraph" w:styleId="Heading8">
    <w:name w:val="heading 8"/>
    <w:basedOn w:val="Normal"/>
    <w:next w:val="BodyText"/>
    <w:link w:val="Heading8Char"/>
    <w:uiPriority w:val="9"/>
    <w:qFormat/>
    <w:rsid w:val="006B752E"/>
    <w:pPr>
      <w:keepNext/>
      <w:keepLines/>
      <w:spacing w:before="240"/>
      <w:ind w:left="720"/>
      <w:outlineLvl w:val="7"/>
    </w:pPr>
    <w:rPr>
      <w:rFonts w:ascii="Segoe UI" w:eastAsiaTheme="minorHAnsi" w:hAnsi="Segoe UI" w:cstheme="minorBidi"/>
      <w:spacing w:val="-8"/>
      <w:szCs w:val="20"/>
    </w:rPr>
  </w:style>
  <w:style w:type="paragraph" w:styleId="Heading9">
    <w:name w:val="heading 9"/>
    <w:basedOn w:val="Normal"/>
    <w:next w:val="BodyText"/>
    <w:link w:val="Heading9Char"/>
    <w:uiPriority w:val="9"/>
    <w:qFormat/>
    <w:rsid w:val="006B752E"/>
    <w:pPr>
      <w:keepNext/>
      <w:keepLines/>
      <w:ind w:left="1080"/>
      <w:outlineLvl w:val="8"/>
    </w:pPr>
    <w:rPr>
      <w:rFonts w:ascii="Segoe UI" w:eastAsiaTheme="minorHAnsi" w:hAnsi="Segoe UI" w:cstheme="minorBidi"/>
      <w:iCs/>
      <w:spacing w:val="-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52E"/>
    <w:rPr>
      <w:rFonts w:ascii="Segoe UI" w:hAnsi="Segoe UI"/>
      <w:bCs/>
      <w:caps/>
      <w:spacing w:val="-8"/>
      <w:sz w:val="36"/>
      <w:szCs w:val="28"/>
    </w:rPr>
  </w:style>
  <w:style w:type="character" w:customStyle="1" w:styleId="Heading2Char">
    <w:name w:val="Heading 2 Char"/>
    <w:basedOn w:val="DefaultParagraphFont"/>
    <w:link w:val="Heading2"/>
    <w:uiPriority w:val="9"/>
    <w:rsid w:val="006B752E"/>
    <w:rPr>
      <w:rFonts w:ascii="Segoe UI" w:hAnsi="Segoe UI"/>
      <w:caps/>
      <w:spacing w:val="-8"/>
      <w:sz w:val="32"/>
      <w:szCs w:val="26"/>
    </w:rPr>
  </w:style>
  <w:style w:type="character" w:customStyle="1" w:styleId="Heading3Char">
    <w:name w:val="Heading 3 Char"/>
    <w:basedOn w:val="DefaultParagraphFont"/>
    <w:link w:val="Heading3"/>
    <w:uiPriority w:val="9"/>
    <w:rsid w:val="006B752E"/>
    <w:rPr>
      <w:rFonts w:ascii="Segoe UI" w:hAnsi="Segoe UI"/>
      <w:bCs/>
      <w:spacing w:val="-8"/>
      <w:sz w:val="32"/>
    </w:rPr>
  </w:style>
  <w:style w:type="character" w:customStyle="1" w:styleId="Heading4Char">
    <w:name w:val="Heading 4 Char"/>
    <w:basedOn w:val="DefaultParagraphFont"/>
    <w:link w:val="Heading4"/>
    <w:uiPriority w:val="9"/>
    <w:rsid w:val="006B752E"/>
    <w:rPr>
      <w:rFonts w:ascii="Segoe UI" w:hAnsi="Segoe UI"/>
      <w:caps/>
      <w:spacing w:val="-8"/>
      <w:sz w:val="28"/>
    </w:rPr>
  </w:style>
  <w:style w:type="character" w:customStyle="1" w:styleId="Heading5Char">
    <w:name w:val="Heading 5 Char"/>
    <w:basedOn w:val="DefaultParagraphFont"/>
    <w:link w:val="Heading5"/>
    <w:uiPriority w:val="9"/>
    <w:rsid w:val="006B752E"/>
    <w:rPr>
      <w:rFonts w:ascii="Segoe UI" w:hAnsi="Segoe UI"/>
      <w:spacing w:val="-8"/>
      <w:sz w:val="28"/>
      <w:szCs w:val="26"/>
    </w:rPr>
  </w:style>
  <w:style w:type="character" w:customStyle="1" w:styleId="Heading6Char">
    <w:name w:val="Heading 6 Char"/>
    <w:basedOn w:val="DefaultParagraphFont"/>
    <w:link w:val="Heading6"/>
    <w:uiPriority w:val="9"/>
    <w:rsid w:val="006B752E"/>
    <w:rPr>
      <w:rFonts w:ascii="Segoe UI" w:hAnsi="Segoe UI"/>
      <w:iCs/>
      <w:spacing w:val="-8"/>
      <w:u w:val="single"/>
    </w:rPr>
  </w:style>
  <w:style w:type="character" w:customStyle="1" w:styleId="Heading7Char">
    <w:name w:val="Heading 7 Char"/>
    <w:basedOn w:val="DefaultParagraphFont"/>
    <w:link w:val="Heading7"/>
    <w:uiPriority w:val="9"/>
    <w:rsid w:val="006B752E"/>
    <w:rPr>
      <w:rFonts w:ascii="Segoe UI" w:hAnsi="Segoe UI"/>
      <w:spacing w:val="-8"/>
    </w:rPr>
  </w:style>
  <w:style w:type="paragraph" w:customStyle="1" w:styleId="AgendaDetails">
    <w:name w:val="Agenda_Details"/>
    <w:basedOn w:val="Normal"/>
    <w:qFormat/>
    <w:rsid w:val="006B752E"/>
    <w:pPr>
      <w:spacing w:before="240" w:after="240"/>
      <w:jc w:val="center"/>
    </w:pPr>
    <w:rPr>
      <w:rFonts w:ascii="Franklin Gothic Medium" w:hAnsi="Franklin Gothic Medium"/>
      <w:sz w:val="28"/>
      <w:szCs w:val="28"/>
    </w:rPr>
  </w:style>
  <w:style w:type="paragraph" w:customStyle="1" w:styleId="AppendixLetter">
    <w:name w:val="AppendixLetter"/>
    <w:basedOn w:val="Normal"/>
    <w:qFormat/>
    <w:rsid w:val="006B752E"/>
    <w:pPr>
      <w:pBdr>
        <w:bottom w:val="single" w:sz="24" w:space="1" w:color="auto"/>
      </w:pBdr>
      <w:spacing w:before="5040"/>
      <w:jc w:val="center"/>
    </w:pPr>
    <w:rPr>
      <w:rFonts w:ascii="Franklin Gothic Medium" w:hAnsi="Franklin Gothic Medium"/>
      <w:b/>
      <w:sz w:val="96"/>
      <w:szCs w:val="72"/>
    </w:rPr>
  </w:style>
  <w:style w:type="paragraph" w:customStyle="1" w:styleId="AppendixTitle">
    <w:name w:val="AppendixTitle"/>
    <w:basedOn w:val="Normal"/>
    <w:qFormat/>
    <w:rsid w:val="006B752E"/>
    <w:pPr>
      <w:jc w:val="center"/>
    </w:pPr>
    <w:rPr>
      <w:rFonts w:ascii="Franklin Gothic Medium" w:hAnsi="Franklin Gothic Medium"/>
      <w:sz w:val="56"/>
      <w:szCs w:val="72"/>
    </w:rPr>
  </w:style>
  <w:style w:type="paragraph" w:styleId="BodyText">
    <w:name w:val="Body Text"/>
    <w:basedOn w:val="Normal"/>
    <w:link w:val="BodyTextChar"/>
    <w:rsid w:val="006B752E"/>
    <w:pPr>
      <w:spacing w:after="240"/>
    </w:pPr>
  </w:style>
  <w:style w:type="character" w:customStyle="1" w:styleId="BodyTextChar">
    <w:name w:val="Body Text Char"/>
    <w:basedOn w:val="DefaultParagraphFont"/>
    <w:link w:val="BodyText"/>
    <w:rsid w:val="006B752E"/>
    <w:rPr>
      <w:rFonts w:ascii="Segoe UI Semilight" w:eastAsia="Times New Roman" w:hAnsi="Segoe UI Semilight" w:cs="Times New Roman"/>
      <w:szCs w:val="24"/>
    </w:rPr>
  </w:style>
  <w:style w:type="paragraph" w:customStyle="1" w:styleId="Bullet1">
    <w:name w:val="Bullet 1"/>
    <w:basedOn w:val="Normal"/>
    <w:qFormat/>
    <w:rsid w:val="006B752E"/>
    <w:pPr>
      <w:numPr>
        <w:numId w:val="1"/>
      </w:numPr>
      <w:spacing w:after="240"/>
    </w:pPr>
    <w:rPr>
      <w:rFonts w:eastAsiaTheme="minorHAnsi" w:cstheme="minorBidi"/>
      <w:bCs/>
      <w:szCs w:val="22"/>
    </w:rPr>
  </w:style>
  <w:style w:type="paragraph" w:customStyle="1" w:styleId="Bullet2">
    <w:name w:val="Bullet 2"/>
    <w:basedOn w:val="Normal"/>
    <w:qFormat/>
    <w:rsid w:val="006B752E"/>
    <w:pPr>
      <w:numPr>
        <w:numId w:val="2"/>
      </w:numPr>
      <w:spacing w:after="240"/>
    </w:pPr>
    <w:rPr>
      <w:rFonts w:eastAsiaTheme="minorHAnsi" w:cstheme="minorBidi"/>
      <w:bCs/>
      <w:szCs w:val="22"/>
    </w:rPr>
  </w:style>
  <w:style w:type="paragraph" w:customStyle="1" w:styleId="Bullet3">
    <w:name w:val="Bullet 3"/>
    <w:basedOn w:val="Normal"/>
    <w:qFormat/>
    <w:rsid w:val="006B752E"/>
    <w:pPr>
      <w:numPr>
        <w:numId w:val="3"/>
      </w:numPr>
      <w:tabs>
        <w:tab w:val="left" w:pos="1080"/>
      </w:tabs>
      <w:spacing w:after="240"/>
    </w:pPr>
    <w:rPr>
      <w:rFonts w:eastAsia="Calibri" w:cstheme="minorBidi"/>
      <w:bCs/>
      <w:noProof/>
      <w:szCs w:val="22"/>
    </w:rPr>
  </w:style>
  <w:style w:type="paragraph" w:customStyle="1" w:styleId="DateLine">
    <w:name w:val="Date_Line"/>
    <w:basedOn w:val="Normal"/>
    <w:qFormat/>
    <w:rsid w:val="006B752E"/>
    <w:pPr>
      <w:spacing w:before="960" w:after="960"/>
      <w:outlineLvl w:val="3"/>
    </w:pPr>
    <w:rPr>
      <w:rFonts w:eastAsiaTheme="majorEastAsia" w:cstheme="majorBidi"/>
      <w:bCs/>
      <w:szCs w:val="22"/>
    </w:rPr>
  </w:style>
  <w:style w:type="paragraph" w:customStyle="1" w:styleId="Exhibit">
    <w:name w:val="Exhibit"/>
    <w:basedOn w:val="BodyText"/>
    <w:qFormat/>
    <w:rsid w:val="006B752E"/>
    <w:pPr>
      <w:spacing w:after="0"/>
      <w:jc w:val="center"/>
    </w:pPr>
  </w:style>
  <w:style w:type="paragraph" w:customStyle="1" w:styleId="ExhibitPortrait">
    <w:name w:val="Exhibit_Portrait"/>
    <w:basedOn w:val="BodyText"/>
    <w:qFormat/>
    <w:rsid w:val="006B752E"/>
    <w:pPr>
      <w:spacing w:after="0"/>
      <w:jc w:val="center"/>
    </w:pPr>
  </w:style>
  <w:style w:type="paragraph" w:customStyle="1" w:styleId="ExhibitSource">
    <w:name w:val="ExhibitSource"/>
    <w:basedOn w:val="Normal"/>
    <w:qFormat/>
    <w:rsid w:val="006B752E"/>
    <w:pPr>
      <w:spacing w:before="40" w:after="120"/>
    </w:pPr>
    <w:rPr>
      <w:i/>
      <w:sz w:val="16"/>
    </w:rPr>
  </w:style>
  <w:style w:type="paragraph" w:customStyle="1" w:styleId="ExhibitSourcePortrait">
    <w:name w:val="ExhibitSource_Portrait"/>
    <w:basedOn w:val="Normal"/>
    <w:qFormat/>
    <w:rsid w:val="006B752E"/>
    <w:pPr>
      <w:spacing w:before="12360" w:after="120"/>
    </w:pPr>
    <w:rPr>
      <w:rFonts w:eastAsiaTheme="minorHAnsi" w:cstheme="minorBidi"/>
      <w:i/>
      <w:sz w:val="16"/>
      <w:szCs w:val="22"/>
    </w:rPr>
  </w:style>
  <w:style w:type="paragraph" w:customStyle="1" w:styleId="ExhibitSourceLandscape">
    <w:name w:val="ExhibitSource_Landscape"/>
    <w:basedOn w:val="ExhibitSourcePortrait"/>
    <w:qFormat/>
    <w:rsid w:val="006B752E"/>
    <w:pPr>
      <w:spacing w:before="9480"/>
      <w:ind w:left="180" w:right="2160"/>
    </w:pPr>
  </w:style>
  <w:style w:type="paragraph" w:customStyle="1" w:styleId="ExhibitTitle">
    <w:name w:val="ExhibitTitle"/>
    <w:basedOn w:val="Normal"/>
    <w:qFormat/>
    <w:rsid w:val="006B752E"/>
    <w:pPr>
      <w:tabs>
        <w:tab w:val="right" w:pos="10080"/>
      </w:tabs>
    </w:pPr>
    <w:rPr>
      <w:rFonts w:ascii="Franklin Gothic Medium" w:hAnsi="Franklin Gothic Medium"/>
      <w:sz w:val="24"/>
    </w:rPr>
  </w:style>
  <w:style w:type="paragraph" w:customStyle="1" w:styleId="ExhibitTitlePortrait">
    <w:name w:val="ExhibitTitle_Portrait"/>
    <w:basedOn w:val="Normal"/>
    <w:qFormat/>
    <w:rsid w:val="006B752E"/>
    <w:pPr>
      <w:tabs>
        <w:tab w:val="right" w:pos="8640"/>
      </w:tabs>
      <w:ind w:right="1440"/>
    </w:pPr>
    <w:rPr>
      <w:rFonts w:ascii="Franklin Gothic Demi" w:eastAsiaTheme="minorHAnsi" w:hAnsi="Franklin Gothic Demi" w:cstheme="minorBidi"/>
      <w:szCs w:val="22"/>
    </w:rPr>
  </w:style>
  <w:style w:type="paragraph" w:customStyle="1" w:styleId="ExhibitTitleLandscape">
    <w:name w:val="ExhibitTitle_Landscape"/>
    <w:basedOn w:val="ExhibitTitlePortrait"/>
    <w:qFormat/>
    <w:rsid w:val="006B752E"/>
    <w:pPr>
      <w:ind w:right="2160"/>
    </w:pPr>
  </w:style>
  <w:style w:type="paragraph" w:styleId="Footer">
    <w:name w:val="footer"/>
    <w:basedOn w:val="Normal"/>
    <w:link w:val="FooterChar"/>
    <w:uiPriority w:val="99"/>
    <w:rsid w:val="006B752E"/>
    <w:pPr>
      <w:pBdr>
        <w:top w:val="single" w:sz="8" w:space="1" w:color="auto"/>
      </w:pBdr>
      <w:tabs>
        <w:tab w:val="right" w:pos="10080"/>
      </w:tabs>
    </w:pPr>
    <w:rPr>
      <w:rFonts w:ascii="Franklin Gothic Medium Cond" w:hAnsi="Franklin Gothic Medium Cond"/>
      <w:sz w:val="18"/>
    </w:rPr>
  </w:style>
  <w:style w:type="character" w:customStyle="1" w:styleId="FooterChar">
    <w:name w:val="Footer Char"/>
    <w:basedOn w:val="DefaultParagraphFont"/>
    <w:link w:val="Footer"/>
    <w:uiPriority w:val="99"/>
    <w:rsid w:val="006B752E"/>
    <w:rPr>
      <w:rFonts w:ascii="Franklin Gothic Medium Cond" w:eastAsia="Times New Roman" w:hAnsi="Franklin Gothic Medium Cond" w:cs="Times New Roman"/>
      <w:sz w:val="18"/>
      <w:szCs w:val="24"/>
    </w:rPr>
  </w:style>
  <w:style w:type="paragraph" w:customStyle="1" w:styleId="FooterNoLine">
    <w:name w:val="Footer_NoLine"/>
    <w:basedOn w:val="Footer"/>
    <w:link w:val="FooterNoLineChar"/>
    <w:qFormat/>
    <w:rsid w:val="006B752E"/>
    <w:pPr>
      <w:pBdr>
        <w:top w:val="none" w:sz="0" w:space="0" w:color="auto"/>
      </w:pBdr>
    </w:pPr>
  </w:style>
  <w:style w:type="paragraph" w:customStyle="1" w:styleId="footnote">
    <w:name w:val="footnote"/>
    <w:basedOn w:val="Normal"/>
    <w:qFormat/>
    <w:rsid w:val="006B752E"/>
    <w:pPr>
      <w:ind w:left="180" w:hanging="180"/>
    </w:pPr>
    <w:rPr>
      <w:rFonts w:eastAsiaTheme="majorEastAsia" w:cstheme="majorBidi"/>
      <w:bCs/>
      <w:spacing w:val="-6"/>
      <w:sz w:val="16"/>
    </w:rPr>
  </w:style>
  <w:style w:type="paragraph" w:customStyle="1" w:styleId="footnoteref">
    <w:name w:val="footnoteref"/>
    <w:basedOn w:val="Normal"/>
    <w:qFormat/>
    <w:rsid w:val="006B752E"/>
    <w:pPr>
      <w:ind w:left="180" w:hanging="180"/>
    </w:pPr>
    <w:rPr>
      <w:rFonts w:ascii="Candara" w:eastAsiaTheme="majorEastAsia" w:hAnsi="Candara" w:cstheme="majorBidi"/>
      <w:bCs/>
      <w:sz w:val="16"/>
      <w:vertAlign w:val="superscript"/>
    </w:rPr>
  </w:style>
  <w:style w:type="paragraph" w:styleId="Header">
    <w:name w:val="header"/>
    <w:basedOn w:val="Normal"/>
    <w:link w:val="HeaderChar"/>
    <w:uiPriority w:val="99"/>
    <w:rsid w:val="002577B1"/>
    <w:pPr>
      <w:pBdr>
        <w:bottom w:val="single" w:sz="8" w:space="1" w:color="auto"/>
      </w:pBdr>
      <w:tabs>
        <w:tab w:val="right" w:pos="10080"/>
      </w:tabs>
    </w:pPr>
    <w:rPr>
      <w:sz w:val="18"/>
    </w:rPr>
  </w:style>
  <w:style w:type="character" w:customStyle="1" w:styleId="HeaderChar">
    <w:name w:val="Header Char"/>
    <w:basedOn w:val="DefaultParagraphFont"/>
    <w:link w:val="Header"/>
    <w:uiPriority w:val="99"/>
    <w:rsid w:val="002577B1"/>
    <w:rPr>
      <w:rFonts w:ascii="Segoe UI Semilight" w:eastAsia="Times New Roman" w:hAnsi="Segoe UI Semilight" w:cs="Times New Roman"/>
      <w:sz w:val="18"/>
      <w:szCs w:val="24"/>
    </w:rPr>
  </w:style>
  <w:style w:type="paragraph" w:customStyle="1" w:styleId="HeaderMain">
    <w:name w:val="Header_Main"/>
    <w:basedOn w:val="Normal"/>
    <w:qFormat/>
    <w:rsid w:val="006428D0"/>
    <w:pPr>
      <w:pBdr>
        <w:bottom w:val="single" w:sz="12" w:space="1" w:color="auto"/>
      </w:pBdr>
      <w:spacing w:before="360" w:after="240"/>
    </w:pPr>
    <w:rPr>
      <w:rFonts w:ascii="Century Gothic" w:hAnsi="Century Gothic"/>
      <w:noProof/>
      <w:sz w:val="72"/>
      <w:szCs w:val="96"/>
    </w:rPr>
  </w:style>
  <w:style w:type="paragraph" w:customStyle="1" w:styleId="HeaderNoLine">
    <w:name w:val="Header_NoLine"/>
    <w:basedOn w:val="Header"/>
    <w:link w:val="HeaderNoLineChar"/>
    <w:qFormat/>
    <w:rsid w:val="006B752E"/>
    <w:pPr>
      <w:pBdr>
        <w:bottom w:val="none" w:sz="0" w:space="0" w:color="auto"/>
      </w:pBdr>
      <w:jc w:val="right"/>
    </w:pPr>
  </w:style>
  <w:style w:type="character" w:customStyle="1" w:styleId="Heading9Char">
    <w:name w:val="Heading 9 Char"/>
    <w:basedOn w:val="DefaultParagraphFont"/>
    <w:link w:val="Heading9"/>
    <w:uiPriority w:val="9"/>
    <w:rsid w:val="006B752E"/>
    <w:rPr>
      <w:rFonts w:ascii="Segoe UI" w:hAnsi="Segoe UI"/>
      <w:iCs/>
      <w:spacing w:val="-8"/>
      <w:szCs w:val="20"/>
    </w:rPr>
  </w:style>
  <w:style w:type="paragraph" w:customStyle="1" w:styleId="Impactdescription">
    <w:name w:val="Impact description"/>
    <w:basedOn w:val="BodyText"/>
    <w:rsid w:val="006B752E"/>
    <w:pPr>
      <w:keepNext/>
      <w:keepLines/>
      <w:autoSpaceDE w:val="0"/>
      <w:autoSpaceDN w:val="0"/>
      <w:adjustRightInd w:val="0"/>
      <w:spacing w:before="120" w:after="120"/>
    </w:pPr>
    <w:rPr>
      <w:szCs w:val="22"/>
    </w:rPr>
  </w:style>
  <w:style w:type="paragraph" w:customStyle="1" w:styleId="ImpactNo">
    <w:name w:val="Impact_No."/>
    <w:basedOn w:val="BodyText"/>
    <w:qFormat/>
    <w:rsid w:val="006B752E"/>
    <w:pPr>
      <w:keepNext/>
      <w:keepLines/>
      <w:spacing w:before="120" w:after="120"/>
      <w:jc w:val="center"/>
    </w:pPr>
    <w:rPr>
      <w:b/>
      <w:szCs w:val="22"/>
    </w:rPr>
  </w:style>
  <w:style w:type="paragraph" w:customStyle="1" w:styleId="Mitigationtext">
    <w:name w:val="Mitigation text"/>
    <w:basedOn w:val="BodyText"/>
    <w:qFormat/>
    <w:rsid w:val="006B752E"/>
    <w:rPr>
      <w:i/>
      <w:spacing w:val="-2"/>
      <w:szCs w:val="22"/>
    </w:rPr>
  </w:style>
  <w:style w:type="paragraph" w:customStyle="1" w:styleId="MitigationBullet">
    <w:name w:val="Mitigation Bullet"/>
    <w:basedOn w:val="Mitigationtext"/>
    <w:qFormat/>
    <w:rsid w:val="006B752E"/>
    <w:pPr>
      <w:numPr>
        <w:numId w:val="5"/>
      </w:numPr>
    </w:pPr>
  </w:style>
  <w:style w:type="paragraph" w:customStyle="1" w:styleId="Mitigationtitle">
    <w:name w:val="Mitigation title"/>
    <w:basedOn w:val="BodyText"/>
    <w:rsid w:val="006B752E"/>
    <w:pPr>
      <w:keepNext/>
      <w:autoSpaceDE w:val="0"/>
      <w:autoSpaceDN w:val="0"/>
      <w:adjustRightInd w:val="0"/>
      <w:spacing w:before="120"/>
    </w:pPr>
    <w:rPr>
      <w:b/>
      <w:sz w:val="28"/>
    </w:rPr>
  </w:style>
  <w:style w:type="paragraph" w:customStyle="1" w:styleId="SubjectLine">
    <w:name w:val="Subject_Line"/>
    <w:basedOn w:val="Normal"/>
    <w:qFormat/>
    <w:rsid w:val="006B752E"/>
    <w:pPr>
      <w:tabs>
        <w:tab w:val="left" w:pos="1080"/>
      </w:tabs>
      <w:spacing w:after="240"/>
      <w:ind w:left="1080" w:hanging="1080"/>
      <w:outlineLvl w:val="3"/>
    </w:pPr>
    <w:rPr>
      <w:rFonts w:ascii="Century Gothic" w:eastAsiaTheme="majorEastAsia" w:hAnsi="Century Gothic" w:cstheme="majorBidi"/>
      <w:bCs/>
      <w:spacing w:val="-12"/>
      <w:szCs w:val="22"/>
    </w:rPr>
  </w:style>
  <w:style w:type="paragraph" w:customStyle="1" w:styleId="TableTextBullet">
    <w:name w:val="Table Text Bullet"/>
    <w:basedOn w:val="Normal"/>
    <w:qFormat/>
    <w:rsid w:val="006B752E"/>
    <w:pPr>
      <w:numPr>
        <w:numId w:val="8"/>
      </w:numPr>
      <w:spacing w:after="60"/>
    </w:pPr>
    <w:rPr>
      <w:rFonts w:eastAsiaTheme="majorEastAsia" w:cstheme="majorBidi"/>
      <w:bCs/>
      <w:sz w:val="20"/>
    </w:rPr>
  </w:style>
  <w:style w:type="paragraph" w:customStyle="1" w:styleId="TableRow">
    <w:name w:val="TableRow"/>
    <w:basedOn w:val="Normal"/>
    <w:qFormat/>
    <w:rsid w:val="006B752E"/>
    <w:rPr>
      <w:rFonts w:ascii="Franklin Gothic Medium Cond" w:eastAsiaTheme="minorHAnsi" w:hAnsi="Franklin Gothic Medium Cond" w:cstheme="minorBidi"/>
      <w:bCs/>
      <w:sz w:val="18"/>
      <w:szCs w:val="22"/>
    </w:rPr>
  </w:style>
  <w:style w:type="paragraph" w:customStyle="1" w:styleId="TableSource">
    <w:name w:val="TableSource"/>
    <w:basedOn w:val="Normal"/>
    <w:qFormat/>
    <w:rsid w:val="006B752E"/>
    <w:pPr>
      <w:spacing w:after="120"/>
    </w:pPr>
    <w:rPr>
      <w:rFonts w:ascii="Franklin Gothic Medium Cond" w:eastAsiaTheme="minorHAnsi" w:hAnsi="Franklin Gothic Medium Cond" w:cstheme="minorBidi"/>
      <w:bCs/>
      <w:color w:val="262626" w:themeColor="text1" w:themeTint="D9"/>
      <w:sz w:val="16"/>
      <w:szCs w:val="22"/>
    </w:rPr>
  </w:style>
  <w:style w:type="character" w:customStyle="1" w:styleId="Heading8Char">
    <w:name w:val="Heading 8 Char"/>
    <w:basedOn w:val="DefaultParagraphFont"/>
    <w:link w:val="Heading8"/>
    <w:uiPriority w:val="9"/>
    <w:rsid w:val="006B752E"/>
    <w:rPr>
      <w:rFonts w:ascii="Segoe UI" w:hAnsi="Segoe UI"/>
      <w:spacing w:val="-8"/>
      <w:szCs w:val="20"/>
    </w:rPr>
  </w:style>
  <w:style w:type="table" w:styleId="TableGrid">
    <w:name w:val="Table Grid"/>
    <w:basedOn w:val="TableNormal"/>
    <w:uiPriority w:val="59"/>
    <w:rsid w:val="007A5D7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LetterheadPg1">
    <w:name w:val="Footer_LetterheadPg1"/>
    <w:basedOn w:val="Normal"/>
    <w:qFormat/>
    <w:rsid w:val="006B752E"/>
    <w:pPr>
      <w:tabs>
        <w:tab w:val="right" w:pos="10800"/>
      </w:tabs>
      <w:spacing w:after="360"/>
      <w:ind w:left="-720"/>
    </w:pPr>
    <w:rPr>
      <w:rFonts w:ascii="Garamond" w:hAnsi="Garamond"/>
      <w:color w:val="353535"/>
      <w:sz w:val="16"/>
      <w:szCs w:val="16"/>
    </w:rPr>
  </w:style>
  <w:style w:type="paragraph" w:customStyle="1" w:styleId="FooterLetterheadPg2">
    <w:name w:val="Footer_LetterheadPg2+"/>
    <w:basedOn w:val="FooterLetterheadPg1"/>
    <w:qFormat/>
    <w:rsid w:val="006B752E"/>
    <w:pPr>
      <w:spacing w:after="0"/>
    </w:pPr>
  </w:style>
  <w:style w:type="character" w:customStyle="1" w:styleId="FooterNoLineChar">
    <w:name w:val="Footer_NoLine Char"/>
    <w:basedOn w:val="FooterChar"/>
    <w:link w:val="FooterNoLine"/>
    <w:rsid w:val="006B752E"/>
    <w:rPr>
      <w:rFonts w:ascii="Franklin Gothic Medium Cond" w:eastAsia="Times New Roman" w:hAnsi="Franklin Gothic Medium Cond" w:cs="Times New Roman"/>
      <w:sz w:val="18"/>
      <w:szCs w:val="24"/>
    </w:rPr>
  </w:style>
  <w:style w:type="character" w:customStyle="1" w:styleId="HeaderNoLineChar">
    <w:name w:val="Header_NoLine Char"/>
    <w:basedOn w:val="HeaderChar"/>
    <w:link w:val="HeaderNoLine"/>
    <w:rsid w:val="006B752E"/>
    <w:rPr>
      <w:rFonts w:ascii="Segoe UI Semilight" w:eastAsia="Times New Roman" w:hAnsi="Segoe UI Semilight" w:cs="Times New Roman"/>
      <w:sz w:val="18"/>
      <w:szCs w:val="24"/>
    </w:rPr>
  </w:style>
  <w:style w:type="paragraph" w:customStyle="1" w:styleId="TableColumn">
    <w:name w:val="TableColumn"/>
    <w:basedOn w:val="BodyText"/>
    <w:qFormat/>
    <w:rsid w:val="006B752E"/>
    <w:pPr>
      <w:spacing w:after="0"/>
      <w:jc w:val="center"/>
    </w:pPr>
    <w:rPr>
      <w:rFonts w:eastAsiaTheme="minorHAnsi" w:cstheme="minorBidi"/>
      <w:w w:val="95"/>
      <w:sz w:val="20"/>
      <w:szCs w:val="22"/>
    </w:rPr>
  </w:style>
  <w:style w:type="paragraph" w:customStyle="1" w:styleId="TableHeader">
    <w:name w:val="TableHeader"/>
    <w:basedOn w:val="Normal"/>
    <w:qFormat/>
    <w:rsid w:val="006B752E"/>
    <w:pPr>
      <w:keepNext/>
      <w:spacing w:before="120"/>
      <w:ind w:left="1440" w:hanging="1440"/>
    </w:pPr>
    <w:rPr>
      <w:rFonts w:ascii="Segoe UI" w:eastAsiaTheme="minorHAnsi" w:hAnsi="Segoe UI" w:cstheme="minorBidi"/>
      <w:bCs/>
      <w:spacing w:val="-8"/>
      <w:szCs w:val="22"/>
    </w:rPr>
  </w:style>
  <w:style w:type="paragraph" w:customStyle="1" w:styleId="TableText">
    <w:name w:val="TableText"/>
    <w:basedOn w:val="Normal"/>
    <w:qFormat/>
    <w:rsid w:val="006B752E"/>
    <w:pPr>
      <w:spacing w:line="240" w:lineRule="exact"/>
      <w:jc w:val="center"/>
    </w:pPr>
    <w:rPr>
      <w:rFonts w:eastAsiaTheme="minorHAnsi" w:cstheme="minorBidi"/>
      <w:spacing w:val="-4"/>
      <w:w w:val="80"/>
      <w:sz w:val="20"/>
      <w:szCs w:val="20"/>
    </w:rPr>
  </w:style>
  <w:style w:type="paragraph" w:customStyle="1" w:styleId="Bullet1nospace">
    <w:name w:val="Bullet 1_no space"/>
    <w:basedOn w:val="Bullet1"/>
    <w:qFormat/>
    <w:rsid w:val="006B752E"/>
    <w:pPr>
      <w:numPr>
        <w:numId w:val="0"/>
      </w:numPr>
      <w:spacing w:after="0"/>
    </w:pPr>
  </w:style>
  <w:style w:type="paragraph" w:customStyle="1" w:styleId="Bullet2nospace">
    <w:name w:val="Bullet 2_no space"/>
    <w:basedOn w:val="Bullet2"/>
    <w:qFormat/>
    <w:rsid w:val="006B752E"/>
    <w:pPr>
      <w:numPr>
        <w:numId w:val="0"/>
      </w:numPr>
      <w:spacing w:after="0"/>
    </w:pPr>
  </w:style>
  <w:style w:type="paragraph" w:customStyle="1" w:styleId="Bullet3nospace">
    <w:name w:val="Bullet 3_no space"/>
    <w:basedOn w:val="Bullet3"/>
    <w:qFormat/>
    <w:rsid w:val="006B752E"/>
    <w:pPr>
      <w:numPr>
        <w:numId w:val="0"/>
      </w:numPr>
      <w:spacing w:after="0"/>
    </w:pPr>
  </w:style>
  <w:style w:type="paragraph" w:customStyle="1" w:styleId="ExhibitSource11x17">
    <w:name w:val="ExhibitSource_11x17"/>
    <w:basedOn w:val="ExhibitSourcePortrait"/>
    <w:qFormat/>
    <w:rsid w:val="006B752E"/>
    <w:pPr>
      <w:spacing w:before="12840"/>
    </w:pPr>
  </w:style>
  <w:style w:type="paragraph" w:customStyle="1" w:styleId="ExhibitTitle11x17">
    <w:name w:val="ExhibitTitle11x17"/>
    <w:basedOn w:val="Normal"/>
    <w:qFormat/>
    <w:rsid w:val="006B752E"/>
    <w:pPr>
      <w:tabs>
        <w:tab w:val="right" w:pos="20520"/>
      </w:tabs>
      <w:ind w:right="1440"/>
    </w:pPr>
    <w:rPr>
      <w:rFonts w:ascii="Franklin Gothic Demi" w:eastAsiaTheme="minorHAnsi" w:hAnsi="Franklin Gothic Demi" w:cstheme="minorBidi"/>
      <w:szCs w:val="22"/>
    </w:rPr>
  </w:style>
  <w:style w:type="paragraph" w:customStyle="1" w:styleId="TableTextL">
    <w:name w:val="TableTextL"/>
    <w:basedOn w:val="TableText"/>
    <w:qFormat/>
    <w:rsid w:val="006B752E"/>
    <w:pPr>
      <w:jc w:val="left"/>
    </w:pPr>
  </w:style>
  <w:style w:type="paragraph" w:customStyle="1" w:styleId="MMBullet1">
    <w:name w:val="MM Bullet 1"/>
    <w:basedOn w:val="Mitigationtext"/>
    <w:qFormat/>
    <w:rsid w:val="006B752E"/>
    <w:pPr>
      <w:numPr>
        <w:numId w:val="6"/>
      </w:numPr>
    </w:pPr>
    <w:rPr>
      <w:rFonts w:eastAsiaTheme="minorHAnsi" w:cstheme="minorBidi"/>
      <w:i w:val="0"/>
    </w:rPr>
  </w:style>
  <w:style w:type="paragraph" w:customStyle="1" w:styleId="MMBullet1nospace">
    <w:name w:val="MM Bullet 1_no space"/>
    <w:basedOn w:val="MMBullet1"/>
    <w:qFormat/>
    <w:rsid w:val="006B752E"/>
    <w:pPr>
      <w:numPr>
        <w:numId w:val="0"/>
      </w:numPr>
      <w:spacing w:after="0"/>
    </w:pPr>
  </w:style>
  <w:style w:type="paragraph" w:customStyle="1" w:styleId="MMBullet2">
    <w:name w:val="MM Bullet 2"/>
    <w:basedOn w:val="Bullet2"/>
    <w:qFormat/>
    <w:rsid w:val="006B752E"/>
    <w:pPr>
      <w:numPr>
        <w:numId w:val="0"/>
      </w:numPr>
    </w:pPr>
  </w:style>
  <w:style w:type="paragraph" w:customStyle="1" w:styleId="MMBullet2nospace">
    <w:name w:val="MM Bullet 2_no space"/>
    <w:basedOn w:val="MMBullet2"/>
    <w:qFormat/>
    <w:rsid w:val="006B752E"/>
    <w:pPr>
      <w:spacing w:after="0"/>
    </w:pPr>
  </w:style>
  <w:style w:type="paragraph" w:customStyle="1" w:styleId="MMBullet3">
    <w:name w:val="MM Bullet 3"/>
    <w:basedOn w:val="BodyText"/>
    <w:qFormat/>
    <w:rsid w:val="006B752E"/>
    <w:pPr>
      <w:numPr>
        <w:numId w:val="7"/>
      </w:numPr>
    </w:pPr>
    <w:rPr>
      <w:rFonts w:eastAsiaTheme="minorHAnsi" w:cstheme="minorBidi"/>
      <w:szCs w:val="22"/>
    </w:rPr>
  </w:style>
  <w:style w:type="paragraph" w:customStyle="1" w:styleId="MMBullet3nospace">
    <w:name w:val="MM Bullet 3_no space"/>
    <w:basedOn w:val="MMBullet3"/>
    <w:qFormat/>
    <w:rsid w:val="006B752E"/>
    <w:pPr>
      <w:numPr>
        <w:numId w:val="0"/>
      </w:numPr>
      <w:spacing w:after="0"/>
    </w:pPr>
  </w:style>
  <w:style w:type="character" w:styleId="CommentReference">
    <w:name w:val="annotation reference"/>
    <w:basedOn w:val="DefaultParagraphFont"/>
    <w:uiPriority w:val="99"/>
    <w:semiHidden/>
    <w:unhideWhenUsed/>
    <w:rsid w:val="00104861"/>
    <w:rPr>
      <w:sz w:val="16"/>
      <w:szCs w:val="16"/>
    </w:rPr>
  </w:style>
  <w:style w:type="paragraph" w:styleId="CommentText">
    <w:name w:val="annotation text"/>
    <w:basedOn w:val="Normal"/>
    <w:link w:val="CommentTextChar"/>
    <w:uiPriority w:val="99"/>
    <w:unhideWhenUsed/>
    <w:rsid w:val="00104861"/>
    <w:rPr>
      <w:sz w:val="20"/>
      <w:szCs w:val="20"/>
    </w:rPr>
  </w:style>
  <w:style w:type="character" w:customStyle="1" w:styleId="CommentTextChar">
    <w:name w:val="Comment Text Char"/>
    <w:basedOn w:val="DefaultParagraphFont"/>
    <w:link w:val="CommentText"/>
    <w:uiPriority w:val="99"/>
    <w:rsid w:val="00104861"/>
    <w:rPr>
      <w:rFonts w:ascii="Segoe UI Semilight" w:eastAsia="Times New Roman" w:hAnsi="Segoe UI Semilight" w:cs="Times New Roman"/>
      <w:sz w:val="20"/>
      <w:szCs w:val="20"/>
    </w:rPr>
  </w:style>
  <w:style w:type="paragraph" w:styleId="CommentSubject">
    <w:name w:val="annotation subject"/>
    <w:basedOn w:val="CommentText"/>
    <w:next w:val="CommentText"/>
    <w:link w:val="CommentSubjectChar"/>
    <w:uiPriority w:val="99"/>
    <w:semiHidden/>
    <w:unhideWhenUsed/>
    <w:rsid w:val="00104861"/>
    <w:rPr>
      <w:b/>
      <w:bCs/>
    </w:rPr>
  </w:style>
  <w:style w:type="character" w:customStyle="1" w:styleId="CommentSubjectChar">
    <w:name w:val="Comment Subject Char"/>
    <w:basedOn w:val="CommentTextChar"/>
    <w:link w:val="CommentSubject"/>
    <w:uiPriority w:val="99"/>
    <w:semiHidden/>
    <w:rsid w:val="00104861"/>
    <w:rPr>
      <w:rFonts w:ascii="Segoe UI Semilight" w:eastAsia="Times New Roman" w:hAnsi="Segoe UI Semilight" w:cs="Times New Roman"/>
      <w:b/>
      <w:bCs/>
      <w:sz w:val="20"/>
      <w:szCs w:val="20"/>
    </w:rPr>
  </w:style>
  <w:style w:type="paragraph" w:styleId="BalloonText">
    <w:name w:val="Balloon Text"/>
    <w:basedOn w:val="Normal"/>
    <w:link w:val="BalloonTextChar"/>
    <w:uiPriority w:val="99"/>
    <w:semiHidden/>
    <w:unhideWhenUsed/>
    <w:rsid w:val="001048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4861"/>
    <w:rPr>
      <w:rFonts w:ascii="Segoe UI" w:eastAsia="Times New Roman" w:hAnsi="Segoe UI" w:cs="Segoe UI"/>
      <w:sz w:val="18"/>
      <w:szCs w:val="18"/>
    </w:rPr>
  </w:style>
  <w:style w:type="paragraph" w:customStyle="1" w:styleId="Default">
    <w:name w:val="Default"/>
    <w:rsid w:val="00104861"/>
    <w:pPr>
      <w:autoSpaceDE w:val="0"/>
      <w:autoSpaceDN w:val="0"/>
      <w:adjustRightInd w:val="0"/>
      <w:spacing w:after="0"/>
    </w:pPr>
    <w:rPr>
      <w:rFonts w:ascii="Times New Roman" w:hAnsi="Times New Roman" w:cs="Times New Roman"/>
      <w:color w:val="000000"/>
      <w:sz w:val="24"/>
      <w:szCs w:val="24"/>
    </w:rPr>
  </w:style>
  <w:style w:type="character" w:styleId="PlaceholderText">
    <w:name w:val="Placeholder Text"/>
    <w:basedOn w:val="DefaultParagraphFont"/>
    <w:uiPriority w:val="99"/>
    <w:unhideWhenUsed/>
    <w:rsid w:val="00FA3320"/>
    <w:rPr>
      <w:color w:val="808080"/>
    </w:rPr>
  </w:style>
  <w:style w:type="paragraph" w:styleId="Caption">
    <w:name w:val="caption"/>
    <w:basedOn w:val="Normal"/>
    <w:next w:val="Normal"/>
    <w:uiPriority w:val="35"/>
    <w:unhideWhenUsed/>
    <w:qFormat/>
    <w:rsid w:val="00A84177"/>
    <w:pPr>
      <w:spacing w:after="200"/>
    </w:pPr>
    <w:rPr>
      <w:i/>
      <w:iCs/>
      <w:color w:val="1F497D" w:themeColor="text2"/>
      <w:sz w:val="18"/>
      <w:szCs w:val="18"/>
    </w:rPr>
  </w:style>
  <w:style w:type="table" w:styleId="PlainTable2">
    <w:name w:val="Plain Table 2"/>
    <w:basedOn w:val="TableNormal"/>
    <w:uiPriority w:val="42"/>
    <w:rsid w:val="00147D03"/>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542B09"/>
    <w:rPr>
      <w:color w:val="0000FF" w:themeColor="hyperlink"/>
      <w:u w:val="single"/>
    </w:rPr>
  </w:style>
  <w:style w:type="character" w:styleId="UnresolvedMention">
    <w:name w:val="Unresolved Mention"/>
    <w:basedOn w:val="DefaultParagraphFont"/>
    <w:uiPriority w:val="99"/>
    <w:semiHidden/>
    <w:unhideWhenUsed/>
    <w:rsid w:val="00542B09"/>
    <w:rPr>
      <w:color w:val="808080"/>
      <w:shd w:val="clear" w:color="auto" w:fill="E6E6E6"/>
    </w:rPr>
  </w:style>
  <w:style w:type="paragraph" w:styleId="ListBullet">
    <w:name w:val="List Bullet"/>
    <w:basedOn w:val="Normal"/>
    <w:uiPriority w:val="99"/>
    <w:unhideWhenUsed/>
    <w:rsid w:val="00831C11"/>
    <w:pPr>
      <w:numPr>
        <w:numId w:val="10"/>
      </w:numPr>
      <w:contextualSpacing/>
    </w:pPr>
  </w:style>
  <w:style w:type="paragraph" w:styleId="FootnoteText">
    <w:name w:val="footnote text"/>
    <w:basedOn w:val="Normal"/>
    <w:link w:val="FootnoteTextChar"/>
    <w:uiPriority w:val="99"/>
    <w:semiHidden/>
    <w:unhideWhenUsed/>
    <w:rsid w:val="00783B99"/>
    <w:rPr>
      <w:sz w:val="20"/>
      <w:szCs w:val="20"/>
    </w:rPr>
  </w:style>
  <w:style w:type="character" w:customStyle="1" w:styleId="FootnoteTextChar">
    <w:name w:val="Footnote Text Char"/>
    <w:basedOn w:val="DefaultParagraphFont"/>
    <w:link w:val="FootnoteText"/>
    <w:uiPriority w:val="99"/>
    <w:semiHidden/>
    <w:rsid w:val="00783B99"/>
    <w:rPr>
      <w:rFonts w:ascii="Segoe UI Semilight" w:eastAsia="Times New Roman" w:hAnsi="Segoe UI Semilight" w:cs="Times New Roman"/>
      <w:sz w:val="20"/>
      <w:szCs w:val="20"/>
    </w:rPr>
  </w:style>
  <w:style w:type="character" w:styleId="FootnoteReference">
    <w:name w:val="footnote reference"/>
    <w:basedOn w:val="DefaultParagraphFont"/>
    <w:uiPriority w:val="99"/>
    <w:semiHidden/>
    <w:unhideWhenUsed/>
    <w:rsid w:val="00783B99"/>
    <w:rPr>
      <w:vertAlign w:val="superscript"/>
    </w:rPr>
  </w:style>
  <w:style w:type="paragraph" w:styleId="Revision">
    <w:name w:val="Revision"/>
    <w:hidden/>
    <w:uiPriority w:val="99"/>
    <w:semiHidden/>
    <w:rsid w:val="0049112B"/>
    <w:pPr>
      <w:spacing w:after="0"/>
    </w:pPr>
    <w:rPr>
      <w:rFonts w:ascii="Segoe UI Semilight" w:eastAsia="Times New Roman" w:hAnsi="Segoe UI Semilight" w:cs="Times New Roman"/>
      <w:szCs w:val="24"/>
    </w:rPr>
  </w:style>
  <w:style w:type="character" w:styleId="FollowedHyperlink">
    <w:name w:val="FollowedHyperlink"/>
    <w:basedOn w:val="DefaultParagraphFont"/>
    <w:uiPriority w:val="99"/>
    <w:semiHidden/>
    <w:unhideWhenUsed/>
    <w:rsid w:val="0099622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5420282">
      <w:bodyDiv w:val="1"/>
      <w:marLeft w:val="0"/>
      <w:marRight w:val="0"/>
      <w:marTop w:val="0"/>
      <w:marBottom w:val="0"/>
      <w:divBdr>
        <w:top w:val="none" w:sz="0" w:space="0" w:color="auto"/>
        <w:left w:val="none" w:sz="0" w:space="0" w:color="auto"/>
        <w:bottom w:val="none" w:sz="0" w:space="0" w:color="auto"/>
        <w:right w:val="none" w:sz="0" w:space="0" w:color="auto"/>
      </w:divBdr>
    </w:div>
    <w:div w:id="1614938682">
      <w:bodyDiv w:val="1"/>
      <w:marLeft w:val="0"/>
      <w:marRight w:val="0"/>
      <w:marTop w:val="0"/>
      <w:marBottom w:val="0"/>
      <w:divBdr>
        <w:top w:val="none" w:sz="0" w:space="0" w:color="auto"/>
        <w:left w:val="none" w:sz="0" w:space="0" w:color="auto"/>
        <w:bottom w:val="none" w:sz="0" w:space="0" w:color="auto"/>
        <w:right w:val="none" w:sz="0" w:space="0" w:color="auto"/>
      </w:divBdr>
    </w:div>
    <w:div w:id="2121485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http://www.tahoempo.org/rtp_2016/rfp/2-CO2%20Adjustments.pdf"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16/09/relationships/commentsIds" Target="commentsIds.xml"/><Relationship Id="rId18" Type="http://schemas.openxmlformats.org/officeDocument/2006/relationships/hyperlink" Target="https://www.arb.ca.gov/msprog/acc/mtr/acc_mtr_finalreport_full.pdf" TargetMode="External"/><Relationship Id="rId26" Type="http://schemas.openxmlformats.org/officeDocument/2006/relationships/hyperlink" Target="https://www.nrel.gov/docs/fy18osti/70831.pdf" TargetMode="External"/><Relationship Id="rId3" Type="http://schemas.openxmlformats.org/officeDocument/2006/relationships/styles" Target="styles.xml"/><Relationship Id="rId21" Type="http://schemas.openxmlformats.org/officeDocument/2006/relationships/hyperlink" Target="https://www.nrel.gov/docs/fy18osti/70893.pdf" TargetMode="External"/><Relationship Id="rId34" Type="http://schemas.openxmlformats.org/officeDocument/2006/relationships/theme" Target="theme/theme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www.arb.ca.gov/msei/downloads/emfac2014/emfac2014-vol3-technical-documentation-052015.pdf" TargetMode="External"/><Relationship Id="rId25" Type="http://schemas.openxmlformats.org/officeDocument/2006/relationships/hyperlink" Target="https://www.nrel.gov/docs/fy17osti/67436.pdf" TargetMode="Externa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www.arb.ca.gov/cc/sb375/mtc_scs_tech_eval_final0414.pdf" TargetMode="External"/><Relationship Id="rId20" Type="http://schemas.openxmlformats.org/officeDocument/2006/relationships/hyperlink" Target="https://www.arb.ca.gov/cc/sb375/finaltargets2018.pdf"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s://www.arb.ca.gov/cc/sb375/sacog_ghg_tech_methodology.pdf"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arb.ca.gov/cc/sb375/scs_review_methodology.pdf" TargetMode="External"/><Relationship Id="rId23" Type="http://schemas.openxmlformats.org/officeDocument/2006/relationships/hyperlink" Target="https://www.arb.ca.gov/cc/sb375/sacog_ghg_tech_methodology.pdf" TargetMode="External"/><Relationship Id="rId28"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hyperlink" Target="https://www.arb.ca.gov/cc/scopingplan/scoping_plan_2017.pdf"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hyperlink" Target="https://www.afdc.energy.gov/evi-pro-lite" TargetMode="External"/><Relationship Id="rId22" Type="http://schemas.openxmlformats.org/officeDocument/2006/relationships/hyperlink" Target="http://2040.planbayarea.org/sites/default/files/2017-07/Travel_Modeling_PBA2040_Supplemental%20Report_7-2017_0.pdf" TargetMode="External"/><Relationship Id="rId27" Type="http://schemas.openxmlformats.org/officeDocument/2006/relationships/hyperlink" Target="https://maps.nrel.gov/cec/?aL=0&amp;bL=cdark&amp;cE=0&amp;lR=0&amp;mC=37.84883250647402%2C-119.06982421874999&amp;zL=6" TargetMode="External"/><Relationship Id="rId30"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L:\Templates\Memo_Template_02-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ED377-62B1-4CA5-9C51-13141A046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Memo_Template_02-2018</Template>
  <TotalTime>22</TotalTime>
  <Pages>25</Pages>
  <Words>9122</Words>
  <Characters>51998</Characters>
  <Application>Microsoft Office Word</Application>
  <DocSecurity>0</DocSecurity>
  <Lines>433</Lines>
  <Paragraphs>121</Paragraphs>
  <ScaleCrop>false</ScaleCrop>
  <HeadingPairs>
    <vt:vector size="2" baseType="variant">
      <vt:variant>
        <vt:lpstr>Title</vt:lpstr>
      </vt:variant>
      <vt:variant>
        <vt:i4>1</vt:i4>
      </vt:variant>
    </vt:vector>
  </HeadingPairs>
  <TitlesOfParts>
    <vt:vector size="1" baseType="lpstr">
      <vt:lpstr/>
    </vt:vector>
  </TitlesOfParts>
  <Company>Ascent Environmental Inc.</Company>
  <LinksUpToDate>false</LinksUpToDate>
  <CharactersWithSpaces>60999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Brenda Hom</dc:creator>
  <cp:lastModifiedBy>Wood, Allison</cp:lastModifiedBy>
  <cp:revision>3</cp:revision>
  <dcterms:created xsi:type="dcterms:W3CDTF">2018-09-13T17:25:00Z</dcterms:created>
  <dcterms:modified xsi:type="dcterms:W3CDTF">2018-09-13T17:47:00Z</dcterms:modified>
</cp:coreProperties>
</file>