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10AE9" w14:textId="77777777" w:rsidR="00DF7384" w:rsidRPr="00DF7384" w:rsidRDefault="00DF7384" w:rsidP="00DF7384">
      <w:pPr>
        <w:jc w:val="center"/>
        <w:rPr>
          <w:sz w:val="72"/>
          <w:szCs w:val="72"/>
        </w:rPr>
      </w:pPr>
      <w:r w:rsidRPr="00DF7384">
        <w:rPr>
          <w:sz w:val="72"/>
          <w:szCs w:val="72"/>
        </w:rPr>
        <w:t>DRAFT</w:t>
      </w:r>
    </w:p>
    <w:p w14:paraId="6E1C3F38" w14:textId="77777777" w:rsidR="00DF7384" w:rsidRDefault="00DF7384" w:rsidP="00DF7384">
      <w:pPr>
        <w:jc w:val="center"/>
      </w:pPr>
    </w:p>
    <w:p w14:paraId="4CB2387C" w14:textId="77777777" w:rsidR="00DF7384" w:rsidRDefault="00DF7384" w:rsidP="00DF7384">
      <w:pPr>
        <w:jc w:val="center"/>
      </w:pPr>
    </w:p>
    <w:p w14:paraId="6C2DD1AC" w14:textId="77777777" w:rsidR="002E01A3" w:rsidRPr="00DF7384" w:rsidRDefault="00151406" w:rsidP="00DF7384">
      <w:pPr>
        <w:jc w:val="center"/>
        <w:rPr>
          <w:sz w:val="28"/>
          <w:szCs w:val="28"/>
        </w:rPr>
      </w:pPr>
      <w:r w:rsidRPr="00DF7384">
        <w:rPr>
          <w:sz w:val="28"/>
          <w:szCs w:val="28"/>
        </w:rPr>
        <w:t>Proposed Real Estate Development Model (REDM) for SANDAG</w:t>
      </w:r>
    </w:p>
    <w:p w14:paraId="34D1B184" w14:textId="77777777" w:rsidR="00DF7384" w:rsidRDefault="00DF7384" w:rsidP="00DF7384">
      <w:pPr>
        <w:jc w:val="center"/>
      </w:pPr>
    </w:p>
    <w:p w14:paraId="6B93DC82" w14:textId="77777777" w:rsidR="00151406" w:rsidRDefault="00151406" w:rsidP="00DF7384">
      <w:pPr>
        <w:jc w:val="center"/>
      </w:pPr>
      <w:r>
        <w:t>By Michael Clay</w:t>
      </w:r>
    </w:p>
    <w:p w14:paraId="227F52FA" w14:textId="77777777" w:rsidR="00DF7384" w:rsidRDefault="00DF7384" w:rsidP="00DF7384">
      <w:pPr>
        <w:jc w:val="center"/>
      </w:pPr>
      <w:r>
        <w:t>March 5, 2020</w:t>
      </w:r>
    </w:p>
    <w:p w14:paraId="099EFC18" w14:textId="77777777" w:rsidR="00151406" w:rsidRDefault="00151406"/>
    <w:p w14:paraId="3339CBD5" w14:textId="77777777" w:rsidR="00DF7384" w:rsidRDefault="00DF7384"/>
    <w:p w14:paraId="4B4D7D2D" w14:textId="77777777" w:rsidR="00811919" w:rsidRPr="00D625A5" w:rsidRDefault="00811919">
      <w:pPr>
        <w:rPr>
          <w:b/>
        </w:rPr>
      </w:pPr>
      <w:r w:rsidRPr="00D625A5">
        <w:rPr>
          <w:b/>
        </w:rPr>
        <w:t>Introduction</w:t>
      </w:r>
    </w:p>
    <w:p w14:paraId="76C7F62B" w14:textId="75467745" w:rsidR="00151406" w:rsidRDefault="00151406">
      <w:r>
        <w:t>This document summarize</w:t>
      </w:r>
      <w:r w:rsidR="006644D6">
        <w:t>s</w:t>
      </w:r>
      <w:r>
        <w:t xml:space="preserve"> the proposed real estate development model (REDM) for implementation as part of the larger SRF SANDAG modeling system. The data flow for this model is presented in Figure 1 and the model flow chart is presented in Figure 2.</w:t>
      </w:r>
      <w:r w:rsidR="00DF7384">
        <w:t xml:space="preserve"> This model is based, in part,</w:t>
      </w:r>
      <w:r w:rsidR="00B449D1">
        <w:t xml:space="preserve"> on the </w:t>
      </w:r>
      <w:r w:rsidR="00653368">
        <w:t>floorspace</w:t>
      </w:r>
      <w:r w:rsidR="006F2218">
        <w:t xml:space="preserve"> supply module of the </w:t>
      </w:r>
      <w:r w:rsidR="00B449D1">
        <w:t>R</w:t>
      </w:r>
      <w:r w:rsidR="00DF7384">
        <w:t xml:space="preserve">eal </w:t>
      </w:r>
      <w:r w:rsidR="00B449D1">
        <w:t>E</w:t>
      </w:r>
      <w:r w:rsidR="00DF7384">
        <w:t xml:space="preserve">state </w:t>
      </w:r>
      <w:r w:rsidR="00B449D1">
        <w:t>Market</w:t>
      </w:r>
      <w:r w:rsidR="00DF7384">
        <w:t xml:space="preserve"> </w:t>
      </w:r>
      <w:r w:rsidR="00B449D1">
        <w:t>M</w:t>
      </w:r>
      <w:r w:rsidR="00DF7384">
        <w:t xml:space="preserve">odel </w:t>
      </w:r>
      <w:r w:rsidR="00B449D1">
        <w:t xml:space="preserve">(REMM) </w:t>
      </w:r>
      <w:r w:rsidR="00DF7384">
        <w:t>currently in place in the Salt Lake City, Utah, metropolitan area. The Wasatch Front Regional Council (WFRC)</w:t>
      </w:r>
      <w:r w:rsidR="00B449D1">
        <w:t xml:space="preserve">, </w:t>
      </w:r>
      <w:proofErr w:type="spellStart"/>
      <w:r w:rsidR="00B449D1">
        <w:t>Mountainland</w:t>
      </w:r>
      <w:proofErr w:type="spellEnd"/>
      <w:r w:rsidR="00B449D1">
        <w:t xml:space="preserve"> Association of Governments (MAG), and the Utah Department of Transportation collaborated with Urban Planning International LLC across a five year period</w:t>
      </w:r>
      <w:r w:rsidR="00684304">
        <w:t xml:space="preserve"> to develop REMM. This collaboration</w:t>
      </w:r>
      <w:r w:rsidR="006F2218">
        <w:t xml:space="preserve"> included </w:t>
      </w:r>
      <w:r w:rsidR="00684304">
        <w:t>in-depth interviews with real estate professional</w:t>
      </w:r>
      <w:r w:rsidR="00811919">
        <w:t>s</w:t>
      </w:r>
      <w:r w:rsidR="00684304">
        <w:t xml:space="preserve"> who advised on the model </w:t>
      </w:r>
      <w:r w:rsidR="00811919">
        <w:t xml:space="preserve">structure, </w:t>
      </w:r>
      <w:r w:rsidR="00684304">
        <w:t xml:space="preserve">processes, conceptual relationships, variables, and coefficients that play a role for them in their </w:t>
      </w:r>
      <w:r w:rsidR="00811919">
        <w:t xml:space="preserve">professional </w:t>
      </w:r>
      <w:r w:rsidR="00684304">
        <w:t xml:space="preserve">practices and should be included in the model. </w:t>
      </w:r>
      <w:r w:rsidR="00653368">
        <w:t xml:space="preserve">Throughout this process, careful attention was payed to the “behavioral realism” of the model—or how well it represented the actual real estate development process. </w:t>
      </w:r>
      <w:r w:rsidR="00684304">
        <w:t xml:space="preserve">These professionals included real estate financiers (both residential and commercial), bankers, </w:t>
      </w:r>
      <w:r w:rsidR="00653368">
        <w:t xml:space="preserve">residential </w:t>
      </w:r>
      <w:r w:rsidR="00684304">
        <w:t>builders</w:t>
      </w:r>
      <w:r w:rsidR="00653368">
        <w:t xml:space="preserve">, </w:t>
      </w:r>
      <w:r w:rsidR="00684304">
        <w:t xml:space="preserve">commercial </w:t>
      </w:r>
      <w:r w:rsidR="00653368">
        <w:t>builders</w:t>
      </w:r>
      <w:r w:rsidR="00684304">
        <w:t>, realtors, land speculators, large land holders, and commercial leasing agents.</w:t>
      </w:r>
    </w:p>
    <w:p w14:paraId="703BD31E" w14:textId="77777777" w:rsidR="00811919" w:rsidRDefault="00811919"/>
    <w:p w14:paraId="421F1DB5" w14:textId="77777777" w:rsidR="00811919" w:rsidRPr="00D625A5" w:rsidRDefault="00811919">
      <w:pPr>
        <w:rPr>
          <w:b/>
        </w:rPr>
      </w:pPr>
      <w:r w:rsidRPr="00D625A5">
        <w:rPr>
          <w:b/>
        </w:rPr>
        <w:t>Economic Underpinnings</w:t>
      </w:r>
    </w:p>
    <w:p w14:paraId="14857FBA" w14:textId="0640A2A9" w:rsidR="00F34636" w:rsidRDefault="00811919">
      <w:r>
        <w:t xml:space="preserve">Real estate development at the regional or metropolitan level is based upon the </w:t>
      </w:r>
      <w:r w:rsidR="00653368">
        <w:t xml:space="preserve">profit principle. Evaluation of the </w:t>
      </w:r>
      <w:r>
        <w:t xml:space="preserve">costs of bring products to market </w:t>
      </w:r>
      <w:r w:rsidR="00653368">
        <w:t>compared with</w:t>
      </w:r>
      <w:r>
        <w:t xml:space="preserve"> the expected returns or prices those products can be sold or leased for</w:t>
      </w:r>
      <w:r w:rsidR="00653368">
        <w:t>, determine what will or will not be built</w:t>
      </w:r>
      <w:r>
        <w:t xml:space="preserve">. </w:t>
      </w:r>
      <w:r w:rsidR="00653368">
        <w:t>Local land policy as a constraint determine</w:t>
      </w:r>
      <w:r w:rsidR="00F34636">
        <w:t>s what types of products can be considered at each location/parcel.</w:t>
      </w:r>
      <w:r w:rsidR="00653368">
        <w:t xml:space="preserve"> It is </w:t>
      </w:r>
      <w:r w:rsidR="00F34636">
        <w:t>commonly</w:t>
      </w:r>
      <w:r w:rsidR="00653368">
        <w:t xml:space="preserve"> accepted th</w:t>
      </w:r>
      <w:r w:rsidR="00F34636">
        <w:t>at</w:t>
      </w:r>
      <w:r w:rsidR="00653368">
        <w:t xml:space="preserve"> </w:t>
      </w:r>
      <w:proofErr w:type="spellStart"/>
      <w:r w:rsidR="00653368">
        <w:t>a</w:t>
      </w:r>
      <w:proofErr w:type="spellEnd"/>
      <w:r w:rsidR="00F34636">
        <w:t xml:space="preserve"> minimum</w:t>
      </w:r>
      <w:r w:rsidR="00653368">
        <w:t xml:space="preserve"> expected 25% profit/return on investment is required for a residential or commercial product to be brought to market. </w:t>
      </w:r>
      <w:r w:rsidR="00F34636">
        <w:t xml:space="preserve">So, a realistic determination of developability by real estate product type, by location is: </w:t>
      </w:r>
    </w:p>
    <w:p w14:paraId="73A79EA5" w14:textId="007E046D" w:rsidR="00F34636" w:rsidRDefault="00F34636"/>
    <w:p w14:paraId="7D7C6D09" w14:textId="4769AF53" w:rsidR="00F34636" w:rsidRDefault="00F34636" w:rsidP="006055B8">
      <w:pPr>
        <w:jc w:val="center"/>
      </w:pPr>
      <w:r>
        <w:t>(cost of land + cost of construction) + 25% ≤ expected price</w:t>
      </w:r>
    </w:p>
    <w:p w14:paraId="3C77CFBB" w14:textId="73B8C2D0" w:rsidR="008D7960" w:rsidRDefault="008D7960">
      <w:r>
        <w:t>Equation 1: Determination of profitability</w:t>
      </w:r>
    </w:p>
    <w:p w14:paraId="6CA1AB7A" w14:textId="77777777" w:rsidR="00F34636" w:rsidRDefault="00F34636"/>
    <w:p w14:paraId="3EC393AD" w14:textId="70866330" w:rsidR="00811919" w:rsidRDefault="00811919">
      <w:r>
        <w:t>Th</w:t>
      </w:r>
      <w:r w:rsidR="00F34636">
        <w:t xml:space="preserve">ese </w:t>
      </w:r>
      <w:r w:rsidR="00D625A5">
        <w:t>four basic</w:t>
      </w:r>
      <w:r>
        <w:t xml:space="preserve"> elements</w:t>
      </w:r>
      <w:r w:rsidR="00F34636">
        <w:t>—cost of land</w:t>
      </w:r>
      <w:r>
        <w:t xml:space="preserve">, </w:t>
      </w:r>
      <w:r w:rsidR="00F34636">
        <w:t xml:space="preserve">cost of construction, expected price, and </w:t>
      </w:r>
      <w:r>
        <w:t>local policy constraints</w:t>
      </w:r>
      <w:r w:rsidR="00F34636">
        <w:t>—w</w:t>
      </w:r>
      <w:r w:rsidR="00D625A5">
        <w:t>ill be discussed individually.</w:t>
      </w:r>
    </w:p>
    <w:p w14:paraId="70053567" w14:textId="77777777" w:rsidR="00D625A5" w:rsidRDefault="00D625A5"/>
    <w:p w14:paraId="12DE9D4B" w14:textId="5785499C" w:rsidR="00D625A5" w:rsidRPr="000529CB" w:rsidRDefault="00821FCB">
      <w:pPr>
        <w:rPr>
          <w:u w:val="single"/>
        </w:rPr>
      </w:pPr>
      <w:r>
        <w:rPr>
          <w:u w:val="single"/>
        </w:rPr>
        <w:t>Cost of Land</w:t>
      </w:r>
    </w:p>
    <w:p w14:paraId="0144F6E1" w14:textId="370EE160" w:rsidR="00D625A5" w:rsidRDefault="00821FCB">
      <w:r>
        <w:t>Cost of land or l</w:t>
      </w:r>
      <w:r w:rsidR="00D625A5">
        <w:t xml:space="preserve">and price is one of the most influential variables in the local real estate development process. </w:t>
      </w:r>
      <w:r>
        <w:t>The cost of land</w:t>
      </w:r>
      <w:r w:rsidR="000529CB">
        <w:t xml:space="preserve"> varies spatially and temporally. Land price is available </w:t>
      </w:r>
      <w:r w:rsidR="000529CB">
        <w:lastRenderedPageBreak/>
        <w:t>from multiple sources at varying qualities, including county assessors and real estate trade publications. The initial version of REDM will account for spatial variation in land price but not temporal—this can be addressed in future updates with a spatially sensitive, hedonic land cost model.</w:t>
      </w:r>
    </w:p>
    <w:p w14:paraId="3D9DF8FE" w14:textId="77777777" w:rsidR="00F34636" w:rsidRDefault="00F34636"/>
    <w:p w14:paraId="5B9571EC" w14:textId="2271DCA9" w:rsidR="00357620" w:rsidRPr="00357620" w:rsidRDefault="00821FCB">
      <w:pPr>
        <w:rPr>
          <w:u w:val="single"/>
        </w:rPr>
      </w:pPr>
      <w:r>
        <w:rPr>
          <w:u w:val="single"/>
        </w:rPr>
        <w:t xml:space="preserve">Cost of </w:t>
      </w:r>
      <w:r w:rsidR="00F34636">
        <w:rPr>
          <w:u w:val="single"/>
        </w:rPr>
        <w:t>C</w:t>
      </w:r>
      <w:r w:rsidR="00357620" w:rsidRPr="00357620">
        <w:rPr>
          <w:u w:val="single"/>
        </w:rPr>
        <w:t>onstruction</w:t>
      </w:r>
    </w:p>
    <w:p w14:paraId="0F405C1B" w14:textId="1EA5C720" w:rsidR="00357620" w:rsidRDefault="00357620">
      <w:r>
        <w:t xml:space="preserve">Development construction costs represent the non-land costs of development such as materials, equipment, and labor required to physically construct each real estate product by type. These costs </w:t>
      </w:r>
      <w:r w:rsidR="00821FCB">
        <w:t>can</w:t>
      </w:r>
      <w:r>
        <w:t xml:space="preserve"> </w:t>
      </w:r>
      <w:r w:rsidR="005654EC">
        <w:t>shift spatially (generally based upon the density of existing development surrounding the parcel</w:t>
      </w:r>
      <w:r w:rsidR="00821FCB">
        <w:t xml:space="preserve"> under consideration</w:t>
      </w:r>
      <w:r w:rsidR="005654EC">
        <w:t xml:space="preserve">) and from green field development to redevelopment projects. For redevelopment projects, an added demolition cost </w:t>
      </w:r>
      <w:r w:rsidR="00821FCB">
        <w:t>m</w:t>
      </w:r>
      <w:r w:rsidR="005654EC">
        <w:t xml:space="preserve">ust be </w:t>
      </w:r>
      <w:r w:rsidR="00821FCB">
        <w:t>included in the above equation</w:t>
      </w:r>
      <w:r w:rsidR="005654EC">
        <w:t>. Demolition costs, like construction costs are affected by the density of products surrounding the parcel under consideration</w:t>
      </w:r>
      <w:r w:rsidR="00821FCB">
        <w:t xml:space="preserve"> and the quantity of developed floorspace on the parcel itself</w:t>
      </w:r>
      <w:r w:rsidR="005654EC">
        <w:t>.</w:t>
      </w:r>
      <w:r w:rsidR="00821FCB">
        <w:t xml:space="preserve"> Construction costs by product type were obtained from local developers in the REMM model. These estimates can be used as a starting place for REDM with some calibration until actual construction costs can be obtained from local developers.</w:t>
      </w:r>
    </w:p>
    <w:p w14:paraId="331A2478" w14:textId="77777777" w:rsidR="005654EC" w:rsidRDefault="005654EC"/>
    <w:p w14:paraId="0CF5CCF7" w14:textId="3E86A6C7" w:rsidR="005654EC" w:rsidRPr="00821FCB" w:rsidRDefault="00821FCB">
      <w:pPr>
        <w:rPr>
          <w:u w:val="single"/>
        </w:rPr>
      </w:pPr>
      <w:r w:rsidRPr="00821FCB">
        <w:rPr>
          <w:u w:val="single"/>
        </w:rPr>
        <w:t>Expected Price</w:t>
      </w:r>
    </w:p>
    <w:p w14:paraId="4EB8F137" w14:textId="3D77FF34" w:rsidR="00821FCB" w:rsidRDefault="00821FCB">
      <w:r>
        <w:t xml:space="preserve">This is the expected price the developer </w:t>
      </w:r>
      <w:r w:rsidR="008D7960">
        <w:t>anticipates</w:t>
      </w:r>
      <w:r>
        <w:t xml:space="preserve"> receiv</w:t>
      </w:r>
      <w:r w:rsidR="008D7960">
        <w:t>ing</w:t>
      </w:r>
      <w:r>
        <w:t xml:space="preserve"> for the development and varies by real estate product type and by location. Data for this </w:t>
      </w:r>
      <w:r w:rsidR="008D7960">
        <w:t xml:space="preserve">variable </w:t>
      </w:r>
      <w:r>
        <w:t xml:space="preserve">will be derived from the bidding process in the </w:t>
      </w:r>
      <w:r w:rsidR="008D7960">
        <w:t>household and employment location choice/bid-rent submodule. REDM will evaluate prices in previous years’ auctions (averaging the previous three years of simulated auction/bid-rent) at the TAZ level and uses that value to determine what products are economically viable, by location, in the current simulation year. For the initial modeled years, actual MLS sales values will be used to generate starting values of expected price by real estate product type by location.</w:t>
      </w:r>
    </w:p>
    <w:p w14:paraId="3F864CD3" w14:textId="77777777" w:rsidR="008D7960" w:rsidRDefault="008D7960"/>
    <w:p w14:paraId="7FFB6C44" w14:textId="77777777" w:rsidR="00821FCB" w:rsidRPr="00357620" w:rsidRDefault="00821FCB" w:rsidP="00821FCB">
      <w:pPr>
        <w:rPr>
          <w:u w:val="single"/>
        </w:rPr>
      </w:pPr>
      <w:r w:rsidRPr="00357620">
        <w:rPr>
          <w:u w:val="single"/>
        </w:rPr>
        <w:t>Local Policy Constraints</w:t>
      </w:r>
    </w:p>
    <w:p w14:paraId="6B757166" w14:textId="17FC5C32" w:rsidR="00821FCB" w:rsidRDefault="00821FCB" w:rsidP="00821FCB">
      <w:r>
        <w:t xml:space="preserve">Local land use policy controls the types of real estate products, and intensity with which they can be developed, at the parcel level. SANDAG already has this data in the GPALL and CAPACITY submodules. In the initial </w:t>
      </w:r>
      <w:r w:rsidR="008D7960">
        <w:t xml:space="preserve">version of </w:t>
      </w:r>
      <w:r>
        <w:t xml:space="preserve">REDM these </w:t>
      </w:r>
      <w:r w:rsidR="008D7960">
        <w:t xml:space="preserve">constraints </w:t>
      </w:r>
      <w:r>
        <w:t>will be modeled as binding. Future model improvements could allow sufficient economic pressure to overcome these constraints, if desired</w:t>
      </w:r>
      <w:r w:rsidR="008D7960">
        <w:t>—this approach has been used elsewhere with some success</w:t>
      </w:r>
      <w:r>
        <w:t xml:space="preserve">. </w:t>
      </w:r>
    </w:p>
    <w:p w14:paraId="4CC4CA24" w14:textId="77777777" w:rsidR="00151406" w:rsidRDefault="00151406"/>
    <w:p w14:paraId="348B9993" w14:textId="1D93AE50" w:rsidR="00151406" w:rsidRPr="006055B8" w:rsidRDefault="006055B8">
      <w:pPr>
        <w:rPr>
          <w:b/>
          <w:bCs/>
        </w:rPr>
      </w:pPr>
      <w:r w:rsidRPr="006055B8">
        <w:rPr>
          <w:b/>
          <w:bCs/>
        </w:rPr>
        <w:t>Model Logic</w:t>
      </w:r>
    </w:p>
    <w:p w14:paraId="4592EA36" w14:textId="57A74655" w:rsidR="006055B8" w:rsidRDefault="006055B8">
      <w:r>
        <w:t xml:space="preserve">Each legal land parcel will undergo a series of evaluations in every simulated year. REDM will be fed a GIS layer that is populated with all of the data in Figure 1. Any parcels that will not be available for development or redevelopment at any point in the simulated time period will be identified as </w:t>
      </w:r>
      <w:bookmarkStart w:id="0" w:name="_GoBack"/>
      <w:bookmarkEnd w:id="0"/>
      <w:proofErr w:type="spellStart"/>
      <w:r>
        <w:t>nonbuildable</w:t>
      </w:r>
      <w:proofErr w:type="spellEnd"/>
      <w:r>
        <w:t xml:space="preserve"> prior to REDM operations. These parcels might be deemed </w:t>
      </w:r>
      <w:proofErr w:type="spellStart"/>
      <w:r>
        <w:t>nonbuildable</w:t>
      </w:r>
      <w:proofErr w:type="spellEnd"/>
      <w:r>
        <w:t xml:space="preserve"> for a variety of reasons and examples might include civic buildings, parks, roads, sports arenas, religious structures, etc.</w:t>
      </w:r>
    </w:p>
    <w:p w14:paraId="6A8F75B7" w14:textId="77777777" w:rsidR="00151406" w:rsidRDefault="00151406"/>
    <w:p w14:paraId="1CA3DB1A" w14:textId="77777777" w:rsidR="00151406" w:rsidRDefault="00151406"/>
    <w:p w14:paraId="55194451" w14:textId="77777777" w:rsidR="00151406" w:rsidRDefault="00151406"/>
    <w:p w14:paraId="455EC964" w14:textId="77777777" w:rsidR="00151406" w:rsidRDefault="00151406"/>
    <w:p w14:paraId="6060E5BB" w14:textId="77777777" w:rsidR="00151406" w:rsidRDefault="00151406">
      <w:r>
        <w:br w:type="page"/>
      </w:r>
    </w:p>
    <w:p w14:paraId="005A2010" w14:textId="77777777" w:rsidR="00151406" w:rsidRDefault="00151406">
      <w:r>
        <w:rPr>
          <w:noProof/>
        </w:rPr>
        <w:drawing>
          <wp:anchor distT="0" distB="0" distL="114300" distR="114300" simplePos="0" relativeHeight="251658240" behindDoc="0" locked="0" layoutInCell="1" allowOverlap="1" wp14:anchorId="33538A77" wp14:editId="26F3C53C">
            <wp:simplePos x="0" y="0"/>
            <wp:positionH relativeFrom="margin">
              <wp:align>right</wp:align>
            </wp:positionH>
            <wp:positionV relativeFrom="margin">
              <wp:posOffset>-635</wp:posOffset>
            </wp:positionV>
            <wp:extent cx="5948680" cy="38957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M.jpg"/>
                    <pic:cNvPicPr/>
                  </pic:nvPicPr>
                  <pic:blipFill rotWithShape="1">
                    <a:blip r:embed="rId4">
                      <a:extLst>
                        <a:ext uri="{28A0092B-C50C-407E-A947-70E740481C1C}">
                          <a14:useLocalDpi xmlns:a14="http://schemas.microsoft.com/office/drawing/2010/main" val="0"/>
                        </a:ext>
                      </a:extLst>
                    </a:blip>
                    <a:srcRect l="6089" r="8013"/>
                    <a:stretch/>
                  </pic:blipFill>
                  <pic:spPr bwMode="auto">
                    <a:xfrm>
                      <a:off x="0" y="0"/>
                      <a:ext cx="5948680" cy="3895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44D6">
        <w:t>Figure 1: REDM Data Flow</w:t>
      </w:r>
    </w:p>
    <w:p w14:paraId="1C8CB339" w14:textId="77777777" w:rsidR="006644D6" w:rsidRDefault="006644D6"/>
    <w:p w14:paraId="5CC44808" w14:textId="77777777" w:rsidR="006644D6" w:rsidRDefault="006644D6"/>
    <w:p w14:paraId="710C3737" w14:textId="77777777" w:rsidR="006644D6" w:rsidRDefault="006644D6"/>
    <w:p w14:paraId="7CAF30CA" w14:textId="77777777" w:rsidR="006644D6" w:rsidRDefault="006644D6"/>
    <w:p w14:paraId="67EFA04E" w14:textId="77777777" w:rsidR="006644D6" w:rsidRDefault="006644D6"/>
    <w:p w14:paraId="6EE5B1F7" w14:textId="77777777" w:rsidR="006644D6" w:rsidRDefault="006644D6"/>
    <w:p w14:paraId="7CE94491" w14:textId="77777777" w:rsidR="006644D6" w:rsidRDefault="006644D6">
      <w:r>
        <w:br w:type="page"/>
      </w:r>
    </w:p>
    <w:p w14:paraId="1BF867FD" w14:textId="77777777" w:rsidR="006644D6" w:rsidRDefault="006644D6">
      <w:r>
        <w:rPr>
          <w:noProof/>
        </w:rPr>
        <w:drawing>
          <wp:inline distT="0" distB="0" distL="0" distR="0" wp14:anchorId="70E245A4" wp14:editId="3396A348">
            <wp:extent cx="5943600" cy="769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y Model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23BA0B63" w14:textId="77777777" w:rsidR="006644D6" w:rsidRDefault="006644D6">
      <w:r>
        <w:t>Figure 2: REDM Flow Chart</w:t>
      </w:r>
    </w:p>
    <w:sectPr w:rsidR="00664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406"/>
    <w:rsid w:val="000529CB"/>
    <w:rsid w:val="0008645D"/>
    <w:rsid w:val="00151406"/>
    <w:rsid w:val="001F3770"/>
    <w:rsid w:val="00357620"/>
    <w:rsid w:val="00361FD7"/>
    <w:rsid w:val="003C5048"/>
    <w:rsid w:val="005423F6"/>
    <w:rsid w:val="005654EC"/>
    <w:rsid w:val="006055B8"/>
    <w:rsid w:val="00653368"/>
    <w:rsid w:val="006644D6"/>
    <w:rsid w:val="00684304"/>
    <w:rsid w:val="006F2218"/>
    <w:rsid w:val="00811919"/>
    <w:rsid w:val="00821FCB"/>
    <w:rsid w:val="008D7960"/>
    <w:rsid w:val="00AD2AE8"/>
    <w:rsid w:val="00B449D1"/>
    <w:rsid w:val="00D625A5"/>
    <w:rsid w:val="00DF7384"/>
    <w:rsid w:val="00F34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2FF6"/>
  <w15:chartTrackingRefBased/>
  <w15:docId w15:val="{E0C87C24-5996-4B1A-A1E5-94FBCC97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4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Clay</dc:creator>
  <cp:keywords/>
  <dc:description/>
  <cp:lastModifiedBy>Michael Clay</cp:lastModifiedBy>
  <cp:revision>2</cp:revision>
  <dcterms:created xsi:type="dcterms:W3CDTF">2020-03-07T03:23:00Z</dcterms:created>
  <dcterms:modified xsi:type="dcterms:W3CDTF">2020-03-07T03:23:00Z</dcterms:modified>
</cp:coreProperties>
</file>